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218440</wp:posOffset>
            </wp:positionV>
            <wp:extent cx="1680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218440</wp:posOffset>
            </wp:positionV>
            <wp:extent cx="1680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tabs>
          <w:tab w:leader="none" w:pos="2120" w:val="left"/>
          <w:tab w:leader="none" w:pos="2300" w:val="left"/>
          <w:tab w:leader="none" w:pos="2480" w:val="left"/>
          <w:tab w:leader="none" w:pos="2660" w:val="left"/>
          <w:tab w:leader="none" w:pos="28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tab/>
        <w:t> </w:t>
        <w:tab/>
        <w:t>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34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BIOGEN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1417320</wp:posOffset>
            </wp:positionV>
            <wp:extent cx="2828925" cy="942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892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160"/>
        <w:spacing w:after="0"/>
        <w:rPr>
          <w:sz w:val="20"/>
          <w:szCs w:val="20"/>
          <w:color w:val="auto"/>
        </w:rPr>
      </w:pPr>
      <w:r>
        <w:rPr>
          <w:rFonts w:ascii="Arial" w:cs="Arial" w:eastAsia="Arial" w:hAnsi="Arial"/>
          <w:sz w:val="32"/>
          <w:szCs w:val="32"/>
          <w:b w:val="1"/>
          <w:bCs w:val="1"/>
          <w:color w:val="auto"/>
        </w:rPr>
        <w:t xml:space="preserve">      </w:t>
      </w:r>
      <w:r>
        <w:rPr>
          <w:rFonts w:ascii="Arial" w:cs="Arial" w:eastAsia="Arial" w:hAnsi="Arial"/>
          <w:sz w:val="32"/>
          <w:szCs w:val="32"/>
          <w:color w:val="73984A"/>
        </w:rPr>
        <w:t>NOTICE OF</w:t>
      </w:r>
      <w:r>
        <w:rPr>
          <w:rFonts w:ascii="Arial" w:cs="Arial" w:eastAsia="Arial" w:hAnsi="Arial"/>
          <w:sz w:val="32"/>
          <w:szCs w:val="3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-59690</wp:posOffset>
            </wp:positionV>
            <wp:extent cx="403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-59690</wp:posOffset>
            </wp:positionV>
            <wp:extent cx="411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316" w:lineRule="exact"/>
        <w:rPr>
          <w:sz w:val="20"/>
          <w:szCs w:val="20"/>
          <w:color w:val="auto"/>
        </w:rPr>
      </w:pPr>
    </w:p>
    <w:p>
      <w:pPr>
        <w:jc w:val="center"/>
        <w:ind w:right="-1100"/>
        <w:spacing w:after="0"/>
        <w:rPr>
          <w:sz w:val="20"/>
          <w:szCs w:val="20"/>
          <w:color w:val="auto"/>
        </w:rPr>
      </w:pPr>
      <w:r>
        <w:rPr>
          <w:rFonts w:ascii="Arial" w:cs="Arial" w:eastAsia="Arial" w:hAnsi="Arial"/>
          <w:sz w:val="32"/>
          <w:szCs w:val="32"/>
          <w:color w:val="0075C9"/>
        </w:rPr>
        <w:t>2026 Annual Meeting of</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32"/>
          <w:szCs w:val="32"/>
          <w:color w:val="0075C9"/>
        </w:rPr>
        <w:t>Stockholders and Proxy Statement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29"/>
          <w:szCs w:val="29"/>
          <w:color w:val="0075C9"/>
        </w:rPr>
        <w:t>Tuesday, June 9, 2026</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29"/>
          <w:szCs w:val="29"/>
          <w:color w:val="0075C9"/>
        </w:rPr>
        <w:t>9:00 a.m. Eastern Time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9"/>
          <w:szCs w:val="29"/>
          <w:i w:val="1"/>
          <w:iCs w:val="1"/>
          <w:color w:val="0075C9"/>
        </w:rPr>
        <w:t>To be held online at: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29"/>
          <w:szCs w:val="29"/>
          <w:i w:val="1"/>
          <w:iCs w:val="1"/>
          <w:u w:val="single" w:color="auto"/>
          <w:color w:val="0075C9"/>
        </w:rPr>
        <w:t>www.virtualshareholdermeeting.com/BIIB2026</w:t>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54305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28, 2026</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75C9"/>
        </w:rPr>
        <w:t>Dear Fellow Stockholders</w:t>
      </w:r>
    </w:p>
    <w:p>
      <w:pPr>
        <w:spacing w:after="0" w:line="322"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On behalf of the Board of Directors, I thank you for your investment in Biogen and for the confidence you have placed in the Board’s stewardship of your interests. Biogen is focused on delivering long-term value for our stockholders with a high-conviction late-stage pipeline with the potential to drive both meaningful innovation and sustained growth. We made notable progress on this strategy in 2025, where execution on commercialization of our growth products and a sharpened development pipeline focused on neurology, immunology, and rare disease are laying a strong foundation for Biogen’s future.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Key milestones of our progress in 2025 include:</w:t>
      </w:r>
    </w:p>
    <w:p>
      <w:pPr>
        <w:spacing w:after="0" w:line="127" w:lineRule="exact"/>
        <w:rPr>
          <w:sz w:val="20"/>
          <w:szCs w:val="20"/>
          <w:color w:val="auto"/>
        </w:rPr>
      </w:pPr>
    </w:p>
    <w:p>
      <w:pPr>
        <w:jc w:val="both"/>
        <w:ind w:left="980" w:hanging="432"/>
        <w:spacing w:after="0" w:line="26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Strong Financial Performance</w:t>
      </w:r>
      <w:r>
        <w:rPr>
          <w:rFonts w:ascii="Arial" w:cs="Arial" w:eastAsia="Arial" w:hAnsi="Arial"/>
          <w:sz w:val="16"/>
          <w:szCs w:val="16"/>
          <w:color w:val="auto"/>
        </w:rPr>
        <w:t>: We drove legacy product performance despite generic competition. The Company increased growth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by 19% year-over-year to $3.3 billion, led by SKYCLARYS, QALSODY, ZURZUVAE, VUMERITY and SPINRAZA, plus Biogen’s 50% share of net revenue and cost of sales, including royalties, from the LEQEMBI Collaboration.</w:t>
      </w:r>
      <w:r>
        <w:rPr>
          <w:rFonts w:ascii="Arial" w:cs="Arial" w:eastAsia="Arial" w:hAnsi="Arial"/>
          <w:sz w:val="24"/>
          <w:szCs w:val="24"/>
          <w:color w:val="auto"/>
          <w:vertAlign w:val="superscript"/>
        </w:rPr>
        <w:t>1</w:t>
      </w:r>
    </w:p>
    <w:p>
      <w:pPr>
        <w:ind w:left="980" w:right="80" w:hanging="432"/>
        <w:spacing w:after="0" w:line="25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Pipeline Advancement</w:t>
      </w:r>
      <w:r>
        <w:rPr>
          <w:rFonts w:ascii="Arial" w:cs="Arial" w:eastAsia="Arial" w:hAnsi="Arial"/>
          <w:sz w:val="16"/>
          <w:szCs w:val="16"/>
          <w:color w:val="auto"/>
        </w:rPr>
        <w:t>: We are advancing Phase 3 trials for 10 programs, which hold the potential for up to five new product launches over</w:t>
      </w:r>
      <w:r>
        <w:rPr>
          <w:rFonts w:ascii="Arial" w:cs="Arial" w:eastAsia="Arial" w:hAnsi="Arial"/>
          <w:sz w:val="16"/>
          <w:szCs w:val="16"/>
          <w:b w:val="1"/>
          <w:bCs w:val="1"/>
          <w:color w:val="auto"/>
        </w:rPr>
        <w:t xml:space="preserve"> </w:t>
      </w:r>
      <w:r>
        <w:rPr>
          <w:rFonts w:ascii="Arial" w:cs="Arial" w:eastAsia="Arial" w:hAnsi="Arial"/>
          <w:sz w:val="16"/>
          <w:szCs w:val="16"/>
          <w:color w:val="auto"/>
        </w:rPr>
        <w:t>the next several years. Five of these programs were newly initiated or announced in 2025. In addition to advancing our clinical pipeline, we continued commercial portfolio and R&amp;D pipeline expansion through external growth opportunities, including:</w:t>
      </w:r>
    </w:p>
    <w:p>
      <w:pPr>
        <w:spacing w:after="0" w:line="82" w:lineRule="exact"/>
        <w:rPr>
          <w:rFonts w:ascii="Arial" w:cs="Arial" w:eastAsia="Arial" w:hAnsi="Arial"/>
          <w:sz w:val="16"/>
          <w:szCs w:val="16"/>
          <w:color w:val="auto"/>
        </w:rPr>
      </w:pPr>
    </w:p>
    <w:p>
      <w:pPr>
        <w:ind w:left="1420" w:right="400" w:hanging="427"/>
        <w:spacing w:after="0" w:line="286" w:lineRule="auto"/>
        <w:tabs>
          <w:tab w:leader="none" w:pos="1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collaboration with Stoke to co-develop and commercialize zorevunersen for Dravet syndrome by targeting the SCN1A gene, the underlying cause of most cases.</w:t>
      </w:r>
    </w:p>
    <w:p>
      <w:pPr>
        <w:spacing w:after="0" w:line="61" w:lineRule="exact"/>
        <w:rPr>
          <w:rFonts w:ascii="Arial" w:cs="Arial" w:eastAsia="Arial" w:hAnsi="Arial"/>
          <w:sz w:val="16"/>
          <w:szCs w:val="16"/>
          <w:color w:val="auto"/>
        </w:rPr>
      </w:pPr>
    </w:p>
    <w:p>
      <w:pPr>
        <w:ind w:left="1420" w:hanging="427"/>
        <w:spacing w:after="0" w:line="286" w:lineRule="auto"/>
        <w:tabs>
          <w:tab w:leader="none" w:pos="1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strategic collaboration with City to develop select novel RNAi therapies by combining City’s next-generation RNAi engineering technologies with Biogen’s proprietary drug delivery technology, with an initial focus on a single target that mediates key CNS diseases.</w:t>
      </w:r>
    </w:p>
    <w:p>
      <w:pPr>
        <w:spacing w:after="0" w:line="61" w:lineRule="exact"/>
        <w:rPr>
          <w:rFonts w:ascii="Arial" w:cs="Arial" w:eastAsia="Arial" w:hAnsi="Arial"/>
          <w:sz w:val="16"/>
          <w:szCs w:val="16"/>
          <w:color w:val="auto"/>
        </w:rPr>
      </w:pPr>
    </w:p>
    <w:p>
      <w:pPr>
        <w:ind w:left="1420" w:right="100" w:hanging="427"/>
        <w:spacing w:after="0" w:line="286" w:lineRule="auto"/>
        <w:tabs>
          <w:tab w:leader="none" w:pos="1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license of an oral C5aR1 antagonist compound from Vanqua to expand our immunology portfolio by securing exclusive worldwide rights to a well-validated target in neutrophil-mediated inflammation.</w:t>
      </w:r>
    </w:p>
    <w:p>
      <w:pPr>
        <w:spacing w:after="0" w:line="61" w:lineRule="exact"/>
        <w:rPr>
          <w:rFonts w:ascii="Arial" w:cs="Arial" w:eastAsia="Arial" w:hAnsi="Arial"/>
          <w:sz w:val="16"/>
          <w:szCs w:val="16"/>
          <w:color w:val="auto"/>
        </w:rPr>
      </w:pPr>
    </w:p>
    <w:p>
      <w:pPr>
        <w:ind w:left="1420" w:right="120" w:hanging="427"/>
        <w:spacing w:after="0" w:line="286" w:lineRule="auto"/>
        <w:tabs>
          <w:tab w:leader="none" w:pos="1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acquisition of Alcyone to advance ASO delivery and broaden access to ASOs by reducing reliance on repeat lumbar punctures in chronic intrathecal administration.</w:t>
      </w:r>
    </w:p>
    <w:p>
      <w:pPr>
        <w:spacing w:after="0" w:line="61" w:lineRule="exact"/>
        <w:rPr>
          <w:rFonts w:ascii="Arial" w:cs="Arial" w:eastAsia="Arial" w:hAnsi="Arial"/>
          <w:sz w:val="16"/>
          <w:szCs w:val="16"/>
          <w:color w:val="auto"/>
        </w:rPr>
      </w:pPr>
    </w:p>
    <w:p>
      <w:pPr>
        <w:ind w:left="1420" w:right="160" w:hanging="427"/>
        <w:spacing w:after="0" w:line="286" w:lineRule="auto"/>
        <w:tabs>
          <w:tab w:leader="none" w:pos="1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research collaboration with Dayra to discover and develop oral macrocyclic peptides for priority targets in immunological conditions by advancing molecules with biologic-like potential in an oral format.</w:t>
      </w:r>
    </w:p>
    <w:p>
      <w:pPr>
        <w:spacing w:after="0" w:line="61" w:lineRule="exact"/>
        <w:rPr>
          <w:rFonts w:ascii="Arial" w:cs="Arial" w:eastAsia="Arial" w:hAnsi="Arial"/>
          <w:sz w:val="16"/>
          <w:szCs w:val="16"/>
          <w:color w:val="auto"/>
        </w:rPr>
      </w:pPr>
    </w:p>
    <w:p>
      <w:pPr>
        <w:ind w:left="980" w:right="160" w:hanging="432"/>
        <w:spacing w:after="0" w:line="266"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Financial Discipline</w:t>
      </w:r>
      <w:r>
        <w:rPr>
          <w:rFonts w:ascii="Arial" w:cs="Arial" w:eastAsia="Arial" w:hAnsi="Arial"/>
          <w:sz w:val="16"/>
          <w:szCs w:val="16"/>
          <w:color w:val="auto"/>
        </w:rPr>
        <w:t>: We completed the implementation of our Fit for Growth initiative, which reduced the company’s cost structure while</w:t>
      </w:r>
      <w:r>
        <w:rPr>
          <w:rFonts w:ascii="Arial" w:cs="Arial" w:eastAsia="Arial" w:hAnsi="Arial"/>
          <w:sz w:val="16"/>
          <w:szCs w:val="16"/>
          <w:b w:val="1"/>
          <w:bCs w:val="1"/>
          <w:color w:val="auto"/>
        </w:rPr>
        <w:t xml:space="preserve"> </w:t>
      </w:r>
      <w:r>
        <w:rPr>
          <w:rFonts w:ascii="Arial" w:cs="Arial" w:eastAsia="Arial" w:hAnsi="Arial"/>
          <w:sz w:val="16"/>
          <w:szCs w:val="16"/>
          <w:color w:val="auto"/>
        </w:rPr>
        <w:t>freeing capital for reinvestment. The program delivered approximately $1 billion in gross and $800 million in net operating expense savings. This financial discipline contributed to delivering non-GAAP Diluted EPS which exceeded full year guidance.</w:t>
      </w:r>
    </w:p>
    <w:p>
      <w:pPr>
        <w:spacing w:after="0" w:line="63" w:lineRule="exact"/>
        <w:rPr>
          <w:sz w:val="20"/>
          <w:szCs w:val="20"/>
          <w:color w:val="auto"/>
        </w:rPr>
      </w:pPr>
    </w:p>
    <w:p>
      <w:pPr>
        <w:ind w:left="120" w:right="180"/>
        <w:spacing w:after="0" w:line="261" w:lineRule="auto"/>
        <w:rPr>
          <w:sz w:val="20"/>
          <w:szCs w:val="20"/>
          <w:color w:val="auto"/>
        </w:rPr>
      </w:pPr>
      <w:r>
        <w:rPr>
          <w:rFonts w:ascii="Arial" w:cs="Arial" w:eastAsia="Arial" w:hAnsi="Arial"/>
          <w:sz w:val="16"/>
          <w:szCs w:val="16"/>
          <w:color w:val="auto"/>
        </w:rPr>
        <w:t>In early 2026, we entered into a merger agreement with Apellis Pharmaceuticals, Inc. which, upon completion, is expected to bolster Biogen’s near and long-term growth prospects with the addition of EMPAVELI</w:t>
      </w:r>
      <w:r>
        <w:rPr>
          <w:rFonts w:ascii="Arial" w:cs="Arial" w:eastAsia="Arial" w:hAnsi="Arial"/>
          <w:sz w:val="24"/>
          <w:szCs w:val="24"/>
          <w:color w:val="auto"/>
          <w:vertAlign w:val="superscript"/>
        </w:rPr>
        <w:t>2</w:t>
      </w:r>
      <w:r>
        <w:rPr>
          <w:rFonts w:ascii="Arial" w:cs="Arial" w:eastAsia="Arial" w:hAnsi="Arial"/>
          <w:sz w:val="16"/>
          <w:szCs w:val="16"/>
          <w:color w:val="auto"/>
        </w:rPr>
        <w:t xml:space="preserve"> and SYFOVRE</w:t>
      </w:r>
      <w:r>
        <w:rPr>
          <w:rFonts w:ascii="Arial" w:cs="Arial" w:eastAsia="Arial" w:hAnsi="Arial"/>
          <w:sz w:val="24"/>
          <w:szCs w:val="24"/>
          <w:color w:val="auto"/>
          <w:vertAlign w:val="superscript"/>
        </w:rPr>
        <w:t>3</w:t>
      </w:r>
      <w:r>
        <w:rPr>
          <w:rFonts w:ascii="Arial" w:cs="Arial" w:eastAsia="Arial" w:hAnsi="Arial"/>
          <w:sz w:val="16"/>
          <w:szCs w:val="16"/>
          <w:color w:val="auto"/>
        </w:rPr>
        <w:t xml:space="preserve"> and accelerate entry into nephrology and retinal diseases.</w:t>
      </w:r>
    </w:p>
    <w:p>
      <w:pPr>
        <w:spacing w:after="0" w:line="2" w:lineRule="exact"/>
        <w:rPr>
          <w:sz w:val="20"/>
          <w:szCs w:val="20"/>
          <w:color w:val="auto"/>
        </w:rPr>
      </w:pPr>
    </w:p>
    <w:p>
      <w:pPr>
        <w:jc w:val="both"/>
        <w:ind w:left="120" w:right="320"/>
        <w:spacing w:after="0" w:line="256" w:lineRule="auto"/>
        <w:rPr>
          <w:sz w:val="20"/>
          <w:szCs w:val="20"/>
          <w:color w:val="auto"/>
        </w:rPr>
      </w:pPr>
      <w:r>
        <w:rPr>
          <w:rFonts w:ascii="Arial" w:cs="Arial" w:eastAsia="Arial" w:hAnsi="Arial"/>
          <w:sz w:val="16"/>
          <w:szCs w:val="16"/>
          <w:color w:val="auto"/>
        </w:rPr>
        <w:t>In 2025, we continued to strengthen the Board with the addition of a director who brings deep experience and a distinguished record of leadership in research and development across the life sciences and biopharmaceutical sectors. Our newest director further enhances the Board’s oversight of our strategic direction as we expand our portfolio.</w:t>
      </w:r>
    </w:p>
    <w:p>
      <w:pPr>
        <w:spacing w:after="0" w:line="70"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Biogen remains committed to broadening access to high quality healthcare for patients worldwide. In 2025, we advanced our standard for patient-first clinical research, highlighted by completing enrollment for the TOPAZ Phase 3 lupus clinical trials. Lupus disproportionately affects young women, especially women of color, and the trials were intentionally designed to include this cohort. By selecting sites in highly affected communities and addressing real-world barriers like transportation and childcare, we created a trial experience that met patients where they are. Further, in 2025, Biogen and the Biogen Foundation contributed approximately $35 million in grants, donations, sponsorships and in-kind contributions to broaden access to healthcare, address the fundamentals of community health and strengthen the life sciences talent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2237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40" w:lineRule="exact"/>
        <w:rPr>
          <w:sz w:val="20"/>
          <w:szCs w:val="20"/>
          <w:color w:val="auto"/>
        </w:rPr>
      </w:pPr>
    </w:p>
    <w:p>
      <w:pPr>
        <w:ind w:left="540" w:right="480" w:hanging="424"/>
        <w:spacing w:after="0" w:line="191" w:lineRule="auto"/>
        <w:tabs>
          <w:tab w:leader="none" w:pos="5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VUMERITY was added to the “Growth Product” category after the CMDC set 2025 company performance targets. Therefore, it was excluded from calculations regarding 2025 target achievement.</w:t>
      </w:r>
    </w:p>
    <w:p>
      <w:pPr>
        <w:spacing w:after="0" w:line="1" w:lineRule="exact"/>
        <w:rPr>
          <w:sz w:val="20"/>
          <w:szCs w:val="20"/>
          <w:color w:val="auto"/>
        </w:rPr>
      </w:pPr>
    </w:p>
    <w:p>
      <w:pPr>
        <w:ind w:left="540" w:right="160" w:hanging="424"/>
        <w:spacing w:after="0" w:line="187" w:lineRule="auto"/>
        <w:tabs>
          <w:tab w:leader="none" w:pos="5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Approved for the treatment of paroxysmal nocturnal hemoglobinuria, or PNH, and C3 glomerulopathy, or C3G, and primary immune complex membranoproliferative glomerulonephritis, or primary IC-MPGN.</w:t>
      </w:r>
    </w:p>
    <w:p>
      <w:pPr>
        <w:ind w:left="540" w:hanging="424"/>
        <w:spacing w:after="0" w:line="193" w:lineRule="auto"/>
        <w:tabs>
          <w:tab w:leader="none" w:pos="54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Approved for geographic atrophy.</w:t>
      </w:r>
    </w:p>
    <w:p>
      <w:pPr>
        <w:sectPr>
          <w:pgSz w:w="11900" w:h="16838" w:orient="portrait"/>
          <w:cols w:equalWidth="0" w:num="1">
            <w:col w:w="11100"/>
          </w:cols>
          <w:pgMar w:left="320" w:top="482"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My service as a director and Chair of the Board will conclude at the 2026 Annual Meeting. I extend my sincere thanks to our stockholders for their confidence over the past sixteen years, and to my fellow directors, past and present, with whom it has been a privilege to serve. Our Board’s breadth of experience across life sciences and global innovation strengthens oversight. We are better able to deliver long-term value for our stockholders because our Board recognizes the benefit of experience as well as new ideas. I have strong conviction that the Board, under the leadership of Dr. Maria C. Freire as incoming Chair, together with the management team, led by Chris Viehbacher, is well positioned to guide Biogen through its next chapter of growth.</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Thank you for your continued support of our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147447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Caroline Dorsa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 of the Board</w:t>
      </w:r>
    </w:p>
    <w:p>
      <w:pPr>
        <w:sectPr>
          <w:pgSz w:w="11900" w:h="16838" w:orient="portrait"/>
          <w:cols w:equalWidth="0" w:num="1">
            <w:col w:w="10980"/>
          </w:cols>
          <w:pgMar w:left="320" w:top="482" w:right="5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60"/>
        <w:spacing w:after="0"/>
        <w:rPr>
          <w:sz w:val="20"/>
          <w:szCs w:val="20"/>
          <w:color w:val="auto"/>
        </w:rPr>
      </w:pPr>
      <w:r>
        <w:rPr>
          <w:rFonts w:ascii="Arial" w:cs="Arial" w:eastAsia="Arial" w:hAnsi="Arial"/>
          <w:sz w:val="19"/>
          <w:szCs w:val="19"/>
          <w:color w:val="0075C9"/>
        </w:rPr>
        <w:t>Executive Pay Structure Aligns with Compensation Philosophy</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32"/>
          <w:szCs w:val="32"/>
          <w:color w:val="0075C9"/>
        </w:rPr>
        <w:t>Our Track Record of Responsiveness to Stockholder Feedback</w:t>
      </w:r>
    </w:p>
    <w:p>
      <w:pPr>
        <w:spacing w:after="0" w:line="240" w:lineRule="exact"/>
        <w:rPr>
          <w:sz w:val="20"/>
          <w:szCs w:val="20"/>
          <w:color w:val="auto"/>
        </w:rPr>
      </w:pPr>
    </w:p>
    <w:p>
      <w:pPr>
        <w:jc w:val="both"/>
        <w:ind w:left="120" w:right="140"/>
        <w:spacing w:after="0" w:line="256" w:lineRule="auto"/>
        <w:rPr>
          <w:sz w:val="20"/>
          <w:szCs w:val="20"/>
          <w:color w:val="auto"/>
        </w:rPr>
      </w:pPr>
      <w:r>
        <w:rPr>
          <w:rFonts w:ascii="Arial" w:cs="Arial" w:eastAsia="Arial" w:hAnsi="Arial"/>
          <w:sz w:val="16"/>
          <w:szCs w:val="16"/>
          <w:color w:val="auto"/>
        </w:rPr>
        <w:t>Our Board values the views of our stockholders and solicits input from them throughout the year. Following the 2025 Annual Meeting where our Say on Pay proposal received 67.7% support, the CMDC and our Board conducted stockholder engagement to better understand stockholder perspectives. We engaged stockholders to get feedback on a range of topics including specific aspects of our business strategy, capital allocation, corporate governance, and our executive compensation practices. All of the stockholder engagement calls were led by our Board and CGC Chair and attended by the Chairs of the CMDC and/or Audit Committee and/or other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7003415" cy="1440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1440180"/>
                    </a:xfrm>
                    <a:prstGeom prst="rect">
                      <a:avLst/>
                    </a:prstGeom>
                    <a:noFill/>
                  </pic:spPr>
                </pic:pic>
              </a:graphicData>
            </a:graphic>
          </wp:anchor>
        </w:drawing>
      </w: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FFFFFF"/>
        </w:rPr>
        <w:t>Stockholder Outreach Following the 2025 Annual Meeting</w:t>
      </w:r>
    </w:p>
    <w:p>
      <w:pPr>
        <w:spacing w:after="0" w:line="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0075C9"/>
        </w:rPr>
        <w:t xml:space="preserve">We reached out to our top </w:t>
      </w:r>
      <w:r>
        <w:rPr>
          <w:rFonts w:ascii="Arial" w:cs="Arial" w:eastAsia="Arial" w:hAnsi="Arial"/>
          <w:sz w:val="18"/>
          <w:szCs w:val="18"/>
          <w:b w:val="1"/>
          <w:bCs w:val="1"/>
          <w:color w:val="0075C9"/>
        </w:rPr>
        <w:t>30</w:t>
      </w:r>
      <w:r>
        <w:rPr>
          <w:rFonts w:ascii="Arial" w:cs="Arial" w:eastAsia="Arial" w:hAnsi="Arial"/>
          <w:sz w:val="18"/>
          <w:szCs w:val="18"/>
          <w:color w:val="0075C9"/>
        </w:rPr>
        <w:t xml:space="preserve"> stockholders who collectively owned </w:t>
      </w:r>
      <w:r>
        <w:rPr>
          <w:rFonts w:ascii="Arial" w:cs="Arial" w:eastAsia="Arial" w:hAnsi="Arial"/>
          <w:sz w:val="28"/>
          <w:szCs w:val="28"/>
          <w:b w:val="1"/>
          <w:bCs w:val="1"/>
          <w:color w:val="0075C9"/>
        </w:rPr>
        <w:t>62%</w:t>
      </w:r>
      <w:r>
        <w:rPr>
          <w:rFonts w:ascii="Arial" w:cs="Arial" w:eastAsia="Arial" w:hAnsi="Arial"/>
          <w:sz w:val="18"/>
          <w:szCs w:val="18"/>
          <w:color w:val="0075C9"/>
        </w:rPr>
        <w:t xml:space="preserve"> of O/S Stock</w:t>
      </w:r>
      <w:r>
        <w:rPr>
          <w:rFonts w:ascii="Arial" w:cs="Arial" w:eastAsia="Arial" w:hAnsi="Arial"/>
          <w:sz w:val="26"/>
          <w:szCs w:val="26"/>
          <w:color w:val="0075C9"/>
          <w:vertAlign w:val="superscript"/>
        </w:rPr>
        <w:t>1</w:t>
      </w:r>
    </w:p>
    <w:p>
      <w:pPr>
        <w:spacing w:after="0" w:line="49"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0075C9"/>
        </w:rPr>
        <w:t xml:space="preserve">that included </w:t>
      </w:r>
      <w:r>
        <w:rPr>
          <w:rFonts w:ascii="Arial" w:cs="Arial" w:eastAsia="Arial" w:hAnsi="Arial"/>
          <w:sz w:val="18"/>
          <w:szCs w:val="18"/>
          <w:b w:val="1"/>
          <w:bCs w:val="1"/>
          <w:i w:val="1"/>
          <w:iCs w:val="1"/>
          <w:color w:val="0075C9"/>
        </w:rPr>
        <w:t>16</w:t>
      </w:r>
      <w:r>
        <w:rPr>
          <w:rFonts w:ascii="Arial" w:cs="Arial" w:eastAsia="Arial" w:hAnsi="Arial"/>
          <w:sz w:val="18"/>
          <w:szCs w:val="18"/>
          <w:i w:val="1"/>
          <w:iCs w:val="1"/>
          <w:color w:val="0075C9"/>
        </w:rPr>
        <w:t xml:space="preserve"> stockholders who voted Against 2025 Say on Pay</w:t>
      </w:r>
    </w:p>
    <w:p>
      <w:pPr>
        <w:spacing w:after="0" w:line="19" w:lineRule="exact"/>
        <w:rPr>
          <w:sz w:val="20"/>
          <w:szCs w:val="20"/>
          <w:color w:val="auto"/>
        </w:rPr>
      </w:pPr>
    </w:p>
    <w:p>
      <w:pPr>
        <w:ind w:left="2260"/>
        <w:spacing w:after="0"/>
        <w:rPr>
          <w:sz w:val="20"/>
          <w:szCs w:val="20"/>
          <w:color w:val="auto"/>
        </w:rPr>
      </w:pPr>
      <w:r>
        <w:rPr>
          <w:rFonts w:ascii="Arial" w:cs="Arial" w:eastAsia="Arial" w:hAnsi="Arial"/>
          <w:sz w:val="18"/>
          <w:szCs w:val="18"/>
          <w:color w:val="0075C9"/>
        </w:rPr>
        <w:t xml:space="preserve">We had </w:t>
      </w:r>
      <w:r>
        <w:rPr>
          <w:rFonts w:ascii="Arial" w:cs="Arial" w:eastAsia="Arial" w:hAnsi="Arial"/>
          <w:sz w:val="18"/>
          <w:szCs w:val="18"/>
          <w:b w:val="1"/>
          <w:bCs w:val="1"/>
          <w:color w:val="0075C9"/>
        </w:rPr>
        <w:t>9</w:t>
      </w:r>
      <w:r>
        <w:rPr>
          <w:rFonts w:ascii="Arial" w:cs="Arial" w:eastAsia="Arial" w:hAnsi="Arial"/>
          <w:sz w:val="18"/>
          <w:szCs w:val="18"/>
          <w:color w:val="0075C9"/>
        </w:rPr>
        <w:t xml:space="preserve"> discussions with stockholders who collectively owned </w:t>
      </w:r>
      <w:r>
        <w:rPr>
          <w:rFonts w:ascii="Arial" w:cs="Arial" w:eastAsia="Arial" w:hAnsi="Arial"/>
          <w:sz w:val="28"/>
          <w:szCs w:val="28"/>
          <w:b w:val="1"/>
          <w:bCs w:val="1"/>
          <w:color w:val="0075C9"/>
        </w:rPr>
        <w:t>23%</w:t>
      </w:r>
      <w:r>
        <w:rPr>
          <w:rFonts w:ascii="Arial" w:cs="Arial" w:eastAsia="Arial" w:hAnsi="Arial"/>
          <w:sz w:val="18"/>
          <w:szCs w:val="18"/>
          <w:color w:val="0075C9"/>
        </w:rPr>
        <w:t xml:space="preserve"> of O/S Stock</w:t>
      </w:r>
      <w:r>
        <w:rPr>
          <w:rFonts w:ascii="Arial" w:cs="Arial" w:eastAsia="Arial" w:hAnsi="Arial"/>
          <w:sz w:val="26"/>
          <w:szCs w:val="26"/>
          <w:color w:val="0075C9"/>
          <w:vertAlign w:val="superscript"/>
        </w:rPr>
        <w:t>1</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0075C9"/>
        </w:rPr>
        <w:t xml:space="preserve">that included </w:t>
      </w:r>
      <w:r>
        <w:rPr>
          <w:rFonts w:ascii="Arial" w:cs="Arial" w:eastAsia="Arial" w:hAnsi="Arial"/>
          <w:sz w:val="18"/>
          <w:szCs w:val="18"/>
          <w:b w:val="1"/>
          <w:bCs w:val="1"/>
          <w:i w:val="1"/>
          <w:iCs w:val="1"/>
          <w:color w:val="0075C9"/>
        </w:rPr>
        <w:t>3</w:t>
      </w:r>
      <w:r>
        <w:rPr>
          <w:rFonts w:ascii="Arial" w:cs="Arial" w:eastAsia="Arial" w:hAnsi="Arial"/>
          <w:sz w:val="18"/>
          <w:szCs w:val="18"/>
          <w:i w:val="1"/>
          <w:iCs w:val="1"/>
          <w:color w:val="0075C9"/>
        </w:rPr>
        <w:t xml:space="preserve"> stockholders who voted Against 2025 Say on Pay</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0075C9"/>
        </w:rPr>
        <w:t>Independent Directors,</w:t>
      </w:r>
    </w:p>
    <w:p>
      <w:pPr>
        <w:jc w:val="center"/>
        <w:ind w:right="-239"/>
        <w:spacing w:after="0" w:line="231" w:lineRule="auto"/>
        <w:rPr>
          <w:sz w:val="20"/>
          <w:szCs w:val="20"/>
          <w:color w:val="auto"/>
        </w:rPr>
      </w:pPr>
      <w:r>
        <w:rPr>
          <w:rFonts w:ascii="Arial" w:cs="Arial" w:eastAsia="Arial" w:hAnsi="Arial"/>
          <w:sz w:val="18"/>
          <w:szCs w:val="18"/>
          <w:color w:val="0075C9"/>
        </w:rPr>
        <w:t>including our Board and CGC Chair, and Chairs of the CMDC and/or Audit Committee</w:t>
      </w:r>
    </w:p>
    <w:p>
      <w:pPr>
        <w:jc w:val="center"/>
        <w:ind w:right="-239"/>
        <w:spacing w:after="0"/>
        <w:rPr>
          <w:sz w:val="20"/>
          <w:szCs w:val="20"/>
          <w:color w:val="auto"/>
        </w:rPr>
      </w:pPr>
      <w:r>
        <w:rPr>
          <w:rFonts w:ascii="Arial" w:cs="Arial" w:eastAsia="Arial" w:hAnsi="Arial"/>
          <w:sz w:val="18"/>
          <w:szCs w:val="18"/>
          <w:color w:val="0075C9"/>
        </w:rPr>
        <w:t xml:space="preserve">led </w:t>
      </w:r>
      <w:r>
        <w:rPr>
          <w:rFonts w:ascii="Arial" w:cs="Arial" w:eastAsia="Arial" w:hAnsi="Arial"/>
          <w:sz w:val="28"/>
          <w:szCs w:val="28"/>
          <w:b w:val="1"/>
          <w:bCs w:val="1"/>
          <w:color w:val="0075C9"/>
        </w:rPr>
        <w:t>100%</w:t>
      </w:r>
      <w:r>
        <w:rPr>
          <w:rFonts w:ascii="Arial" w:cs="Arial" w:eastAsia="Arial" w:hAnsi="Arial"/>
          <w:sz w:val="18"/>
          <w:szCs w:val="18"/>
          <w:color w:val="0075C9"/>
        </w:rPr>
        <w:t xml:space="preserve"> of these calls</w:t>
      </w:r>
    </w:p>
    <w:p>
      <w:pPr>
        <w:spacing w:after="0" w:line="45" w:lineRule="exact"/>
        <w:rPr>
          <w:sz w:val="20"/>
          <w:szCs w:val="20"/>
          <w:color w:val="auto"/>
        </w:rPr>
      </w:pPr>
    </w:p>
    <w:p>
      <w:pPr>
        <w:ind w:left="880" w:hanging="332"/>
        <w:spacing w:after="0"/>
        <w:tabs>
          <w:tab w:leader="none" w:pos="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As of December 31, 2025</w:t>
      </w:r>
    </w:p>
    <w:p>
      <w:pPr>
        <w:spacing w:after="0" w:line="152" w:lineRule="exact"/>
        <w:rPr>
          <w:sz w:val="20"/>
          <w:szCs w:val="20"/>
          <w:color w:val="auto"/>
        </w:rPr>
      </w:pPr>
    </w:p>
    <w:p>
      <w:pPr>
        <w:ind w:left="8140"/>
        <w:spacing w:after="0"/>
        <w:rPr>
          <w:sz w:val="20"/>
          <w:szCs w:val="20"/>
          <w:color w:val="auto"/>
        </w:rPr>
      </w:pPr>
      <w:r>
        <w:rPr>
          <w:sz w:val="1"/>
          <w:szCs w:val="1"/>
          <w:color w:val="auto"/>
        </w:rPr>
        <w:drawing>
          <wp:inline distT="0" distB="0" distL="0" distR="0">
            <wp:extent cx="420370"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-iii-</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60"/>
        <w:spacing w:after="0"/>
        <w:rPr>
          <w:sz w:val="20"/>
          <w:szCs w:val="20"/>
          <w:color w:val="auto"/>
        </w:rPr>
      </w:pPr>
      <w:r>
        <w:rPr>
          <w:rFonts w:ascii="Arial" w:cs="Arial" w:eastAsia="Arial" w:hAnsi="Arial"/>
          <w:sz w:val="19"/>
          <w:szCs w:val="19"/>
          <w:color w:val="0075C9"/>
        </w:rPr>
        <w:t>Executive Pay Structure Aligns with Compensation Philosophy</w:t>
      </w:r>
    </w:p>
    <w:p>
      <w:pPr>
        <w:spacing w:after="0" w:line="15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feedback and perspectives received from stockholders during these meetings were shared with the Board and served as an input to discussions at the Board and its committees, and ultimately informed decisions we made and actions we took for long-term value creation for our stockholders. We have also enhanced disclosures regarding the topics discussed during these stockholder engagement meetings. The table below provides a summary of the executive compensation-based feedback we received from stockholders, how the Board incorporated the feedback into its actions, and how these actions enhance stockholder value.</w:t>
      </w:r>
    </w:p>
    <w:p>
      <w:pPr>
        <w:spacing w:after="0" w:line="201" w:lineRule="exact"/>
        <w:rPr>
          <w:sz w:val="20"/>
          <w:szCs w:val="20"/>
          <w:color w:val="auto"/>
        </w:rPr>
      </w:pPr>
    </w:p>
    <w:tbl>
      <w:tblPr>
        <w:tblLayout w:type="fixed"/>
        <w:tblInd w:w="130" w:type="dxa"/>
        <w:tblCellMar>
          <w:top w:w="0" w:type="dxa"/>
          <w:left w:w="0" w:type="dxa"/>
          <w:bottom w:w="0" w:type="dxa"/>
          <w:right w:w="0" w:type="dxa"/>
        </w:tblCellMar>
      </w:tblPr>
      <w:tr>
        <w:trPr>
          <w:trHeight w:val="242"/>
        </w:trPr>
        <w:tc>
          <w:tcPr>
            <w:tcW w:w="3720" w:type="dxa"/>
            <w:vAlign w:val="bottom"/>
            <w:tcBorders>
              <w:top w:val="single" w:sz="8" w:color="auto"/>
              <w:left w:val="single" w:sz="8" w:color="auto"/>
              <w:right w:val="single" w:sz="8" w:color="auto"/>
            </w:tcBorders>
            <w:shd w:val="clear" w:color="auto" w:fill="0075C9"/>
          </w:tcPr>
          <w:p>
            <w:pPr>
              <w:ind w:left="1060"/>
              <w:spacing w:after="0"/>
              <w:rPr>
                <w:sz w:val="20"/>
                <w:szCs w:val="20"/>
                <w:color w:val="auto"/>
              </w:rPr>
            </w:pPr>
            <w:r>
              <w:rPr>
                <w:rFonts w:ascii="Arial" w:cs="Arial" w:eastAsia="Arial" w:hAnsi="Arial"/>
                <w:sz w:val="16"/>
                <w:szCs w:val="16"/>
                <w:b w:val="1"/>
                <w:bCs w:val="1"/>
                <w:color w:val="FFFFFF"/>
              </w:rPr>
              <w:t>Stockholder Feedback</w:t>
            </w:r>
          </w:p>
        </w:tc>
        <w:tc>
          <w:tcPr>
            <w:tcW w:w="3720" w:type="dxa"/>
            <w:vAlign w:val="bottom"/>
            <w:tcBorders>
              <w:top w:val="single" w:sz="8" w:color="auto"/>
              <w:right w:val="single" w:sz="8" w:color="auto"/>
            </w:tcBorders>
            <w:shd w:val="clear" w:color="auto" w:fill="0075C9"/>
          </w:tcPr>
          <w:p>
            <w:pPr>
              <w:ind w:left="1360"/>
              <w:spacing w:after="0"/>
              <w:rPr>
                <w:sz w:val="20"/>
                <w:szCs w:val="20"/>
                <w:color w:val="auto"/>
              </w:rPr>
            </w:pPr>
            <w:r>
              <w:rPr>
                <w:rFonts w:ascii="Arial" w:cs="Arial" w:eastAsia="Arial" w:hAnsi="Arial"/>
                <w:sz w:val="16"/>
                <w:szCs w:val="16"/>
                <w:b w:val="1"/>
                <w:bCs w:val="1"/>
                <w:color w:val="FFFFFF"/>
              </w:rPr>
              <w:t>Actions Taken</w:t>
            </w:r>
          </w:p>
        </w:tc>
        <w:tc>
          <w:tcPr>
            <w:tcW w:w="3600" w:type="dxa"/>
            <w:vAlign w:val="bottom"/>
            <w:tcBorders>
              <w:top w:val="single" w:sz="8" w:color="auto"/>
              <w:right w:val="single" w:sz="8" w:color="auto"/>
            </w:tcBorders>
            <w:shd w:val="clear" w:color="auto" w:fill="0075C9"/>
          </w:tcPr>
          <w:p>
            <w:pPr>
              <w:ind w:left="1180"/>
              <w:spacing w:after="0"/>
              <w:rPr>
                <w:sz w:val="20"/>
                <w:szCs w:val="20"/>
                <w:color w:val="auto"/>
              </w:rPr>
            </w:pPr>
            <w:r>
              <w:rPr>
                <w:rFonts w:ascii="Arial" w:cs="Arial" w:eastAsia="Arial" w:hAnsi="Arial"/>
                <w:sz w:val="16"/>
                <w:szCs w:val="16"/>
                <w:b w:val="1"/>
                <w:bCs w:val="1"/>
                <w:color w:val="FFFFFF"/>
              </w:rPr>
              <w:t>Impact of Action</w:t>
            </w: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right w:val="single" w:sz="8" w:color="auto"/>
            </w:tcBorders>
            <w:shd w:val="clear" w:color="auto" w:fill="0075C9"/>
          </w:tcPr>
          <w:p>
            <w:pPr>
              <w:ind w:left="1260"/>
              <w:spacing w:after="0"/>
              <w:rPr>
                <w:sz w:val="20"/>
                <w:szCs w:val="20"/>
                <w:color w:val="auto"/>
              </w:rPr>
            </w:pPr>
            <w:r>
              <w:rPr>
                <w:rFonts w:ascii="Arial" w:cs="Arial" w:eastAsia="Arial" w:hAnsi="Arial"/>
                <w:sz w:val="16"/>
                <w:szCs w:val="16"/>
                <w:b w:val="1"/>
                <w:bCs w:val="1"/>
                <w:color w:val="FFFFFF"/>
              </w:rPr>
              <w:t>“What We Heard”</w:t>
            </w:r>
          </w:p>
        </w:tc>
        <w:tc>
          <w:tcPr>
            <w:tcW w:w="3720" w:type="dxa"/>
            <w:vAlign w:val="bottom"/>
            <w:tcBorders>
              <w:right w:val="single" w:sz="8" w:color="auto"/>
            </w:tcBorders>
            <w:shd w:val="clear" w:color="auto" w:fill="0075C9"/>
          </w:tcPr>
          <w:p>
            <w:pPr>
              <w:ind w:left="1320"/>
              <w:spacing w:after="0"/>
              <w:rPr>
                <w:sz w:val="20"/>
                <w:szCs w:val="20"/>
                <w:color w:val="auto"/>
              </w:rPr>
            </w:pPr>
            <w:r>
              <w:rPr>
                <w:rFonts w:ascii="Arial" w:cs="Arial" w:eastAsia="Arial" w:hAnsi="Arial"/>
                <w:sz w:val="16"/>
                <w:szCs w:val="16"/>
                <w:b w:val="1"/>
                <w:bCs w:val="1"/>
                <w:color w:val="FFFFFF"/>
              </w:rPr>
              <w:t>“What We Did”</w:t>
            </w:r>
          </w:p>
        </w:tc>
        <w:tc>
          <w:tcPr>
            <w:tcW w:w="3600" w:type="dxa"/>
            <w:vAlign w:val="bottom"/>
            <w:tcBorders>
              <w:right w:val="single" w:sz="8" w:color="auto"/>
            </w:tcBorders>
            <w:shd w:val="clear" w:color="auto" w:fill="0075C9"/>
          </w:tcPr>
          <w:p>
            <w:pPr>
              <w:ind w:left="1000"/>
              <w:spacing w:after="0"/>
              <w:rPr>
                <w:sz w:val="20"/>
                <w:szCs w:val="20"/>
                <w:color w:val="auto"/>
              </w:rPr>
            </w:pPr>
            <w:r>
              <w:rPr>
                <w:rFonts w:ascii="Arial" w:cs="Arial" w:eastAsia="Arial" w:hAnsi="Arial"/>
                <w:sz w:val="16"/>
                <w:szCs w:val="16"/>
                <w:b w:val="1"/>
                <w:bCs w:val="1"/>
                <w:color w:val="FFFFFF"/>
              </w:rPr>
              <w:t>“Why It Is Important”</w:t>
            </w:r>
          </w:p>
        </w:tc>
        <w:tc>
          <w:tcPr>
            <w:tcW w:w="0" w:type="dxa"/>
            <w:vAlign w:val="bottom"/>
          </w:tcPr>
          <w:p>
            <w:pPr>
              <w:spacing w:after="0"/>
              <w:rPr>
                <w:sz w:val="1"/>
                <w:szCs w:val="1"/>
                <w:color w:val="auto"/>
              </w:rPr>
            </w:pPr>
          </w:p>
        </w:tc>
      </w:tr>
      <w:tr>
        <w:trPr>
          <w:trHeight w:val="62"/>
        </w:trPr>
        <w:tc>
          <w:tcPr>
            <w:tcW w:w="3720" w:type="dxa"/>
            <w:vAlign w:val="bottom"/>
            <w:tcBorders>
              <w:left w:val="single" w:sz="8" w:color="auto"/>
              <w:bottom w:val="single" w:sz="8" w:color="auto"/>
              <w:right w:val="single" w:sz="8" w:color="auto"/>
            </w:tcBorders>
            <w:shd w:val="clear" w:color="auto" w:fill="0075C9"/>
          </w:tcPr>
          <w:p>
            <w:pPr>
              <w:spacing w:after="0"/>
              <w:rPr>
                <w:sz w:val="5"/>
                <w:szCs w:val="5"/>
                <w:color w:val="auto"/>
              </w:rPr>
            </w:pPr>
          </w:p>
        </w:tc>
        <w:tc>
          <w:tcPr>
            <w:tcW w:w="3720" w:type="dxa"/>
            <w:vAlign w:val="bottom"/>
            <w:tcBorders>
              <w:bottom w:val="single" w:sz="8" w:color="auto"/>
              <w:right w:val="single" w:sz="8" w:color="auto"/>
            </w:tcBorders>
            <w:shd w:val="clear" w:color="auto" w:fill="0075C9"/>
          </w:tcPr>
          <w:p>
            <w:pPr>
              <w:spacing w:after="0"/>
              <w:rPr>
                <w:sz w:val="5"/>
                <w:szCs w:val="5"/>
                <w:color w:val="auto"/>
              </w:rPr>
            </w:pPr>
          </w:p>
        </w:tc>
        <w:tc>
          <w:tcPr>
            <w:tcW w:w="3600" w:type="dxa"/>
            <w:vAlign w:val="bottom"/>
            <w:tcBorders>
              <w:bottom w:val="single" w:sz="8" w:color="auto"/>
              <w:right w:val="single" w:sz="8" w:color="auto"/>
            </w:tcBorders>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720" w:type="dxa"/>
            <w:vAlign w:val="bottom"/>
            <w:tcBorders>
              <w:left w:val="single" w:sz="8" w:color="auto"/>
              <w:right w:val="single" w:sz="8" w:color="auto"/>
            </w:tcBorders>
          </w:tcPr>
          <w:p>
            <w:pPr>
              <w:spacing w:after="0"/>
              <w:rPr>
                <w:sz w:val="15"/>
                <w:szCs w:val="15"/>
                <w:color w:val="auto"/>
              </w:rPr>
            </w:pPr>
          </w:p>
        </w:tc>
        <w:tc>
          <w:tcPr>
            <w:tcW w:w="3720" w:type="dxa"/>
            <w:vAlign w:val="bottom"/>
            <w:tcBorders>
              <w:right w:val="single" w:sz="8" w:color="auto"/>
            </w:tcBorders>
          </w:tcPr>
          <w:p>
            <w:pPr>
              <w:ind w:left="100"/>
              <w:spacing w:after="0" w:line="18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Implemented additional requirements for our</w:t>
            </w:r>
          </w:p>
        </w:tc>
        <w:tc>
          <w:tcPr>
            <w:tcW w:w="3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STI program starting in 2026 to limit payouts to</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target for each financial metric:</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Revenue achievement component limited to</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Limit payout opportunities and outcomes when</w:t>
            </w:r>
          </w:p>
        </w:tc>
        <w:tc>
          <w:tcPr>
            <w:tcW w:w="37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target unless 2026 revenue surpasses 2025</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20" w:type="dxa"/>
            <w:vAlign w:val="bottom"/>
            <w:tcBorders>
              <w:left w:val="single" w:sz="8" w:color="auto"/>
              <w:right w:val="single" w:sz="8" w:color="auto"/>
            </w:tcBorders>
            <w:vMerge w:val="continue"/>
          </w:tcPr>
          <w:p>
            <w:pPr>
              <w:spacing w:after="0"/>
              <w:rPr>
                <w:sz w:val="15"/>
                <w:szCs w:val="15"/>
                <w:color w:val="auto"/>
              </w:rPr>
            </w:pPr>
          </w:p>
        </w:tc>
        <w:tc>
          <w:tcPr>
            <w:tcW w:w="3720" w:type="dxa"/>
            <w:vAlign w:val="bottom"/>
            <w:tcBorders>
              <w:right w:val="single" w:sz="8" w:color="auto"/>
            </w:tcBorders>
          </w:tcPr>
          <w:p>
            <w:pPr>
              <w:ind w:left="260"/>
              <w:spacing w:after="0" w:line="175" w:lineRule="exact"/>
              <w:rPr>
                <w:sz w:val="20"/>
                <w:szCs w:val="20"/>
                <w:color w:val="auto"/>
              </w:rPr>
            </w:pPr>
            <w:r>
              <w:rPr>
                <w:rFonts w:ascii="Arial" w:cs="Arial" w:eastAsia="Arial" w:hAnsi="Arial"/>
                <w:sz w:val="16"/>
                <w:szCs w:val="16"/>
                <w:color w:val="auto"/>
              </w:rPr>
              <w:t>revenue</w:t>
            </w:r>
          </w:p>
        </w:tc>
        <w:tc>
          <w:tcPr>
            <w:tcW w:w="3600" w:type="dxa"/>
            <w:vAlign w:val="bottom"/>
            <w:tcBorders>
              <w:right w:val="single" w:sz="8" w:color="auto"/>
            </w:tcBorders>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Limits financial metrics payouts when</w:t>
            </w:r>
          </w:p>
        </w:tc>
        <w:tc>
          <w:tcPr>
            <w:tcW w:w="0" w:type="dxa"/>
            <w:vAlign w:val="bottom"/>
          </w:tcPr>
          <w:p>
            <w:pPr>
              <w:spacing w:after="0"/>
              <w:rPr>
                <w:sz w:val="1"/>
                <w:szCs w:val="1"/>
                <w:color w:val="auto"/>
              </w:rPr>
            </w:pPr>
          </w:p>
        </w:tc>
      </w:tr>
      <w:tr>
        <w:trPr>
          <w:trHeight w:val="108"/>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Company financial performance is lower than the</w:t>
            </w: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  Growth product revenue achievement</w:t>
            </w:r>
          </w:p>
        </w:tc>
        <w:tc>
          <w:tcPr>
            <w:tcW w:w="3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720" w:type="dxa"/>
            <w:vAlign w:val="bottom"/>
            <w:tcBorders>
              <w:left w:val="single" w:sz="8" w:color="auto"/>
              <w:right w:val="single" w:sz="8" w:color="auto"/>
            </w:tcBorders>
            <w:vMerge w:val="continue"/>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3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performance is lower than prior year.</w:t>
            </w:r>
          </w:p>
        </w:tc>
        <w:tc>
          <w:tcPr>
            <w:tcW w:w="0" w:type="dxa"/>
            <w:vAlign w:val="bottom"/>
          </w:tcPr>
          <w:p>
            <w:pPr>
              <w:spacing w:after="0"/>
              <w:rPr>
                <w:sz w:val="1"/>
                <w:szCs w:val="1"/>
                <w:color w:val="auto"/>
              </w:rPr>
            </w:pPr>
          </w:p>
        </w:tc>
      </w:tr>
      <w:tr>
        <w:trPr>
          <w:trHeight w:val="203"/>
        </w:trPr>
        <w:tc>
          <w:tcPr>
            <w:tcW w:w="3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prior year.</w:t>
            </w:r>
          </w:p>
        </w:tc>
        <w:tc>
          <w:tcPr>
            <w:tcW w:w="37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component limited to target unless 2026 growth</w:t>
            </w:r>
          </w:p>
        </w:tc>
        <w:tc>
          <w:tcPr>
            <w:tcW w:w="36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product revenue surpasses 2025 growth</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product revenue, and</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EPS achievement component limited to target</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unless 2026 EPS exceeds the 90th percentile</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Borders>
              <w:left w:val="single" w:sz="8" w:color="auto"/>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of analyst consensus (as of January 2026).</w:t>
            </w:r>
          </w:p>
        </w:tc>
        <w:tc>
          <w:tcPr>
            <w:tcW w:w="3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720" w:type="dxa"/>
            <w:vAlign w:val="bottom"/>
            <w:tcBorders>
              <w:left w:val="single" w:sz="8" w:color="auto"/>
              <w:right w:val="single" w:sz="8" w:color="auto"/>
            </w:tcBorders>
          </w:tcPr>
          <w:p>
            <w:pPr>
              <w:ind w:left="160"/>
              <w:spacing w:after="0" w:line="168" w:lineRule="exact"/>
              <w:rPr>
                <w:sz w:val="20"/>
                <w:szCs w:val="20"/>
                <w:color w:val="auto"/>
              </w:rPr>
            </w:pPr>
            <w:r>
              <w:rPr>
                <w:rFonts w:ascii="Arial" w:cs="Arial" w:eastAsia="Arial" w:hAnsi="Arial"/>
                <w:sz w:val="16"/>
                <w:szCs w:val="16"/>
                <w:color w:val="auto"/>
              </w:rPr>
              <w:t>Include a pipeline performance metric into PSUs</w:t>
            </w:r>
          </w:p>
        </w:tc>
        <w:tc>
          <w:tcPr>
            <w:tcW w:w="3720" w:type="dxa"/>
            <w:vAlign w:val="bottom"/>
            <w:tcBorders>
              <w:right w:val="single" w:sz="8" w:color="auto"/>
            </w:tcBorders>
          </w:tcPr>
          <w:p>
            <w:pPr>
              <w:ind w:left="100"/>
              <w:spacing w:after="0" w:line="16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Added a new pipeline development metric to</w:t>
            </w:r>
          </w:p>
        </w:tc>
        <w:tc>
          <w:tcPr>
            <w:tcW w:w="3600" w:type="dxa"/>
            <w:vAlign w:val="bottom"/>
            <w:tcBorders>
              <w:right w:val="single" w:sz="8" w:color="auto"/>
            </w:tcBorders>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Strengthens PSU alignment with a key driver</w:t>
            </w:r>
          </w:p>
        </w:tc>
        <w:tc>
          <w:tcPr>
            <w:tcW w:w="0" w:type="dxa"/>
            <w:vAlign w:val="bottom"/>
          </w:tcPr>
          <w:p>
            <w:pPr>
              <w:spacing w:after="0"/>
              <w:rPr>
                <w:sz w:val="1"/>
                <w:szCs w:val="1"/>
                <w:color w:val="auto"/>
              </w:rPr>
            </w:pPr>
          </w:p>
        </w:tc>
      </w:tr>
      <w:tr>
        <w:trPr>
          <w:trHeight w:val="108"/>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to incentivize long-term pipeline growth.</w:t>
            </w: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2026 PSUs to incorporate our long-term</w:t>
            </w:r>
          </w:p>
        </w:tc>
        <w:tc>
          <w:tcPr>
            <w:tcW w:w="3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continue"/>
          </w:tcPr>
          <w:p>
            <w:pPr>
              <w:spacing w:after="0"/>
              <w:rPr>
                <w:sz w:val="8"/>
                <w:szCs w:val="8"/>
                <w:color w:val="auto"/>
              </w:rPr>
            </w:pPr>
          </w:p>
        </w:tc>
        <w:tc>
          <w:tcPr>
            <w:tcW w:w="3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long-term stockholder value.</w:t>
            </w:r>
          </w:p>
        </w:tc>
        <w:tc>
          <w:tcPr>
            <w:tcW w:w="0" w:type="dxa"/>
            <w:vAlign w:val="bottom"/>
          </w:tcPr>
          <w:p>
            <w:pPr>
              <w:spacing w:after="0"/>
              <w:rPr>
                <w:sz w:val="1"/>
                <w:szCs w:val="1"/>
                <w:color w:val="auto"/>
              </w:rPr>
            </w:pPr>
          </w:p>
        </w:tc>
      </w:tr>
      <w:tr>
        <w:trPr>
          <w:trHeight w:val="120"/>
        </w:trPr>
        <w:tc>
          <w:tcPr>
            <w:tcW w:w="3720" w:type="dxa"/>
            <w:vAlign w:val="bottom"/>
            <w:tcBorders>
              <w:left w:val="single" w:sz="8" w:color="auto"/>
              <w:right w:val="single" w:sz="8" w:color="auto"/>
            </w:tcBorders>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sustainable growth goals.</w:t>
            </w:r>
          </w:p>
        </w:tc>
        <w:tc>
          <w:tcPr>
            <w:tcW w:w="3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3720" w:type="dxa"/>
            <w:vAlign w:val="bottom"/>
            <w:tcBorders>
              <w:bottom w:val="single" w:sz="8" w:color="auto"/>
              <w:right w:val="single" w:sz="8" w:color="auto"/>
            </w:tcBorders>
            <w:vMerge w:val="continue"/>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Incentivize above-median performance.</w:t>
            </w:r>
          </w:p>
        </w:tc>
        <w:tc>
          <w:tcPr>
            <w:tcW w:w="3720" w:type="dxa"/>
            <w:vAlign w:val="bottom"/>
            <w:tcBorders>
              <w:right w:val="single" w:sz="8" w:color="auto"/>
            </w:tcBorders>
          </w:tcPr>
          <w:p>
            <w:pPr>
              <w:ind w:left="100"/>
              <w:spacing w:after="0" w:line="18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Increased rTSR metric target performance</w:t>
            </w:r>
          </w:p>
        </w:tc>
        <w:tc>
          <w:tcPr>
            <w:tcW w:w="3600" w:type="dxa"/>
            <w:vAlign w:val="bottom"/>
            <w:tcBorders>
              <w:right w:val="single" w:sz="8" w:color="auto"/>
            </w:tcBorders>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Increases the rigor required to achieve a</w:t>
            </w:r>
          </w:p>
        </w:tc>
        <w:tc>
          <w:tcPr>
            <w:tcW w:w="0" w:type="dxa"/>
            <w:vAlign w:val="bottom"/>
          </w:tcPr>
          <w:p>
            <w:pPr>
              <w:spacing w:after="0"/>
              <w:rPr>
                <w:sz w:val="1"/>
                <w:szCs w:val="1"/>
                <w:color w:val="auto"/>
              </w:rPr>
            </w:pPr>
          </w:p>
        </w:tc>
      </w:tr>
      <w:tr>
        <w:trPr>
          <w:trHeight w:val="94"/>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restart"/>
          </w:tcPr>
          <w:p>
            <w:pPr>
              <w:ind w:left="100"/>
              <w:spacing w:after="0" w:line="189" w:lineRule="exact"/>
              <w:rPr>
                <w:sz w:val="20"/>
                <w:szCs w:val="20"/>
                <w:color w:val="auto"/>
              </w:rPr>
            </w:pPr>
            <w:r>
              <w:rPr>
                <w:rFonts w:ascii="Arial" w:cs="Arial" w:eastAsia="Arial" w:hAnsi="Arial"/>
                <w:sz w:val="14"/>
                <w:szCs w:val="14"/>
                <w:color w:val="auto"/>
              </w:rPr>
              <w:t>requirement in our LTI Program from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to 55</w:t>
            </w:r>
            <w:r>
              <w:rPr>
                <w:rFonts w:ascii="Arial" w:cs="Arial" w:eastAsia="Arial" w:hAnsi="Arial"/>
                <w:sz w:val="21"/>
                <w:szCs w:val="21"/>
                <w:color w:val="auto"/>
                <w:vertAlign w:val="superscript"/>
              </w:rPr>
              <w:t>th</w:t>
            </w:r>
          </w:p>
        </w:tc>
        <w:tc>
          <w:tcPr>
            <w:tcW w:w="3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continue"/>
          </w:tcPr>
          <w:p>
            <w:pPr>
              <w:spacing w:after="0"/>
              <w:rPr>
                <w:sz w:val="8"/>
                <w:szCs w:val="8"/>
                <w:color w:val="auto"/>
              </w:rPr>
            </w:pPr>
          </w:p>
        </w:tc>
        <w:tc>
          <w:tcPr>
            <w:tcW w:w="3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100% payout for the rTSR metric.</w:t>
            </w:r>
          </w:p>
        </w:tc>
        <w:tc>
          <w:tcPr>
            <w:tcW w:w="0" w:type="dxa"/>
            <w:vAlign w:val="bottom"/>
          </w:tcPr>
          <w:p>
            <w:pPr>
              <w:spacing w:after="0"/>
              <w:rPr>
                <w:sz w:val="1"/>
                <w:szCs w:val="1"/>
                <w:color w:val="auto"/>
              </w:rPr>
            </w:pPr>
          </w:p>
        </w:tc>
      </w:tr>
      <w:tr>
        <w:trPr>
          <w:trHeight w:val="120"/>
        </w:trPr>
        <w:tc>
          <w:tcPr>
            <w:tcW w:w="3720" w:type="dxa"/>
            <w:vAlign w:val="bottom"/>
            <w:tcBorders>
              <w:left w:val="single" w:sz="8" w:color="auto"/>
              <w:right w:val="single" w:sz="8" w:color="auto"/>
            </w:tcBorders>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percentile in 2026.</w:t>
            </w:r>
          </w:p>
        </w:tc>
        <w:tc>
          <w:tcPr>
            <w:tcW w:w="3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3720" w:type="dxa"/>
            <w:vAlign w:val="bottom"/>
            <w:tcBorders>
              <w:bottom w:val="single" w:sz="8" w:color="auto"/>
              <w:right w:val="single" w:sz="8" w:color="auto"/>
            </w:tcBorders>
            <w:vMerge w:val="continue"/>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Ensure appropriate benchmarking.</w:t>
            </w:r>
          </w:p>
        </w:tc>
        <w:tc>
          <w:tcPr>
            <w:tcW w:w="3720" w:type="dxa"/>
            <w:vAlign w:val="bottom"/>
            <w:tcBorders>
              <w:right w:val="single" w:sz="8" w:color="auto"/>
            </w:tcBorders>
          </w:tcPr>
          <w:p>
            <w:pPr>
              <w:ind w:left="100"/>
              <w:spacing w:after="0" w:line="18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Updated 2026 peer group to remove three</w:t>
            </w:r>
          </w:p>
        </w:tc>
        <w:tc>
          <w:tcPr>
            <w:tcW w:w="3600" w:type="dxa"/>
            <w:vAlign w:val="bottom"/>
            <w:tcBorders>
              <w:right w:val="single" w:sz="8" w:color="auto"/>
            </w:tcBorders>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Better aligns our peer group closer to</w:t>
            </w:r>
          </w:p>
        </w:tc>
        <w:tc>
          <w:tcPr>
            <w:tcW w:w="0" w:type="dxa"/>
            <w:vAlign w:val="bottom"/>
          </w:tcPr>
          <w:p>
            <w:pPr>
              <w:spacing w:after="0"/>
              <w:rPr>
                <w:sz w:val="1"/>
                <w:szCs w:val="1"/>
                <w:color w:val="auto"/>
              </w:rPr>
            </w:pPr>
          </w:p>
        </w:tc>
      </w:tr>
      <w:tr>
        <w:trPr>
          <w:trHeight w:val="95"/>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peers (Eli Lilly, AbbVie and Merck) and add</w:t>
            </w:r>
          </w:p>
        </w:tc>
        <w:tc>
          <w:tcPr>
            <w:tcW w:w="3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continue"/>
          </w:tcPr>
          <w:p>
            <w:pPr>
              <w:spacing w:after="0"/>
              <w:rPr>
                <w:sz w:val="8"/>
                <w:szCs w:val="8"/>
                <w:color w:val="auto"/>
              </w:rPr>
            </w:pPr>
          </w:p>
        </w:tc>
        <w:tc>
          <w:tcPr>
            <w:tcW w:w="3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Biogen’s size, revenue and market cap.</w:t>
            </w:r>
          </w:p>
        </w:tc>
        <w:tc>
          <w:tcPr>
            <w:tcW w:w="0" w:type="dxa"/>
            <w:vAlign w:val="bottom"/>
          </w:tcPr>
          <w:p>
            <w:pPr>
              <w:spacing w:after="0"/>
              <w:rPr>
                <w:sz w:val="1"/>
                <w:szCs w:val="1"/>
                <w:color w:val="auto"/>
              </w:rPr>
            </w:pPr>
          </w:p>
        </w:tc>
      </w:tr>
      <w:tr>
        <w:trPr>
          <w:trHeight w:val="120"/>
        </w:trPr>
        <w:tc>
          <w:tcPr>
            <w:tcW w:w="3720" w:type="dxa"/>
            <w:vAlign w:val="bottom"/>
            <w:tcBorders>
              <w:left w:val="single" w:sz="8" w:color="auto"/>
              <w:right w:val="single" w:sz="8" w:color="auto"/>
            </w:tcBorders>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BeOne Medicines.</w:t>
            </w:r>
          </w:p>
        </w:tc>
        <w:tc>
          <w:tcPr>
            <w:tcW w:w="3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3720" w:type="dxa"/>
            <w:vAlign w:val="bottom"/>
            <w:tcBorders>
              <w:bottom w:val="single" w:sz="8" w:color="auto"/>
              <w:right w:val="single" w:sz="8" w:color="auto"/>
            </w:tcBorders>
            <w:vMerge w:val="continue"/>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720" w:type="dxa"/>
            <w:vAlign w:val="bottom"/>
            <w:tcBorders>
              <w:left w:val="single" w:sz="8" w:color="auto"/>
              <w:right w:val="single" w:sz="8" w:color="auto"/>
            </w:tcBorders>
          </w:tcPr>
          <w:p>
            <w:pPr>
              <w:ind w:left="160"/>
              <w:spacing w:after="0" w:line="168" w:lineRule="exact"/>
              <w:rPr>
                <w:sz w:val="20"/>
                <w:szCs w:val="20"/>
                <w:color w:val="auto"/>
              </w:rPr>
            </w:pPr>
            <w:r>
              <w:rPr>
                <w:rFonts w:ascii="Arial" w:cs="Arial" w:eastAsia="Arial" w:hAnsi="Arial"/>
                <w:sz w:val="16"/>
                <w:szCs w:val="16"/>
                <w:color w:val="auto"/>
              </w:rPr>
              <w:t>Greater emphasis on linking CEO compensation</w:t>
            </w:r>
          </w:p>
        </w:tc>
        <w:tc>
          <w:tcPr>
            <w:tcW w:w="3720" w:type="dxa"/>
            <w:vAlign w:val="bottom"/>
            <w:tcBorders>
              <w:right w:val="single" w:sz="8" w:color="auto"/>
            </w:tcBorders>
          </w:tcPr>
          <w:p>
            <w:pPr>
              <w:ind w:left="100"/>
              <w:spacing w:after="0" w:line="16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 2025, we calculated the CEO individual</w:t>
            </w:r>
          </w:p>
        </w:tc>
        <w:tc>
          <w:tcPr>
            <w:tcW w:w="3600" w:type="dxa"/>
            <w:vAlign w:val="bottom"/>
            <w:tcBorders>
              <w:right w:val="single" w:sz="8" w:color="auto"/>
            </w:tcBorders>
          </w:tcPr>
          <w:p>
            <w:pPr>
              <w:ind w:left="80"/>
              <w:spacing w:after="0" w:line="16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Shifts CEO short-term cash compensation to</w:t>
            </w: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to long-term value creation opportunities for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bonus multiplier component of the STI program</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directly align with long-term company</w:t>
            </w:r>
          </w:p>
        </w:tc>
        <w:tc>
          <w:tcPr>
            <w:tcW w:w="0" w:type="dxa"/>
            <w:vAlign w:val="bottom"/>
          </w:tcPr>
          <w:p>
            <w:pPr>
              <w:spacing w:after="0"/>
              <w:rPr>
                <w:sz w:val="1"/>
                <w:szCs w:val="1"/>
                <w:color w:val="auto"/>
              </w:rPr>
            </w:pPr>
          </w:p>
        </w:tc>
      </w:tr>
      <w:tr>
        <w:trPr>
          <w:trHeight w:val="217"/>
        </w:trPr>
        <w:tc>
          <w:tcPr>
            <w:tcW w:w="3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Biogen.</w:t>
            </w:r>
          </w:p>
        </w:tc>
        <w:tc>
          <w:tcPr>
            <w:tcW w:w="3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solely based on Company results.</w:t>
            </w:r>
          </w:p>
        </w:tc>
        <w:tc>
          <w:tcPr>
            <w:tcW w:w="3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82"/>
        </w:trPr>
        <w:tc>
          <w:tcPr>
            <w:tcW w:w="3720" w:type="dxa"/>
            <w:vAlign w:val="bottom"/>
            <w:tcBorders>
              <w:left w:val="single" w:sz="8" w:color="auto"/>
              <w:right w:val="single" w:sz="8" w:color="auto"/>
            </w:tcBorders>
          </w:tcPr>
          <w:p>
            <w:pPr>
              <w:spacing w:after="0"/>
              <w:rPr>
                <w:sz w:val="15"/>
                <w:szCs w:val="15"/>
                <w:color w:val="auto"/>
              </w:rPr>
            </w:pPr>
          </w:p>
        </w:tc>
        <w:tc>
          <w:tcPr>
            <w:tcW w:w="3720" w:type="dxa"/>
            <w:vAlign w:val="bottom"/>
            <w:tcBorders>
              <w:right w:val="single" w:sz="8" w:color="auto"/>
            </w:tcBorders>
          </w:tcPr>
          <w:p>
            <w:pPr>
              <w:ind w:left="100"/>
              <w:spacing w:after="0" w:line="18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Enhanced our disclosure to further explain our</w:t>
            </w:r>
          </w:p>
        </w:tc>
        <w:tc>
          <w:tcPr>
            <w:tcW w:w="3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Enhance disclosure of rationale and outcomes</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methodology for how and why we set financial</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targets in our executive compensation programs.</w:t>
            </w:r>
          </w:p>
        </w:tc>
        <w:tc>
          <w:tcPr>
            <w:tcW w:w="3600" w:type="dxa"/>
            <w:vAlign w:val="bottom"/>
            <w:tcBorders>
              <w:right w:val="single" w:sz="8" w:color="auto"/>
            </w:tcBorders>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Supports alignment of interests between</w:t>
            </w:r>
          </w:p>
        </w:tc>
        <w:tc>
          <w:tcPr>
            <w:tcW w:w="0" w:type="dxa"/>
            <w:vAlign w:val="bottom"/>
          </w:tcPr>
          <w:p>
            <w:pPr>
              <w:spacing w:after="0"/>
              <w:rPr>
                <w:sz w:val="1"/>
                <w:szCs w:val="1"/>
                <w:color w:val="auto"/>
              </w:rPr>
            </w:pPr>
          </w:p>
        </w:tc>
      </w:tr>
      <w:tr>
        <w:trPr>
          <w:trHeight w:val="163"/>
        </w:trPr>
        <w:tc>
          <w:tcPr>
            <w:tcW w:w="3720" w:type="dxa"/>
            <w:vAlign w:val="bottom"/>
            <w:tcBorders>
              <w:left w:val="single" w:sz="8" w:color="auto"/>
              <w:right w:val="single" w:sz="8" w:color="auto"/>
            </w:tcBorders>
          </w:tcPr>
          <w:p>
            <w:pPr>
              <w:ind w:left="160"/>
              <w:spacing w:after="0" w:line="163" w:lineRule="exact"/>
              <w:rPr>
                <w:sz w:val="20"/>
                <w:szCs w:val="20"/>
                <w:color w:val="auto"/>
              </w:rPr>
            </w:pPr>
            <w:r>
              <w:rPr>
                <w:rFonts w:ascii="Arial" w:cs="Arial" w:eastAsia="Arial" w:hAnsi="Arial"/>
                <w:sz w:val="16"/>
                <w:szCs w:val="16"/>
                <w:color w:val="auto"/>
              </w:rPr>
              <w:t>surrounding executive compensation programs</w:t>
            </w:r>
          </w:p>
        </w:tc>
        <w:tc>
          <w:tcPr>
            <w:tcW w:w="3720" w:type="dxa"/>
            <w:vAlign w:val="bottom"/>
            <w:tcBorders>
              <w:right w:val="single" w:sz="8" w:color="auto"/>
            </w:tcBorders>
            <w:vMerge w:val="continue"/>
          </w:tcPr>
          <w:p>
            <w:pPr>
              <w:spacing w:after="0"/>
              <w:rPr>
                <w:sz w:val="14"/>
                <w:szCs w:val="14"/>
                <w:color w:val="auto"/>
              </w:rPr>
            </w:pPr>
          </w:p>
        </w:tc>
        <w:tc>
          <w:tcPr>
            <w:tcW w:w="36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and decisions, including rationale behind setting</w:t>
            </w:r>
          </w:p>
        </w:tc>
        <w:tc>
          <w:tcPr>
            <w:tcW w:w="3720" w:type="dxa"/>
            <w:vAlign w:val="bottom"/>
            <w:tcBorders>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Continued to disclose details of our</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officers and stockholders.</w:t>
            </w:r>
          </w:p>
        </w:tc>
        <w:tc>
          <w:tcPr>
            <w:tcW w:w="0" w:type="dxa"/>
            <w:vAlign w:val="bottom"/>
          </w:tcPr>
          <w:p>
            <w:pPr>
              <w:spacing w:after="0"/>
              <w:rPr>
                <w:sz w:val="1"/>
                <w:szCs w:val="1"/>
                <w:color w:val="auto"/>
              </w:rPr>
            </w:pPr>
          </w:p>
        </w:tc>
      </w:tr>
      <w:tr>
        <w:trPr>
          <w:trHeight w:val="121"/>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financial targets in the STI program.</w:t>
            </w:r>
          </w:p>
        </w:tc>
        <w:tc>
          <w:tcPr>
            <w:tcW w:w="3720" w:type="dxa"/>
            <w:vAlign w:val="bottom"/>
            <w:tcBorders>
              <w:right w:val="single" w:sz="8" w:color="auto"/>
            </w:tcBorders>
          </w:tcPr>
          <w:p>
            <w:pPr>
              <w:ind w:left="100"/>
              <w:spacing w:after="0" w:line="121" w:lineRule="exact"/>
              <w:rPr>
                <w:sz w:val="20"/>
                <w:szCs w:val="20"/>
                <w:color w:val="auto"/>
              </w:rPr>
            </w:pPr>
            <w:r>
              <w:rPr>
                <w:rFonts w:ascii="Arial" w:cs="Arial" w:eastAsia="Arial" w:hAnsi="Arial"/>
                <w:sz w:val="14"/>
                <w:szCs w:val="14"/>
                <w:color w:val="auto"/>
              </w:rPr>
              <w:t>achievements against metrics once performance</w:t>
            </w: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720" w:type="dxa"/>
            <w:vAlign w:val="bottom"/>
            <w:tcBorders>
              <w:left w:val="single" w:sz="8" w:color="auto"/>
              <w:right w:val="single" w:sz="8" w:color="auto"/>
            </w:tcBorders>
            <w:vMerge w:val="continue"/>
          </w:tcPr>
          <w:p>
            <w:pPr>
              <w:spacing w:after="0"/>
              <w:rPr>
                <w:sz w:val="9"/>
                <w:szCs w:val="9"/>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periods have ended, including all financial</w:t>
            </w:r>
          </w:p>
        </w:tc>
        <w:tc>
          <w:tcPr>
            <w:tcW w:w="3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720" w:type="dxa"/>
            <w:vAlign w:val="bottom"/>
            <w:tcBorders>
              <w:left w:val="single" w:sz="8" w:color="auto"/>
              <w:right w:val="single" w:sz="8" w:color="auto"/>
            </w:tcBorders>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3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bottom w:val="single" w:sz="8" w:color="auto"/>
              <w:right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metrics.</w:t>
            </w:r>
          </w:p>
        </w:tc>
        <w:tc>
          <w:tcPr>
            <w:tcW w:w="3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37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1220"/>
              <w:spacing w:after="0"/>
              <w:rPr>
                <w:sz w:val="20"/>
                <w:szCs w:val="20"/>
                <w:color w:val="auto"/>
              </w:rPr>
            </w:pPr>
            <w:r>
              <w:rPr>
                <w:rFonts w:ascii="Arial" w:cs="Arial" w:eastAsia="Arial" w:hAnsi="Arial"/>
                <w:sz w:val="18"/>
                <w:szCs w:val="18"/>
                <w:color w:val="0075C9"/>
                <w:w w:val="98"/>
              </w:rPr>
              <w:t xml:space="preserve">   2026 Proxy Statement   </w:t>
            </w:r>
            <w:r>
              <w:rPr>
                <w:rFonts w:ascii="Arial" w:cs="Arial" w:eastAsia="Arial" w:hAnsi="Arial"/>
                <w:sz w:val="16"/>
                <w:szCs w:val="16"/>
                <w:color w:val="0075C9"/>
                <w:w w:val="98"/>
              </w:rPr>
              <w:t>-iv-</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-173355</wp:posOffset>
            </wp:positionV>
            <wp:extent cx="41973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60"/>
        <w:spacing w:after="0"/>
        <w:rPr>
          <w:sz w:val="20"/>
          <w:szCs w:val="20"/>
          <w:color w:val="auto"/>
        </w:rPr>
      </w:pPr>
      <w:r>
        <w:rPr>
          <w:rFonts w:ascii="Arial" w:cs="Arial" w:eastAsia="Arial" w:hAnsi="Arial"/>
          <w:sz w:val="19"/>
          <w:szCs w:val="19"/>
          <w:color w:val="0075C9"/>
        </w:rPr>
        <w:t>Executive Pay Structure Aligns with Compensation Philosophy</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32"/>
          <w:szCs w:val="32"/>
          <w:color w:val="0075C9"/>
        </w:rPr>
        <w:t>Executive Pay Structure Aligns with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178435</wp:posOffset>
            </wp:positionV>
            <wp:extent cx="7003415" cy="1980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3415" cy="1980565"/>
                    </a:xfrm>
                    <a:prstGeom prst="rect">
                      <a:avLst/>
                    </a:prstGeom>
                    <a:noFill/>
                  </pic:spPr>
                </pic:pic>
              </a:graphicData>
            </a:graphic>
          </wp:anchor>
        </w:drawing>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22"/>
          <w:szCs w:val="22"/>
          <w:color w:val="FFFFFF"/>
        </w:rPr>
        <w:t>Executive Compensation Philosophy</w:t>
      </w:r>
    </w:p>
    <w:p>
      <w:pPr>
        <w:spacing w:after="0" w:line="70" w:lineRule="exact"/>
        <w:rPr>
          <w:sz w:val="20"/>
          <w:szCs w:val="20"/>
          <w:color w:val="auto"/>
        </w:rPr>
      </w:pPr>
    </w:p>
    <w:p>
      <w:pPr>
        <w:ind w:left="280" w:right="100"/>
        <w:spacing w:after="0" w:line="259" w:lineRule="auto"/>
        <w:rPr>
          <w:sz w:val="20"/>
          <w:szCs w:val="20"/>
          <w:color w:val="auto"/>
        </w:rPr>
      </w:pPr>
      <w:r>
        <w:rPr>
          <w:rFonts w:ascii="Arial" w:cs="Arial" w:eastAsia="Arial" w:hAnsi="Arial"/>
          <w:sz w:val="16"/>
          <w:szCs w:val="16"/>
          <w:color w:val="auto"/>
        </w:rPr>
        <w:t>Our executive compensation philosophy is to reward executives for the creation of long-term stockholder value. We design performance-based executive compensation that rewards short-term achievements while maintaining accountability for long-term stockholder value creation. We also seek to maintain competitiveness with our peer group to enable us to attract and retain extraordinary leaders who perform at high levels and succeed in a demanding business environment.</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2880" w:type="dxa"/>
            <w:vAlign w:val="bottom"/>
            <w:tcBorders>
              <w:top w:val="single" w:sz="8" w:color="auto"/>
              <w:right w:val="single" w:sz="8" w:color="auto"/>
            </w:tcBorders>
            <w:shd w:val="clear" w:color="auto" w:fill="0075C9"/>
          </w:tcPr>
          <w:p>
            <w:pPr>
              <w:jc w:val="center"/>
              <w:ind w:left="36"/>
              <w:spacing w:after="0"/>
              <w:rPr>
                <w:sz w:val="20"/>
                <w:szCs w:val="20"/>
                <w:color w:val="auto"/>
              </w:rPr>
            </w:pPr>
            <w:r>
              <w:rPr>
                <w:rFonts w:ascii="Arial" w:cs="Arial" w:eastAsia="Arial" w:hAnsi="Arial"/>
                <w:sz w:val="16"/>
                <w:szCs w:val="16"/>
                <w:b w:val="1"/>
                <w:bCs w:val="1"/>
                <w:color w:val="FFFFFF"/>
              </w:rPr>
              <w:t>Mission Focused and</w:t>
            </w:r>
          </w:p>
        </w:tc>
        <w:tc>
          <w:tcPr>
            <w:tcW w:w="2760" w:type="dxa"/>
            <w:vAlign w:val="bottom"/>
            <w:tcBorders>
              <w:top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Competitively</w:t>
            </w:r>
          </w:p>
        </w:tc>
        <w:tc>
          <w:tcPr>
            <w:tcW w:w="2740" w:type="dxa"/>
            <w:vAlign w:val="bottom"/>
            <w:tcBorders>
              <w:top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Performance</w:t>
            </w:r>
          </w:p>
        </w:tc>
        <w:tc>
          <w:tcPr>
            <w:tcW w:w="2640" w:type="dxa"/>
            <w:vAlign w:val="bottom"/>
            <w:tcBorders>
              <w:top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Ownership</w:t>
            </w:r>
          </w:p>
        </w:tc>
      </w:tr>
      <w:tr>
        <w:trPr>
          <w:trHeight w:val="223"/>
        </w:trPr>
        <w:tc>
          <w:tcPr>
            <w:tcW w:w="2880" w:type="dxa"/>
            <w:vAlign w:val="bottom"/>
            <w:tcBorders>
              <w:right w:val="single" w:sz="8" w:color="auto"/>
            </w:tcBorders>
            <w:shd w:val="clear" w:color="auto" w:fill="0075C9"/>
          </w:tcPr>
          <w:p>
            <w:pPr>
              <w:jc w:val="center"/>
              <w:ind w:left="56"/>
              <w:spacing w:after="0"/>
              <w:rPr>
                <w:sz w:val="20"/>
                <w:szCs w:val="20"/>
                <w:color w:val="auto"/>
              </w:rPr>
            </w:pPr>
            <w:r>
              <w:rPr>
                <w:rFonts w:ascii="Arial" w:cs="Arial" w:eastAsia="Arial" w:hAnsi="Arial"/>
                <w:sz w:val="16"/>
                <w:szCs w:val="16"/>
                <w:b w:val="1"/>
                <w:bCs w:val="1"/>
                <w:color w:val="FFFFFF"/>
              </w:rPr>
              <w:t>Business Driven</w:t>
            </w:r>
          </w:p>
        </w:tc>
        <w:tc>
          <w:tcPr>
            <w:tcW w:w="276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Advantageous</w:t>
            </w:r>
          </w:p>
        </w:tc>
        <w:tc>
          <w:tcPr>
            <w:tcW w:w="274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Differentiated</w:t>
            </w:r>
          </w:p>
        </w:tc>
        <w:tc>
          <w:tcPr>
            <w:tcW w:w="2640" w:type="dxa"/>
            <w:vAlign w:val="bottom"/>
            <w:shd w:val="clear" w:color="auto" w:fill="0075C9"/>
          </w:tcPr>
          <w:p>
            <w:pPr>
              <w:jc w:val="center"/>
              <w:spacing w:after="0"/>
              <w:rPr>
                <w:sz w:val="20"/>
                <w:szCs w:val="20"/>
                <w:color w:val="auto"/>
              </w:rPr>
            </w:pPr>
            <w:r>
              <w:rPr>
                <w:rFonts w:ascii="Arial" w:cs="Arial" w:eastAsia="Arial" w:hAnsi="Arial"/>
                <w:sz w:val="16"/>
                <w:szCs w:val="16"/>
                <w:b w:val="1"/>
                <w:bCs w:val="1"/>
                <w:color w:val="FFFFFF"/>
                <w:w w:val="98"/>
              </w:rPr>
              <w:t>Aligned</w:t>
            </w:r>
          </w:p>
        </w:tc>
      </w:tr>
      <w:tr>
        <w:trPr>
          <w:trHeight w:val="62"/>
        </w:trPr>
        <w:tc>
          <w:tcPr>
            <w:tcW w:w="2880" w:type="dxa"/>
            <w:vAlign w:val="bottom"/>
            <w:tcBorders>
              <w:bottom w:val="single" w:sz="8" w:color="auto"/>
              <w:right w:val="single" w:sz="8" w:color="auto"/>
            </w:tcBorders>
            <w:shd w:val="clear" w:color="auto" w:fill="0075C9"/>
          </w:tcPr>
          <w:p>
            <w:pPr>
              <w:spacing w:after="0"/>
              <w:rPr>
                <w:sz w:val="5"/>
                <w:szCs w:val="5"/>
                <w:color w:val="auto"/>
              </w:rPr>
            </w:pPr>
          </w:p>
        </w:tc>
        <w:tc>
          <w:tcPr>
            <w:tcW w:w="2760" w:type="dxa"/>
            <w:vAlign w:val="bottom"/>
            <w:tcBorders>
              <w:bottom w:val="single" w:sz="8" w:color="auto"/>
              <w:right w:val="single" w:sz="8" w:color="auto"/>
            </w:tcBorders>
            <w:shd w:val="clear" w:color="auto" w:fill="0075C9"/>
          </w:tcPr>
          <w:p>
            <w:pPr>
              <w:spacing w:after="0"/>
              <w:rPr>
                <w:sz w:val="5"/>
                <w:szCs w:val="5"/>
                <w:color w:val="auto"/>
              </w:rPr>
            </w:pPr>
          </w:p>
        </w:tc>
        <w:tc>
          <w:tcPr>
            <w:tcW w:w="2740" w:type="dxa"/>
            <w:vAlign w:val="bottom"/>
            <w:tcBorders>
              <w:bottom w:val="single" w:sz="8" w:color="auto"/>
              <w:right w:val="single" w:sz="8" w:color="auto"/>
            </w:tcBorders>
            <w:shd w:val="clear" w:color="auto" w:fill="0075C9"/>
          </w:tcPr>
          <w:p>
            <w:pPr>
              <w:spacing w:after="0"/>
              <w:rPr>
                <w:sz w:val="5"/>
                <w:szCs w:val="5"/>
                <w:color w:val="auto"/>
              </w:rPr>
            </w:pPr>
          </w:p>
        </w:tc>
        <w:tc>
          <w:tcPr>
            <w:tcW w:w="2640" w:type="dxa"/>
            <w:vAlign w:val="bottom"/>
            <w:tcBorders>
              <w:bottom w:val="single" w:sz="8" w:color="auto"/>
            </w:tcBorders>
            <w:shd w:val="clear" w:color="auto" w:fill="0075C9"/>
          </w:tcPr>
          <w:p>
            <w:pPr>
              <w:spacing w:after="0"/>
              <w:rPr>
                <w:sz w:val="5"/>
                <w:szCs w:val="5"/>
                <w:color w:val="auto"/>
              </w:rPr>
            </w:pPr>
          </w:p>
        </w:tc>
      </w:tr>
      <w:tr>
        <w:trPr>
          <w:trHeight w:val="168"/>
        </w:trPr>
        <w:tc>
          <w:tcPr>
            <w:tcW w:w="2880" w:type="dxa"/>
            <w:vAlign w:val="bottom"/>
            <w:tcBorders>
              <w:right w:val="single" w:sz="8" w:color="auto"/>
            </w:tcBorders>
            <w:shd w:val="clear" w:color="auto" w:fill="E5F1F9"/>
          </w:tcPr>
          <w:p>
            <w:pPr>
              <w:jc w:val="center"/>
              <w:ind w:left="36"/>
              <w:spacing w:after="0" w:line="168" w:lineRule="exact"/>
              <w:rPr>
                <w:sz w:val="20"/>
                <w:szCs w:val="20"/>
                <w:color w:val="auto"/>
              </w:rPr>
            </w:pPr>
            <w:r>
              <w:rPr>
                <w:rFonts w:ascii="Arial" w:cs="Arial" w:eastAsia="Arial" w:hAnsi="Arial"/>
                <w:sz w:val="16"/>
                <w:szCs w:val="16"/>
                <w:color w:val="auto"/>
              </w:rPr>
              <w:t>We emphasize the importance of</w:t>
            </w:r>
          </w:p>
        </w:tc>
        <w:tc>
          <w:tcPr>
            <w:tcW w:w="2760" w:type="dxa"/>
            <w:vAlign w:val="bottom"/>
            <w:tcBorders>
              <w:right w:val="single" w:sz="8" w:color="auto"/>
            </w:tcBorders>
            <w:shd w:val="clear" w:color="auto" w:fill="E5F1F9"/>
          </w:tcPr>
          <w:p>
            <w:pPr>
              <w:jc w:val="center"/>
              <w:spacing w:after="0" w:line="168" w:lineRule="exact"/>
              <w:rPr>
                <w:sz w:val="20"/>
                <w:szCs w:val="20"/>
                <w:color w:val="auto"/>
              </w:rPr>
            </w:pPr>
            <w:r>
              <w:rPr>
                <w:rFonts w:ascii="Arial" w:cs="Arial" w:eastAsia="Arial" w:hAnsi="Arial"/>
                <w:sz w:val="16"/>
                <w:szCs w:val="16"/>
                <w:color w:val="auto"/>
              </w:rPr>
              <w:t>We benchmark against companies</w:t>
            </w:r>
          </w:p>
        </w:tc>
        <w:tc>
          <w:tcPr>
            <w:tcW w:w="2740" w:type="dxa"/>
            <w:vAlign w:val="bottom"/>
            <w:tcBorders>
              <w:right w:val="single" w:sz="8" w:color="auto"/>
            </w:tcBorders>
            <w:shd w:val="clear" w:color="auto" w:fill="E5F1F9"/>
          </w:tcPr>
          <w:p>
            <w:pPr>
              <w:jc w:val="center"/>
              <w:spacing w:after="0" w:line="168" w:lineRule="exact"/>
              <w:rPr>
                <w:sz w:val="20"/>
                <w:szCs w:val="20"/>
                <w:color w:val="auto"/>
              </w:rPr>
            </w:pPr>
            <w:r>
              <w:rPr>
                <w:rFonts w:ascii="Arial" w:cs="Arial" w:eastAsia="Arial" w:hAnsi="Arial"/>
                <w:sz w:val="16"/>
                <w:szCs w:val="16"/>
                <w:color w:val="auto"/>
              </w:rPr>
              <w:t>We align pay outcomes with</w:t>
            </w:r>
          </w:p>
        </w:tc>
        <w:tc>
          <w:tcPr>
            <w:tcW w:w="2640" w:type="dxa"/>
            <w:vAlign w:val="bottom"/>
            <w:shd w:val="clear" w:color="auto" w:fill="E5F1F9"/>
          </w:tcPr>
          <w:p>
            <w:pPr>
              <w:jc w:val="center"/>
              <w:spacing w:after="0" w:line="168" w:lineRule="exact"/>
              <w:rPr>
                <w:sz w:val="20"/>
                <w:szCs w:val="20"/>
                <w:color w:val="auto"/>
              </w:rPr>
            </w:pPr>
            <w:r>
              <w:rPr>
                <w:rFonts w:ascii="Arial" w:cs="Arial" w:eastAsia="Arial" w:hAnsi="Arial"/>
                <w:sz w:val="16"/>
                <w:szCs w:val="16"/>
                <w:color w:val="auto"/>
              </w:rPr>
              <w:t>We provide equity to all</w:t>
            </w:r>
          </w:p>
        </w:tc>
      </w:tr>
      <w:tr>
        <w:trPr>
          <w:trHeight w:val="189"/>
        </w:trPr>
        <w:tc>
          <w:tcPr>
            <w:tcW w:w="2880" w:type="dxa"/>
            <w:vAlign w:val="bottom"/>
            <w:tcBorders>
              <w:right w:val="single" w:sz="8" w:color="auto"/>
            </w:tcBorders>
            <w:shd w:val="clear" w:color="auto" w:fill="E5F1F9"/>
          </w:tcPr>
          <w:p>
            <w:pPr>
              <w:jc w:val="center"/>
              <w:ind w:left="36"/>
              <w:spacing w:after="0"/>
              <w:rPr>
                <w:sz w:val="20"/>
                <w:szCs w:val="20"/>
                <w:color w:val="auto"/>
              </w:rPr>
            </w:pPr>
            <w:r>
              <w:rPr>
                <w:rFonts w:ascii="Arial" w:cs="Arial" w:eastAsia="Arial" w:hAnsi="Arial"/>
                <w:sz w:val="16"/>
                <w:szCs w:val="16"/>
                <w:color w:val="auto"/>
              </w:rPr>
              <w:t>executing short-term goals while</w:t>
            </w:r>
          </w:p>
        </w:tc>
        <w:tc>
          <w:tcPr>
            <w:tcW w:w="276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we compete with for talent. Our</w:t>
            </w:r>
          </w:p>
        </w:tc>
        <w:tc>
          <w:tcPr>
            <w:tcW w:w="274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company and individual</w:t>
            </w:r>
          </w:p>
        </w:tc>
        <w:tc>
          <w:tcPr>
            <w:tcW w:w="264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employees to align their interest</w:t>
            </w:r>
          </w:p>
        </w:tc>
      </w:tr>
      <w:tr>
        <w:trPr>
          <w:trHeight w:val="189"/>
        </w:trPr>
        <w:tc>
          <w:tcPr>
            <w:tcW w:w="2880" w:type="dxa"/>
            <w:vAlign w:val="bottom"/>
            <w:tcBorders>
              <w:right w:val="single" w:sz="8" w:color="auto"/>
            </w:tcBorders>
            <w:shd w:val="clear" w:color="auto" w:fill="E5F1F9"/>
          </w:tcPr>
          <w:p>
            <w:pPr>
              <w:jc w:val="center"/>
              <w:ind w:left="56"/>
              <w:spacing w:after="0"/>
              <w:rPr>
                <w:sz w:val="20"/>
                <w:szCs w:val="20"/>
                <w:color w:val="auto"/>
              </w:rPr>
            </w:pPr>
            <w:r>
              <w:rPr>
                <w:rFonts w:ascii="Arial" w:cs="Arial" w:eastAsia="Arial" w:hAnsi="Arial"/>
                <w:sz w:val="16"/>
                <w:szCs w:val="16"/>
                <w:color w:val="auto"/>
              </w:rPr>
              <w:t>building and sustaining a foundation</w:t>
            </w:r>
          </w:p>
        </w:tc>
        <w:tc>
          <w:tcPr>
            <w:tcW w:w="276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compensation is designed to enable</w:t>
            </w:r>
          </w:p>
        </w:tc>
        <w:tc>
          <w:tcPr>
            <w:tcW w:w="274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performance and reward our best</w:t>
            </w:r>
          </w:p>
        </w:tc>
        <w:tc>
          <w:tcPr>
            <w:tcW w:w="264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with the company’s broader goal</w:t>
            </w:r>
          </w:p>
        </w:tc>
      </w:tr>
      <w:tr>
        <w:trPr>
          <w:trHeight w:val="189"/>
        </w:trPr>
        <w:tc>
          <w:tcPr>
            <w:tcW w:w="2880" w:type="dxa"/>
            <w:vAlign w:val="bottom"/>
            <w:tcBorders>
              <w:right w:val="single" w:sz="8" w:color="auto"/>
            </w:tcBorders>
            <w:shd w:val="clear" w:color="auto" w:fill="E5F1F9"/>
          </w:tcPr>
          <w:p>
            <w:pPr>
              <w:jc w:val="center"/>
              <w:ind w:left="56"/>
              <w:spacing w:after="0"/>
              <w:rPr>
                <w:sz w:val="20"/>
                <w:szCs w:val="20"/>
                <w:color w:val="auto"/>
              </w:rPr>
            </w:pPr>
            <w:r>
              <w:rPr>
                <w:rFonts w:ascii="Arial" w:cs="Arial" w:eastAsia="Arial" w:hAnsi="Arial"/>
                <w:sz w:val="16"/>
                <w:szCs w:val="16"/>
                <w:color w:val="auto"/>
              </w:rPr>
              <w:t>for long-term success in delivering</w:t>
            </w:r>
          </w:p>
        </w:tc>
        <w:tc>
          <w:tcPr>
            <w:tcW w:w="276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us to recruit, retain and motivate our</w:t>
            </w:r>
          </w:p>
        </w:tc>
        <w:tc>
          <w:tcPr>
            <w:tcW w:w="274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performers for exceeding</w:t>
            </w:r>
          </w:p>
        </w:tc>
        <w:tc>
          <w:tcPr>
            <w:tcW w:w="264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of creating long-term value for our</w:t>
            </w:r>
          </w:p>
        </w:tc>
      </w:tr>
      <w:tr>
        <w:trPr>
          <w:trHeight w:val="189"/>
        </w:trPr>
        <w:tc>
          <w:tcPr>
            <w:tcW w:w="2880" w:type="dxa"/>
            <w:vAlign w:val="bottom"/>
            <w:tcBorders>
              <w:right w:val="single" w:sz="8" w:color="auto"/>
            </w:tcBorders>
            <w:shd w:val="clear" w:color="auto" w:fill="E5F1F9"/>
          </w:tcPr>
          <w:p>
            <w:pPr>
              <w:jc w:val="center"/>
              <w:ind w:left="36"/>
              <w:spacing w:after="0"/>
              <w:rPr>
                <w:sz w:val="20"/>
                <w:szCs w:val="20"/>
                <w:color w:val="auto"/>
              </w:rPr>
            </w:pPr>
            <w:r>
              <w:rPr>
                <w:rFonts w:ascii="Arial" w:cs="Arial" w:eastAsia="Arial" w:hAnsi="Arial"/>
                <w:sz w:val="16"/>
                <w:szCs w:val="16"/>
                <w:color w:val="auto"/>
              </w:rPr>
              <w:t>meaningful and innovative therapies</w:t>
            </w:r>
          </w:p>
        </w:tc>
        <w:tc>
          <w:tcPr>
            <w:tcW w:w="276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leadership team to achieve</w:t>
            </w:r>
          </w:p>
        </w:tc>
        <w:tc>
          <w:tcPr>
            <w:tcW w:w="274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expectations</w:t>
            </w:r>
          </w:p>
        </w:tc>
        <w:tc>
          <w:tcPr>
            <w:tcW w:w="264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stockholders</w:t>
            </w:r>
          </w:p>
        </w:tc>
      </w:tr>
      <w:tr>
        <w:trPr>
          <w:trHeight w:val="189"/>
        </w:trPr>
        <w:tc>
          <w:tcPr>
            <w:tcW w:w="2880" w:type="dxa"/>
            <w:vAlign w:val="bottom"/>
            <w:tcBorders>
              <w:right w:val="single" w:sz="8" w:color="auto"/>
            </w:tcBorders>
            <w:shd w:val="clear" w:color="auto" w:fill="E5F1F9"/>
          </w:tcPr>
          <w:p>
            <w:pPr>
              <w:jc w:val="center"/>
              <w:ind w:left="36"/>
              <w:spacing w:after="0"/>
              <w:rPr>
                <w:sz w:val="20"/>
                <w:szCs w:val="20"/>
                <w:color w:val="auto"/>
              </w:rPr>
            </w:pPr>
            <w:r>
              <w:rPr>
                <w:rFonts w:ascii="Arial" w:cs="Arial" w:eastAsia="Arial" w:hAnsi="Arial"/>
                <w:sz w:val="16"/>
                <w:szCs w:val="16"/>
                <w:color w:val="auto"/>
              </w:rPr>
              <w:t>to patients leading to the creation of</w:t>
            </w:r>
          </w:p>
        </w:tc>
        <w:tc>
          <w:tcPr>
            <w:tcW w:w="276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exceptional results for the company</w:t>
            </w:r>
          </w:p>
        </w:tc>
        <w:tc>
          <w:tcPr>
            <w:tcW w:w="2740" w:type="dxa"/>
            <w:vAlign w:val="bottom"/>
            <w:tcBorders>
              <w:right w:val="single" w:sz="8" w:color="auto"/>
            </w:tcBorders>
            <w:shd w:val="clear" w:color="auto" w:fill="E5F1F9"/>
          </w:tcPr>
          <w:p>
            <w:pPr>
              <w:spacing w:after="0"/>
              <w:rPr>
                <w:sz w:val="16"/>
                <w:szCs w:val="16"/>
                <w:color w:val="auto"/>
              </w:rPr>
            </w:pPr>
          </w:p>
        </w:tc>
        <w:tc>
          <w:tcPr>
            <w:tcW w:w="2640" w:type="dxa"/>
            <w:vAlign w:val="bottom"/>
            <w:shd w:val="clear" w:color="auto" w:fill="E5F1F9"/>
          </w:tcPr>
          <w:p>
            <w:pPr>
              <w:spacing w:after="0"/>
              <w:rPr>
                <w:sz w:val="16"/>
                <w:szCs w:val="16"/>
                <w:color w:val="auto"/>
              </w:rPr>
            </w:pPr>
          </w:p>
        </w:tc>
      </w:tr>
      <w:tr>
        <w:trPr>
          <w:trHeight w:val="276"/>
        </w:trPr>
        <w:tc>
          <w:tcPr>
            <w:tcW w:w="2880" w:type="dxa"/>
            <w:vAlign w:val="bottom"/>
            <w:tcBorders>
              <w:bottom w:val="single" w:sz="8" w:color="E5F1F9"/>
              <w:right w:val="single" w:sz="8" w:color="auto"/>
            </w:tcBorders>
            <w:shd w:val="clear" w:color="auto" w:fill="E5F1F9"/>
          </w:tcPr>
          <w:p>
            <w:pPr>
              <w:jc w:val="center"/>
              <w:ind w:left="56"/>
              <w:spacing w:after="0"/>
              <w:rPr>
                <w:sz w:val="20"/>
                <w:szCs w:val="20"/>
                <w:color w:val="auto"/>
              </w:rPr>
            </w:pPr>
            <w:r>
              <w:rPr>
                <w:rFonts w:ascii="Arial" w:cs="Arial" w:eastAsia="Arial" w:hAnsi="Arial"/>
                <w:sz w:val="16"/>
                <w:szCs w:val="16"/>
                <w:color w:val="auto"/>
              </w:rPr>
              <w:t>long-term stockholder value</w:t>
            </w:r>
          </w:p>
        </w:tc>
        <w:tc>
          <w:tcPr>
            <w:tcW w:w="2760" w:type="dxa"/>
            <w:vAlign w:val="bottom"/>
            <w:tcBorders>
              <w:bottom w:val="single" w:sz="8" w:color="E5F1F9"/>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and our stockholders</w:t>
            </w:r>
          </w:p>
        </w:tc>
        <w:tc>
          <w:tcPr>
            <w:tcW w:w="2740" w:type="dxa"/>
            <w:vAlign w:val="bottom"/>
            <w:tcBorders>
              <w:bottom w:val="single" w:sz="8" w:color="E5F1F9"/>
              <w:right w:val="single" w:sz="8" w:color="auto"/>
            </w:tcBorders>
            <w:shd w:val="clear" w:color="auto" w:fill="E5F1F9"/>
          </w:tcPr>
          <w:p>
            <w:pPr>
              <w:spacing w:after="0"/>
              <w:rPr>
                <w:sz w:val="23"/>
                <w:szCs w:val="23"/>
                <w:color w:val="auto"/>
              </w:rPr>
            </w:pPr>
          </w:p>
        </w:tc>
        <w:tc>
          <w:tcPr>
            <w:tcW w:w="2640" w:type="dxa"/>
            <w:vAlign w:val="bottom"/>
            <w:tcBorders>
              <w:bottom w:val="single" w:sz="8" w:color="E5F1F9"/>
            </w:tcBorders>
            <w:shd w:val="clear" w:color="auto" w:fill="E5F1F9"/>
          </w:tcPr>
          <w:p>
            <w:pPr>
              <w:spacing w:after="0"/>
              <w:rPr>
                <w:sz w:val="23"/>
                <w:szCs w:val="23"/>
                <w:color w:val="auto"/>
              </w:rPr>
            </w:pPr>
          </w:p>
        </w:tc>
      </w:tr>
      <w:tr>
        <w:trPr>
          <w:trHeight w:val="478"/>
        </w:trPr>
        <w:tc>
          <w:tcPr>
            <w:tcW w:w="5640" w:type="dxa"/>
            <w:vAlign w:val="bottom"/>
            <w:tcBorders>
              <w:top w:val="single" w:sz="8" w:color="auto"/>
            </w:tcBorders>
            <w:gridSpan w:val="2"/>
          </w:tcPr>
          <w:p>
            <w:pPr>
              <w:spacing w:after="0"/>
              <w:rPr>
                <w:sz w:val="20"/>
                <w:szCs w:val="20"/>
                <w:color w:val="auto"/>
              </w:rPr>
            </w:pPr>
            <w:r>
              <w:rPr>
                <w:rFonts w:ascii="Arial" w:cs="Arial" w:eastAsia="Arial" w:hAnsi="Arial"/>
                <w:sz w:val="22"/>
                <w:szCs w:val="22"/>
                <w:b w:val="1"/>
                <w:bCs w:val="1"/>
                <w:color w:val="0075C9"/>
              </w:rPr>
              <w:t>How Our Pay Practices Align with Our Philosophy</w:t>
            </w:r>
          </w:p>
        </w:tc>
        <w:tc>
          <w:tcPr>
            <w:tcW w:w="274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r>
    </w:tbl>
    <w:p>
      <w:pPr>
        <w:spacing w:after="0" w:line="197" w:lineRule="exact"/>
        <w:rPr>
          <w:sz w:val="20"/>
          <w:szCs w:val="20"/>
          <w:color w:val="auto"/>
        </w:rPr>
      </w:pPr>
    </w:p>
    <w:tbl>
      <w:tblPr>
        <w:tblLayout w:type="fixed"/>
        <w:tblInd w:w="130" w:type="dxa"/>
        <w:tblCellMar>
          <w:top w:w="0" w:type="dxa"/>
          <w:left w:w="0" w:type="dxa"/>
          <w:bottom w:w="0" w:type="dxa"/>
          <w:right w:w="0" w:type="dxa"/>
        </w:tblCellMar>
      </w:tblPr>
      <w:tr>
        <w:trPr>
          <w:trHeight w:val="242"/>
        </w:trPr>
        <w:tc>
          <w:tcPr>
            <w:tcW w:w="4440" w:type="dxa"/>
            <w:vAlign w:val="bottom"/>
            <w:tcBorders>
              <w:top w:val="single" w:sz="8" w:color="auto"/>
              <w:left w:val="single" w:sz="8" w:color="auto"/>
              <w:right w:val="single" w:sz="8" w:color="auto"/>
            </w:tcBorders>
            <w:shd w:val="clear" w:color="auto" w:fill="0075C9"/>
          </w:tcPr>
          <w:p>
            <w:pPr>
              <w:spacing w:after="0"/>
              <w:rPr>
                <w:sz w:val="21"/>
                <w:szCs w:val="21"/>
                <w:color w:val="auto"/>
              </w:rPr>
            </w:pPr>
          </w:p>
        </w:tc>
        <w:tc>
          <w:tcPr>
            <w:tcW w:w="1780" w:type="dxa"/>
            <w:vAlign w:val="bottom"/>
            <w:tcBorders>
              <w:top w:val="single" w:sz="8" w:color="auto"/>
              <w:right w:val="single" w:sz="8" w:color="auto"/>
            </w:tcBorders>
            <w:shd w:val="clear" w:color="auto" w:fill="0075C9"/>
          </w:tcPr>
          <w:p>
            <w:pPr>
              <w:ind w:left="140"/>
              <w:spacing w:after="0"/>
              <w:rPr>
                <w:sz w:val="20"/>
                <w:szCs w:val="20"/>
                <w:color w:val="auto"/>
              </w:rPr>
            </w:pPr>
            <w:r>
              <w:rPr>
                <w:rFonts w:ascii="Arial" w:cs="Arial" w:eastAsia="Arial" w:hAnsi="Arial"/>
                <w:sz w:val="16"/>
                <w:szCs w:val="16"/>
                <w:b w:val="1"/>
                <w:bCs w:val="1"/>
                <w:color w:val="FFFFFF"/>
              </w:rPr>
              <w:t>  Mission Focused /</w:t>
            </w:r>
          </w:p>
        </w:tc>
        <w:tc>
          <w:tcPr>
            <w:tcW w:w="1740" w:type="dxa"/>
            <w:vAlign w:val="bottom"/>
            <w:tcBorders>
              <w:top w:val="single" w:sz="8" w:color="auto"/>
              <w:right w:val="single" w:sz="8" w:color="auto"/>
            </w:tcBorders>
            <w:shd w:val="clear" w:color="auto" w:fill="0075C9"/>
          </w:tcPr>
          <w:p>
            <w:pPr>
              <w:ind w:left="420"/>
              <w:spacing w:after="0"/>
              <w:rPr>
                <w:sz w:val="20"/>
                <w:szCs w:val="20"/>
                <w:color w:val="auto"/>
              </w:rPr>
            </w:pPr>
            <w:r>
              <w:rPr>
                <w:rFonts w:ascii="Arial" w:cs="Arial" w:eastAsia="Arial" w:hAnsi="Arial"/>
                <w:sz w:val="16"/>
                <w:szCs w:val="16"/>
                <w:b w:val="1"/>
                <w:bCs w:val="1"/>
                <w:color w:val="FFFFFF"/>
              </w:rPr>
              <w:t>Competitively</w:t>
            </w:r>
          </w:p>
        </w:tc>
        <w:tc>
          <w:tcPr>
            <w:tcW w:w="1660" w:type="dxa"/>
            <w:vAlign w:val="bottom"/>
            <w:tcBorders>
              <w:top w:val="single" w:sz="8" w:color="auto"/>
              <w:right w:val="single" w:sz="8" w:color="auto"/>
            </w:tcBorders>
            <w:shd w:val="clear" w:color="auto" w:fill="0075C9"/>
          </w:tcPr>
          <w:p>
            <w:pPr>
              <w:jc w:val="center"/>
              <w:ind w:left="104"/>
              <w:spacing w:after="0"/>
              <w:rPr>
                <w:sz w:val="20"/>
                <w:szCs w:val="20"/>
                <w:color w:val="auto"/>
              </w:rPr>
            </w:pPr>
            <w:r>
              <w:rPr>
                <w:rFonts w:ascii="Arial" w:cs="Arial" w:eastAsia="Arial" w:hAnsi="Arial"/>
                <w:sz w:val="16"/>
                <w:szCs w:val="16"/>
                <w:b w:val="1"/>
                <w:bCs w:val="1"/>
                <w:color w:val="FFFFFF"/>
              </w:rPr>
              <w:t>Performance</w:t>
            </w:r>
          </w:p>
        </w:tc>
        <w:tc>
          <w:tcPr>
            <w:tcW w:w="1420" w:type="dxa"/>
            <w:vAlign w:val="bottom"/>
            <w:tcBorders>
              <w:top w:val="single" w:sz="8" w:color="auto"/>
              <w:right w:val="single" w:sz="8" w:color="auto"/>
            </w:tcBorders>
            <w:shd w:val="clear" w:color="auto" w:fill="0075C9"/>
          </w:tcPr>
          <w:p>
            <w:pPr>
              <w:ind w:left="260"/>
              <w:spacing w:after="0"/>
              <w:rPr>
                <w:sz w:val="20"/>
                <w:szCs w:val="20"/>
                <w:color w:val="auto"/>
              </w:rPr>
            </w:pPr>
            <w:r>
              <w:rPr>
                <w:rFonts w:ascii="Arial" w:cs="Arial" w:eastAsia="Arial" w:hAnsi="Arial"/>
                <w:sz w:val="16"/>
                <w:szCs w:val="16"/>
                <w:b w:val="1"/>
                <w:bCs w:val="1"/>
                <w:color w:val="FFFFFF"/>
              </w:rPr>
              <w:t>  Ownership</w:t>
            </w:r>
          </w:p>
        </w:tc>
        <w:tc>
          <w:tcPr>
            <w:tcW w:w="0" w:type="dxa"/>
            <w:vAlign w:val="bottom"/>
          </w:tcPr>
          <w:p>
            <w:pPr>
              <w:spacing w:after="0"/>
              <w:rPr>
                <w:sz w:val="1"/>
                <w:szCs w:val="1"/>
                <w:color w:val="auto"/>
              </w:rPr>
            </w:pPr>
          </w:p>
        </w:tc>
      </w:tr>
      <w:tr>
        <w:trPr>
          <w:trHeight w:val="276"/>
        </w:trPr>
        <w:tc>
          <w:tcPr>
            <w:tcW w:w="4440" w:type="dxa"/>
            <w:vAlign w:val="bottom"/>
            <w:tcBorders>
              <w:left w:val="single" w:sz="8" w:color="auto"/>
              <w:bottom w:val="single" w:sz="8" w:color="0075C9"/>
              <w:right w:val="single" w:sz="8" w:color="auto"/>
            </w:tcBorders>
            <w:shd w:val="clear" w:color="auto" w:fill="0075C9"/>
          </w:tcPr>
          <w:p>
            <w:pPr>
              <w:ind w:left="1960"/>
              <w:spacing w:after="0"/>
              <w:rPr>
                <w:sz w:val="20"/>
                <w:szCs w:val="20"/>
                <w:color w:val="auto"/>
              </w:rPr>
            </w:pPr>
            <w:r>
              <w:rPr>
                <w:rFonts w:ascii="Arial" w:cs="Arial" w:eastAsia="Arial" w:hAnsi="Arial"/>
                <w:sz w:val="16"/>
                <w:szCs w:val="16"/>
                <w:b w:val="1"/>
                <w:bCs w:val="1"/>
                <w:color w:val="FFFFFF"/>
              </w:rPr>
              <w:t>Practice</w:t>
            </w:r>
          </w:p>
        </w:tc>
        <w:tc>
          <w:tcPr>
            <w:tcW w:w="1780" w:type="dxa"/>
            <w:vAlign w:val="bottom"/>
            <w:tcBorders>
              <w:bottom w:val="single" w:sz="8" w:color="0075C9"/>
              <w:right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Business Driven</w:t>
            </w:r>
          </w:p>
        </w:tc>
        <w:tc>
          <w:tcPr>
            <w:tcW w:w="1740" w:type="dxa"/>
            <w:vAlign w:val="bottom"/>
            <w:tcBorders>
              <w:bottom w:val="single" w:sz="8" w:color="0075C9"/>
              <w:right w:val="single" w:sz="8" w:color="auto"/>
            </w:tcBorders>
            <w:shd w:val="clear" w:color="auto" w:fill="0075C9"/>
          </w:tcPr>
          <w:p>
            <w:pPr>
              <w:ind w:left="320"/>
              <w:spacing w:after="0"/>
              <w:rPr>
                <w:sz w:val="20"/>
                <w:szCs w:val="20"/>
                <w:color w:val="auto"/>
              </w:rPr>
            </w:pPr>
            <w:r>
              <w:rPr>
                <w:rFonts w:ascii="Arial" w:cs="Arial" w:eastAsia="Arial" w:hAnsi="Arial"/>
                <w:sz w:val="16"/>
                <w:szCs w:val="16"/>
                <w:b w:val="1"/>
                <w:bCs w:val="1"/>
                <w:color w:val="FFFFFF"/>
              </w:rPr>
              <w:t xml:space="preserve">  Advantageous </w:t>
            </w:r>
          </w:p>
        </w:tc>
        <w:tc>
          <w:tcPr>
            <w:tcW w:w="1660" w:type="dxa"/>
            <w:vAlign w:val="bottom"/>
            <w:tcBorders>
              <w:bottom w:val="single" w:sz="8" w:color="0075C9"/>
              <w:right w:val="single" w:sz="8" w:color="auto"/>
            </w:tcBorders>
            <w:shd w:val="clear" w:color="auto" w:fill="0075C9"/>
          </w:tcPr>
          <w:p>
            <w:pPr>
              <w:jc w:val="center"/>
              <w:ind w:left="44"/>
              <w:spacing w:after="0"/>
              <w:rPr>
                <w:sz w:val="20"/>
                <w:szCs w:val="20"/>
                <w:color w:val="auto"/>
              </w:rPr>
            </w:pPr>
            <w:r>
              <w:rPr>
                <w:rFonts w:ascii="Arial" w:cs="Arial" w:eastAsia="Arial" w:hAnsi="Arial"/>
                <w:sz w:val="16"/>
                <w:szCs w:val="16"/>
                <w:b w:val="1"/>
                <w:bCs w:val="1"/>
                <w:color w:val="FFFFFF"/>
              </w:rPr>
              <w:t xml:space="preserve">  Differentiated </w:t>
            </w:r>
          </w:p>
        </w:tc>
        <w:tc>
          <w:tcPr>
            <w:tcW w:w="1420" w:type="dxa"/>
            <w:vAlign w:val="bottom"/>
            <w:tcBorders>
              <w:bottom w:val="single" w:sz="8" w:color="0075C9"/>
              <w:right w:val="single" w:sz="8" w:color="auto"/>
            </w:tcBorders>
            <w:shd w:val="clear" w:color="auto" w:fill="0075C9"/>
          </w:tcPr>
          <w:p>
            <w:pPr>
              <w:jc w:val="center"/>
              <w:ind w:left="66"/>
              <w:spacing w:after="0"/>
              <w:rPr>
                <w:sz w:val="20"/>
                <w:szCs w:val="20"/>
                <w:color w:val="auto"/>
              </w:rPr>
            </w:pPr>
            <w:r>
              <w:rPr>
                <w:rFonts w:ascii="Arial" w:cs="Arial" w:eastAsia="Arial" w:hAnsi="Arial"/>
                <w:sz w:val="16"/>
                <w:szCs w:val="16"/>
                <w:b w:val="1"/>
                <w:bCs w:val="1"/>
                <w:color w:val="FFFFFF"/>
              </w:rPr>
              <w:t>Aligned</w:t>
            </w:r>
          </w:p>
        </w:tc>
        <w:tc>
          <w:tcPr>
            <w:tcW w:w="0" w:type="dxa"/>
            <w:vAlign w:val="bottom"/>
          </w:tcPr>
          <w:p>
            <w:pPr>
              <w:spacing w:after="0"/>
              <w:rPr>
                <w:sz w:val="1"/>
                <w:szCs w:val="1"/>
                <w:color w:val="auto"/>
              </w:rPr>
            </w:pPr>
          </w:p>
        </w:tc>
      </w:tr>
      <w:tr>
        <w:trPr>
          <w:trHeight w:val="201"/>
        </w:trPr>
        <w:tc>
          <w:tcPr>
            <w:tcW w:w="4440" w:type="dxa"/>
            <w:vAlign w:val="bottom"/>
            <w:tcBorders>
              <w:top w:val="single" w:sz="8" w:color="auto"/>
              <w:left w:val="single" w:sz="8" w:color="auto"/>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Variable compensation comprises over 90% of CEO and</w:t>
            </w:r>
          </w:p>
        </w:tc>
        <w:tc>
          <w:tcPr>
            <w:tcW w:w="1780" w:type="dxa"/>
            <w:vAlign w:val="bottom"/>
            <w:tcBorders>
              <w:top w:val="single" w:sz="8" w:color="auto"/>
              <w:right w:val="single" w:sz="8" w:color="auto"/>
            </w:tcBorders>
            <w:shd w:val="clear" w:color="auto" w:fill="E5F1F9"/>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top w:val="single" w:sz="8" w:color="auto"/>
              <w:right w:val="single" w:sz="8" w:color="auto"/>
            </w:tcBorders>
            <w:shd w:val="clear" w:color="auto" w:fill="E5F1F9"/>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Borders>
              <w:top w:val="single" w:sz="8" w:color="auto"/>
              <w:right w:val="single" w:sz="8" w:color="auto"/>
            </w:tcBorders>
            <w:shd w:val="clear" w:color="auto" w:fill="E5F1F9"/>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top w:val="single" w:sz="8" w:color="auto"/>
              <w:right w:val="single" w:sz="8" w:color="auto"/>
            </w:tcBorders>
            <w:shd w:val="clear" w:color="auto" w:fill="E5F1F9"/>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bottom w:val="single" w:sz="8" w:color="E5F1F9"/>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over 80% of the non-CEO NEO total compensation</w:t>
            </w:r>
          </w:p>
        </w:tc>
        <w:tc>
          <w:tcPr>
            <w:tcW w:w="1780" w:type="dxa"/>
            <w:vAlign w:val="bottom"/>
            <w:tcBorders>
              <w:bottom w:val="single" w:sz="8" w:color="E5F1F9"/>
              <w:right w:val="single" w:sz="8" w:color="auto"/>
            </w:tcBorders>
            <w:shd w:val="clear" w:color="auto" w:fill="E5F1F9"/>
          </w:tcPr>
          <w:p>
            <w:pPr>
              <w:spacing w:after="0"/>
              <w:rPr>
                <w:sz w:val="18"/>
                <w:szCs w:val="18"/>
                <w:color w:val="auto"/>
              </w:rPr>
            </w:pPr>
          </w:p>
        </w:tc>
        <w:tc>
          <w:tcPr>
            <w:tcW w:w="1740" w:type="dxa"/>
            <w:vAlign w:val="bottom"/>
            <w:tcBorders>
              <w:bottom w:val="single" w:sz="8" w:color="E5F1F9"/>
              <w:right w:val="single" w:sz="8" w:color="auto"/>
            </w:tcBorders>
            <w:shd w:val="clear" w:color="auto" w:fill="E5F1F9"/>
          </w:tcPr>
          <w:p>
            <w:pPr>
              <w:spacing w:after="0"/>
              <w:rPr>
                <w:sz w:val="18"/>
                <w:szCs w:val="18"/>
                <w:color w:val="auto"/>
              </w:rPr>
            </w:pPr>
          </w:p>
        </w:tc>
        <w:tc>
          <w:tcPr>
            <w:tcW w:w="1660" w:type="dxa"/>
            <w:vAlign w:val="bottom"/>
            <w:tcBorders>
              <w:bottom w:val="single" w:sz="8" w:color="E5F1F9"/>
              <w:right w:val="single" w:sz="8" w:color="auto"/>
            </w:tcBorders>
            <w:shd w:val="clear" w:color="auto" w:fill="E5F1F9"/>
          </w:tcPr>
          <w:p>
            <w:pPr>
              <w:spacing w:after="0"/>
              <w:rPr>
                <w:sz w:val="18"/>
                <w:szCs w:val="18"/>
                <w:color w:val="auto"/>
              </w:rPr>
            </w:pPr>
          </w:p>
        </w:tc>
        <w:tc>
          <w:tcPr>
            <w:tcW w:w="1420" w:type="dxa"/>
            <w:vAlign w:val="bottom"/>
            <w:tcBorders>
              <w:bottom w:val="single" w:sz="8" w:color="E5F1F9"/>
              <w:right w:val="single" w:sz="8" w:color="auto"/>
            </w:tcBorders>
            <w:shd w:val="clear" w:color="auto" w:fill="E5F1F9"/>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4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Annual STI and LTI programs are performance-based and</w:t>
            </w:r>
          </w:p>
        </w:tc>
        <w:tc>
          <w:tcPr>
            <w:tcW w:w="178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4"/>
                <w:szCs w:val="14"/>
                <w:color w:val="auto"/>
              </w:rPr>
              <w:t> </w:t>
            </w:r>
          </w:p>
        </w:tc>
        <w:tc>
          <w:tcPr>
            <w:tcW w:w="1660" w:type="dxa"/>
            <w:vAlign w:val="bottom"/>
            <w:tcBorders>
              <w:top w:val="single" w:sz="8" w:color="auto"/>
              <w:right w:val="single" w:sz="8" w:color="auto"/>
            </w:tcBorders>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top w:val="single" w:sz="8" w:color="auto"/>
              <w:right w:val="single" w:sz="8" w:color="auto"/>
            </w:tcBorders>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0"/>
        </w:trPr>
        <w:tc>
          <w:tcPr>
            <w:tcW w:w="44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include caps on payouts</w:t>
            </w:r>
          </w:p>
        </w:tc>
        <w:tc>
          <w:tcPr>
            <w:tcW w:w="17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440" w:type="dxa"/>
            <w:vAlign w:val="bottom"/>
            <w:tcBorders>
              <w:left w:val="single" w:sz="8" w:color="auto"/>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LTI awards are linked to performance, subject to multi-year</w:t>
            </w:r>
          </w:p>
        </w:tc>
        <w:tc>
          <w:tcPr>
            <w:tcW w:w="1780" w:type="dxa"/>
            <w:vAlign w:val="bottom"/>
            <w:tcBorders>
              <w:right w:val="single" w:sz="8" w:color="auto"/>
            </w:tcBorders>
            <w:shd w:val="clear" w:color="auto" w:fill="E5F1F9"/>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right w:val="single" w:sz="8" w:color="auto"/>
            </w:tcBorders>
            <w:shd w:val="clear" w:color="auto" w:fill="E5F1F9"/>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Borders>
              <w:right w:val="single" w:sz="8" w:color="auto"/>
            </w:tcBorders>
            <w:shd w:val="clear" w:color="auto" w:fill="E5F1F9"/>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right w:val="single" w:sz="8" w:color="auto"/>
            </w:tcBorders>
            <w:shd w:val="clear" w:color="auto" w:fill="E5F1F9"/>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bottom w:val="single" w:sz="8" w:color="E5F1F9"/>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vesting periods, and designed to reward long-term performance</w:t>
            </w:r>
          </w:p>
        </w:tc>
        <w:tc>
          <w:tcPr>
            <w:tcW w:w="1780" w:type="dxa"/>
            <w:vAlign w:val="bottom"/>
            <w:tcBorders>
              <w:bottom w:val="single" w:sz="8" w:color="E5F1F9"/>
              <w:right w:val="single" w:sz="8" w:color="auto"/>
            </w:tcBorders>
            <w:shd w:val="clear" w:color="auto" w:fill="E5F1F9"/>
          </w:tcPr>
          <w:p>
            <w:pPr>
              <w:spacing w:after="0"/>
              <w:rPr>
                <w:sz w:val="18"/>
                <w:szCs w:val="18"/>
                <w:color w:val="auto"/>
              </w:rPr>
            </w:pPr>
          </w:p>
        </w:tc>
        <w:tc>
          <w:tcPr>
            <w:tcW w:w="1740" w:type="dxa"/>
            <w:vAlign w:val="bottom"/>
            <w:tcBorders>
              <w:bottom w:val="single" w:sz="8" w:color="E5F1F9"/>
              <w:right w:val="single" w:sz="8" w:color="auto"/>
            </w:tcBorders>
            <w:shd w:val="clear" w:color="auto" w:fill="E5F1F9"/>
          </w:tcPr>
          <w:p>
            <w:pPr>
              <w:spacing w:after="0"/>
              <w:rPr>
                <w:sz w:val="18"/>
                <w:szCs w:val="18"/>
                <w:color w:val="auto"/>
              </w:rPr>
            </w:pPr>
          </w:p>
        </w:tc>
        <w:tc>
          <w:tcPr>
            <w:tcW w:w="1660" w:type="dxa"/>
            <w:vAlign w:val="bottom"/>
            <w:tcBorders>
              <w:bottom w:val="single" w:sz="8" w:color="E5F1F9"/>
              <w:right w:val="single" w:sz="8" w:color="auto"/>
            </w:tcBorders>
            <w:shd w:val="clear" w:color="auto" w:fill="E5F1F9"/>
          </w:tcPr>
          <w:p>
            <w:pPr>
              <w:spacing w:after="0"/>
              <w:rPr>
                <w:sz w:val="18"/>
                <w:szCs w:val="18"/>
                <w:color w:val="auto"/>
              </w:rPr>
            </w:pPr>
          </w:p>
        </w:tc>
        <w:tc>
          <w:tcPr>
            <w:tcW w:w="1420" w:type="dxa"/>
            <w:vAlign w:val="bottom"/>
            <w:tcBorders>
              <w:bottom w:val="single" w:sz="8" w:color="E5F1F9"/>
              <w:right w:val="single" w:sz="8" w:color="auto"/>
            </w:tcBorders>
            <w:shd w:val="clear" w:color="auto" w:fill="E5F1F9"/>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4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Total pay opportunities are competitive relative to peer group and</w:t>
            </w:r>
          </w:p>
        </w:tc>
        <w:tc>
          <w:tcPr>
            <w:tcW w:w="178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top w:val="single" w:sz="8" w:color="auto"/>
              <w:right w:val="single" w:sz="8" w:color="auto"/>
            </w:tcBorders>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Borders>
              <w:top w:val="single" w:sz="8" w:color="auto"/>
              <w:right w:val="single" w:sz="8" w:color="auto"/>
            </w:tcBorders>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top w:val="single" w:sz="8" w:color="auto"/>
              <w:right w:val="single" w:sz="8" w:color="auto"/>
            </w:tcBorders>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0"/>
        </w:trPr>
        <w:tc>
          <w:tcPr>
            <w:tcW w:w="44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the broader market in which we compete for talent</w:t>
            </w:r>
          </w:p>
        </w:tc>
        <w:tc>
          <w:tcPr>
            <w:tcW w:w="17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440" w:type="dxa"/>
            <w:vAlign w:val="bottom"/>
            <w:tcBorders>
              <w:left w:val="single" w:sz="8" w:color="auto"/>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Annual risk assessment performed to ensure our compensation</w:t>
            </w:r>
          </w:p>
        </w:tc>
        <w:tc>
          <w:tcPr>
            <w:tcW w:w="1780" w:type="dxa"/>
            <w:vAlign w:val="bottom"/>
            <w:tcBorders>
              <w:right w:val="single" w:sz="8" w:color="auto"/>
            </w:tcBorders>
            <w:shd w:val="clear" w:color="auto" w:fill="E5F1F9"/>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right w:val="single" w:sz="8" w:color="auto"/>
            </w:tcBorders>
            <w:shd w:val="clear" w:color="auto" w:fill="E5F1F9"/>
          </w:tcPr>
          <w:p>
            <w:pPr>
              <w:ind w:left="880"/>
              <w:spacing w:after="0"/>
              <w:rPr>
                <w:sz w:val="20"/>
                <w:szCs w:val="20"/>
                <w:color w:val="auto"/>
              </w:rPr>
            </w:pPr>
            <w:r>
              <w:rPr>
                <w:rFonts w:ascii="Arial" w:cs="Arial" w:eastAsia="Arial" w:hAnsi="Arial"/>
                <w:sz w:val="14"/>
                <w:szCs w:val="14"/>
                <w:color w:val="auto"/>
              </w:rPr>
              <w:t> </w:t>
            </w:r>
          </w:p>
        </w:tc>
        <w:tc>
          <w:tcPr>
            <w:tcW w:w="1660" w:type="dxa"/>
            <w:vAlign w:val="bottom"/>
            <w:tcBorders>
              <w:right w:val="single" w:sz="8" w:color="auto"/>
            </w:tcBorders>
            <w:shd w:val="clear" w:color="auto" w:fill="E5F1F9"/>
          </w:tcPr>
          <w:p>
            <w:pPr>
              <w:ind w:left="840"/>
              <w:spacing w:after="0"/>
              <w:rPr>
                <w:sz w:val="20"/>
                <w:szCs w:val="20"/>
                <w:color w:val="auto"/>
              </w:rPr>
            </w:pPr>
            <w:r>
              <w:rPr>
                <w:rFonts w:ascii="Arial" w:cs="Arial" w:eastAsia="Arial" w:hAnsi="Arial"/>
                <w:sz w:val="14"/>
                <w:szCs w:val="14"/>
                <w:color w:val="auto"/>
              </w:rPr>
              <w:t> </w:t>
            </w:r>
          </w:p>
        </w:tc>
        <w:tc>
          <w:tcPr>
            <w:tcW w:w="1420" w:type="dxa"/>
            <w:vAlign w:val="bottom"/>
            <w:tcBorders>
              <w:right w:val="single" w:sz="8" w:color="auto"/>
            </w:tcBorders>
            <w:shd w:val="clear" w:color="auto" w:fill="E5F1F9"/>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bottom w:val="single" w:sz="8" w:color="E5F1F9"/>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programs do not encourage excessive risk taking</w:t>
            </w:r>
          </w:p>
        </w:tc>
        <w:tc>
          <w:tcPr>
            <w:tcW w:w="1780" w:type="dxa"/>
            <w:vAlign w:val="bottom"/>
            <w:tcBorders>
              <w:bottom w:val="single" w:sz="8" w:color="E5F1F9"/>
              <w:right w:val="single" w:sz="8" w:color="auto"/>
            </w:tcBorders>
            <w:shd w:val="clear" w:color="auto" w:fill="E5F1F9"/>
          </w:tcPr>
          <w:p>
            <w:pPr>
              <w:spacing w:after="0"/>
              <w:rPr>
                <w:sz w:val="18"/>
                <w:szCs w:val="18"/>
                <w:color w:val="auto"/>
              </w:rPr>
            </w:pPr>
          </w:p>
        </w:tc>
        <w:tc>
          <w:tcPr>
            <w:tcW w:w="1740" w:type="dxa"/>
            <w:vAlign w:val="bottom"/>
            <w:tcBorders>
              <w:bottom w:val="single" w:sz="8" w:color="E5F1F9"/>
              <w:right w:val="single" w:sz="8" w:color="auto"/>
            </w:tcBorders>
            <w:shd w:val="clear" w:color="auto" w:fill="E5F1F9"/>
          </w:tcPr>
          <w:p>
            <w:pPr>
              <w:spacing w:after="0"/>
              <w:rPr>
                <w:sz w:val="18"/>
                <w:szCs w:val="18"/>
                <w:color w:val="auto"/>
              </w:rPr>
            </w:pPr>
          </w:p>
        </w:tc>
        <w:tc>
          <w:tcPr>
            <w:tcW w:w="1660" w:type="dxa"/>
            <w:vAlign w:val="bottom"/>
            <w:tcBorders>
              <w:bottom w:val="single" w:sz="8" w:color="E5F1F9"/>
              <w:right w:val="single" w:sz="8" w:color="auto"/>
            </w:tcBorders>
            <w:shd w:val="clear" w:color="auto" w:fill="E5F1F9"/>
          </w:tcPr>
          <w:p>
            <w:pPr>
              <w:spacing w:after="0"/>
              <w:rPr>
                <w:sz w:val="18"/>
                <w:szCs w:val="18"/>
                <w:color w:val="auto"/>
              </w:rPr>
            </w:pPr>
          </w:p>
        </w:tc>
        <w:tc>
          <w:tcPr>
            <w:tcW w:w="1420" w:type="dxa"/>
            <w:vAlign w:val="bottom"/>
            <w:tcBorders>
              <w:bottom w:val="single" w:sz="8" w:color="E5F1F9"/>
              <w:right w:val="single" w:sz="8" w:color="auto"/>
            </w:tcBorders>
            <w:shd w:val="clear" w:color="auto" w:fill="E5F1F9"/>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4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Application of robust stock ownership, anti-hedging and pledging</w:t>
            </w:r>
          </w:p>
        </w:tc>
        <w:tc>
          <w:tcPr>
            <w:tcW w:w="1780" w:type="dxa"/>
            <w:vAlign w:val="bottom"/>
            <w:tcBorders>
              <w:top w:val="single" w:sz="8" w:color="auto"/>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top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vMerge w:val="restart"/>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top w:val="single" w:sz="8" w:color="auto"/>
              <w:right w:val="single" w:sz="8" w:color="auto"/>
            </w:tcBorders>
            <w:vMerge w:val="restart"/>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44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policies, and clawback policies that exceed Dodd-Frank</w:t>
            </w:r>
          </w:p>
        </w:tc>
        <w:tc>
          <w:tcPr>
            <w:tcW w:w="1780" w:type="dxa"/>
            <w:vAlign w:val="bottom"/>
            <w:tcBorders>
              <w:right w:val="single" w:sz="8" w:color="auto"/>
            </w:tcBorders>
            <w:vMerge w:val="continue"/>
          </w:tcPr>
          <w:p>
            <w:pPr>
              <w:spacing w:after="0"/>
              <w:rPr>
                <w:sz w:val="14"/>
                <w:szCs w:val="14"/>
                <w:color w:val="auto"/>
              </w:rPr>
            </w:pPr>
          </w:p>
        </w:tc>
        <w:tc>
          <w:tcPr>
            <w:tcW w:w="1740" w:type="dxa"/>
            <w:vAlign w:val="bottom"/>
            <w:tcBorders>
              <w:right w:val="single" w:sz="8" w:color="auto"/>
            </w:tcBorders>
          </w:tcPr>
          <w:p>
            <w:pPr>
              <w:ind w:left="880"/>
              <w:spacing w:after="0"/>
              <w:rPr>
                <w:sz w:val="20"/>
                <w:szCs w:val="20"/>
                <w:color w:val="auto"/>
              </w:rPr>
            </w:pPr>
            <w:r>
              <w:rPr>
                <w:rFonts w:ascii="Arial" w:cs="Arial" w:eastAsia="Arial" w:hAnsi="Arial"/>
                <w:sz w:val="14"/>
                <w:szCs w:val="14"/>
                <w:color w:val="auto"/>
              </w:rPr>
              <w:t> </w:t>
            </w:r>
          </w:p>
        </w:tc>
        <w:tc>
          <w:tcPr>
            <w:tcW w:w="166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requirements</w:t>
            </w:r>
          </w:p>
        </w:tc>
        <w:tc>
          <w:tcPr>
            <w:tcW w:w="17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4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40" w:type="dxa"/>
            <w:vAlign w:val="bottom"/>
            <w:tcBorders>
              <w:left w:val="single" w:sz="8" w:color="auto"/>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Stockholder feedback is a key input to Board and committee</w:t>
            </w:r>
          </w:p>
        </w:tc>
        <w:tc>
          <w:tcPr>
            <w:tcW w:w="1780" w:type="dxa"/>
            <w:vAlign w:val="bottom"/>
            <w:tcBorders>
              <w:right w:val="single" w:sz="8" w:color="auto"/>
            </w:tcBorders>
            <w:vMerge w:val="restart"/>
            <w:shd w:val="clear" w:color="auto" w:fill="E5F1F9"/>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right w:val="single" w:sz="8" w:color="auto"/>
            </w:tcBorders>
            <w:vMerge w:val="restart"/>
            <w:shd w:val="clear" w:color="auto" w:fill="E5F1F9"/>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Borders>
              <w:right w:val="single" w:sz="8" w:color="auto"/>
            </w:tcBorders>
            <w:vMerge w:val="restart"/>
            <w:shd w:val="clear" w:color="auto" w:fill="E5F1F9"/>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right w:val="single" w:sz="8" w:color="auto"/>
            </w:tcBorders>
            <w:vMerge w:val="restart"/>
            <w:shd w:val="clear" w:color="auto" w:fill="E5F1F9"/>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4440" w:type="dxa"/>
            <w:vAlign w:val="bottom"/>
            <w:tcBorders>
              <w:left w:val="single" w:sz="8" w:color="auto"/>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discussions and informs actions taken for long-term value</w:t>
            </w:r>
          </w:p>
        </w:tc>
        <w:tc>
          <w:tcPr>
            <w:tcW w:w="1780" w:type="dxa"/>
            <w:vAlign w:val="bottom"/>
            <w:tcBorders>
              <w:right w:val="single" w:sz="8" w:color="auto"/>
            </w:tcBorders>
            <w:vMerge w:val="continue"/>
            <w:shd w:val="clear" w:color="auto" w:fill="E5F1F9"/>
          </w:tcPr>
          <w:p>
            <w:pPr>
              <w:spacing w:after="0"/>
              <w:rPr>
                <w:sz w:val="14"/>
                <w:szCs w:val="14"/>
                <w:color w:val="auto"/>
              </w:rPr>
            </w:pPr>
          </w:p>
        </w:tc>
        <w:tc>
          <w:tcPr>
            <w:tcW w:w="1740" w:type="dxa"/>
            <w:vAlign w:val="bottom"/>
            <w:tcBorders>
              <w:right w:val="single" w:sz="8" w:color="auto"/>
            </w:tcBorders>
            <w:vMerge w:val="continue"/>
            <w:shd w:val="clear" w:color="auto" w:fill="E5F1F9"/>
          </w:tcPr>
          <w:p>
            <w:pPr>
              <w:spacing w:after="0"/>
              <w:rPr>
                <w:sz w:val="14"/>
                <w:szCs w:val="14"/>
                <w:color w:val="auto"/>
              </w:rPr>
            </w:pPr>
          </w:p>
        </w:tc>
        <w:tc>
          <w:tcPr>
            <w:tcW w:w="1660" w:type="dxa"/>
            <w:vAlign w:val="bottom"/>
            <w:tcBorders>
              <w:right w:val="single" w:sz="8" w:color="auto"/>
            </w:tcBorders>
            <w:vMerge w:val="continue"/>
            <w:shd w:val="clear" w:color="auto" w:fill="E5F1F9"/>
          </w:tcPr>
          <w:p>
            <w:pPr>
              <w:spacing w:after="0"/>
              <w:rPr>
                <w:sz w:val="14"/>
                <w:szCs w:val="14"/>
                <w:color w:val="auto"/>
              </w:rPr>
            </w:pPr>
          </w:p>
        </w:tc>
        <w:tc>
          <w:tcPr>
            <w:tcW w:w="1420" w:type="dxa"/>
            <w:vAlign w:val="bottom"/>
            <w:tcBorders>
              <w:right w:val="single" w:sz="8" w:color="auto"/>
            </w:tcBorders>
            <w:vMerge w:val="continue"/>
            <w:shd w:val="clear" w:color="auto" w:fill="E5F1F9"/>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40" w:type="dxa"/>
            <w:vAlign w:val="bottom"/>
            <w:tcBorders>
              <w:left w:val="single" w:sz="8" w:color="auto"/>
              <w:bottom w:val="single" w:sz="8" w:color="E5F1F9"/>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creation for our stockholders</w:t>
            </w:r>
          </w:p>
        </w:tc>
        <w:tc>
          <w:tcPr>
            <w:tcW w:w="1780" w:type="dxa"/>
            <w:vAlign w:val="bottom"/>
            <w:tcBorders>
              <w:bottom w:val="single" w:sz="8" w:color="E5F1F9"/>
              <w:right w:val="single" w:sz="8" w:color="auto"/>
            </w:tcBorders>
            <w:shd w:val="clear" w:color="auto" w:fill="E5F1F9"/>
          </w:tcPr>
          <w:p>
            <w:pPr>
              <w:spacing w:after="0"/>
              <w:rPr>
                <w:sz w:val="19"/>
                <w:szCs w:val="19"/>
                <w:color w:val="auto"/>
              </w:rPr>
            </w:pPr>
          </w:p>
        </w:tc>
        <w:tc>
          <w:tcPr>
            <w:tcW w:w="1740" w:type="dxa"/>
            <w:vAlign w:val="bottom"/>
            <w:tcBorders>
              <w:bottom w:val="single" w:sz="8" w:color="E5F1F9"/>
              <w:right w:val="single" w:sz="8" w:color="auto"/>
            </w:tcBorders>
            <w:shd w:val="clear" w:color="auto" w:fill="E5F1F9"/>
          </w:tcPr>
          <w:p>
            <w:pPr>
              <w:spacing w:after="0"/>
              <w:rPr>
                <w:sz w:val="19"/>
                <w:szCs w:val="19"/>
                <w:color w:val="auto"/>
              </w:rPr>
            </w:pPr>
          </w:p>
        </w:tc>
        <w:tc>
          <w:tcPr>
            <w:tcW w:w="1660" w:type="dxa"/>
            <w:vAlign w:val="bottom"/>
            <w:tcBorders>
              <w:bottom w:val="single" w:sz="8" w:color="E5F1F9"/>
              <w:right w:val="single" w:sz="8" w:color="auto"/>
            </w:tcBorders>
            <w:shd w:val="clear" w:color="auto" w:fill="E5F1F9"/>
          </w:tcPr>
          <w:p>
            <w:pPr>
              <w:spacing w:after="0"/>
              <w:rPr>
                <w:sz w:val="19"/>
                <w:szCs w:val="19"/>
                <w:color w:val="auto"/>
              </w:rPr>
            </w:pPr>
          </w:p>
        </w:tc>
        <w:tc>
          <w:tcPr>
            <w:tcW w:w="1420" w:type="dxa"/>
            <w:vAlign w:val="bottom"/>
            <w:tcBorders>
              <w:bottom w:val="single" w:sz="8" w:color="E5F1F9"/>
              <w:right w:val="single" w:sz="8" w:color="auto"/>
            </w:tcBorders>
            <w:shd w:val="clear" w:color="auto" w:fill="E5F1F9"/>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44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gridSpan w:val="2"/>
          </w:tcPr>
          <w:p>
            <w:pPr>
              <w:ind w:left="720"/>
              <w:spacing w:after="0"/>
              <w:rPr>
                <w:sz w:val="20"/>
                <w:szCs w:val="20"/>
                <w:color w:val="auto"/>
              </w:rPr>
            </w:pPr>
            <w:r>
              <w:rPr>
                <w:rFonts w:ascii="Arial" w:cs="Arial" w:eastAsia="Arial" w:hAnsi="Arial"/>
                <w:sz w:val="18"/>
                <w:szCs w:val="18"/>
                <w:color w:val="0075C9"/>
                <w:w w:val="98"/>
              </w:rPr>
              <w:t xml:space="preserve">   2026 Proxy Statement   </w:t>
            </w:r>
            <w:r>
              <w:rPr>
                <w:rFonts w:ascii="Arial" w:cs="Arial" w:eastAsia="Arial" w:hAnsi="Arial"/>
                <w:sz w:val="16"/>
                <w:szCs w:val="16"/>
                <w:color w:val="0075C9"/>
                <w:w w:val="98"/>
              </w:rPr>
              <w:t>-v-</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-173355</wp:posOffset>
            </wp:positionV>
            <wp:extent cx="4203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Board Composition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2658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12001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sz w:val="1"/>
          <w:szCs w:val="1"/>
          <w:color w:val="auto"/>
        </w:rPr>
        <w:drawing>
          <wp:inline distT="0" distB="0" distL="0" distR="0">
            <wp:extent cx="77470" cy="4025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402590"/>
                    </a:xfrm>
                    <a:prstGeom prst="rect">
                      <a:avLst/>
                    </a:prstGeom>
                    <a:noFill/>
                    <a:ln>
                      <a:noFill/>
                    </a:ln>
                  </pic:spPr>
                </pic:pic>
              </a:graphicData>
            </a:graphic>
          </wp:inline>
        </w:drawing>
      </w:r>
      <w:r>
        <w:rPr>
          <w:rFonts w:ascii="Arial" w:cs="Arial" w:eastAsia="Arial" w:hAnsi="Arial"/>
          <w:sz w:val="29"/>
          <w:szCs w:val="29"/>
          <w:color w:val="FFFFFF"/>
        </w:rPr>
        <w:t xml:space="preserve"> Board Composition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-281940</wp:posOffset>
            </wp:positionV>
            <wp:extent cx="6917690" cy="402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17690" cy="4025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70" w:type="dxa"/>
        <w:tblCellMar>
          <w:top w:w="0" w:type="dxa"/>
          <w:left w:w="0" w:type="dxa"/>
          <w:bottom w:w="0" w:type="dxa"/>
          <w:right w:w="0" w:type="dxa"/>
        </w:tblCellMar>
      </w:tblPr>
      <w:tr>
        <w:trPr>
          <w:trHeight w:val="634"/>
        </w:trPr>
        <w:tc>
          <w:tcPr>
            <w:tcW w:w="3160" w:type="dxa"/>
            <w:vAlign w:val="bottom"/>
            <w:tcBorders>
              <w:top w:val="single" w:sz="8" w:color="0075C9"/>
              <w:left w:val="single" w:sz="8" w:color="0075C9"/>
              <w:right w:val="single" w:sz="8" w:color="0075C9"/>
            </w:tcBorders>
          </w:tcPr>
          <w:p>
            <w:pPr>
              <w:jc w:val="center"/>
              <w:ind w:left="45"/>
              <w:spacing w:after="0"/>
              <w:rPr>
                <w:sz w:val="20"/>
                <w:szCs w:val="20"/>
                <w:color w:val="auto"/>
              </w:rPr>
            </w:pPr>
            <w:r>
              <w:rPr>
                <w:rFonts w:ascii="Arial" w:cs="Arial" w:eastAsia="Arial" w:hAnsi="Arial"/>
                <w:sz w:val="40"/>
                <w:szCs w:val="40"/>
                <w:b w:val="1"/>
                <w:bCs w:val="1"/>
                <w:color w:val="0075C9"/>
                <w:w w:val="99"/>
              </w:rPr>
              <w:t>91%</w:t>
            </w:r>
          </w:p>
        </w:tc>
        <w:tc>
          <w:tcPr>
            <w:tcW w:w="3320" w:type="dxa"/>
            <w:vAlign w:val="bottom"/>
            <w:tcBorders>
              <w:top w:val="single" w:sz="8" w:color="0075C9"/>
              <w:right w:val="single" w:sz="8" w:color="0075C9"/>
            </w:tcBorders>
          </w:tcPr>
          <w:p>
            <w:pPr>
              <w:jc w:val="center"/>
              <w:ind w:left="49"/>
              <w:spacing w:after="0"/>
              <w:rPr>
                <w:sz w:val="20"/>
                <w:szCs w:val="20"/>
                <w:color w:val="auto"/>
              </w:rPr>
            </w:pPr>
            <w:r>
              <w:rPr>
                <w:rFonts w:ascii="Arial" w:cs="Arial" w:eastAsia="Arial" w:hAnsi="Arial"/>
                <w:sz w:val="40"/>
                <w:szCs w:val="40"/>
                <w:b w:val="1"/>
                <w:bCs w:val="1"/>
                <w:color w:val="0075C9"/>
                <w:w w:val="99"/>
              </w:rPr>
              <w:t>75%</w:t>
            </w:r>
          </w:p>
        </w:tc>
        <w:tc>
          <w:tcPr>
            <w:tcW w:w="3240" w:type="dxa"/>
            <w:vAlign w:val="bottom"/>
            <w:tcBorders>
              <w:top w:val="single" w:sz="8" w:color="0075C9"/>
              <w:right w:val="single" w:sz="8" w:color="0075C9"/>
            </w:tcBorders>
          </w:tcPr>
          <w:p>
            <w:pPr>
              <w:jc w:val="center"/>
              <w:ind w:left="10"/>
              <w:spacing w:after="0"/>
              <w:rPr>
                <w:sz w:val="20"/>
                <w:szCs w:val="20"/>
                <w:color w:val="auto"/>
              </w:rPr>
            </w:pPr>
            <w:r>
              <w:rPr>
                <w:rFonts w:ascii="Arial" w:cs="Arial" w:eastAsia="Arial" w:hAnsi="Arial"/>
                <w:sz w:val="40"/>
                <w:szCs w:val="40"/>
                <w:b w:val="1"/>
                <w:bCs w:val="1"/>
                <w:color w:val="0075C9"/>
                <w:w w:val="99"/>
              </w:rPr>
              <w:t>70%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160" w:type="dxa"/>
            <w:vAlign w:val="bottom"/>
            <w:tcBorders>
              <w:left w:val="single" w:sz="8" w:color="0075C9"/>
              <w:right w:val="single" w:sz="8" w:color="0075C9"/>
            </w:tcBorders>
          </w:tcPr>
          <w:p>
            <w:pPr>
              <w:jc w:val="center"/>
              <w:ind w:left="45"/>
              <w:spacing w:after="0"/>
              <w:rPr>
                <w:sz w:val="20"/>
                <w:szCs w:val="20"/>
                <w:color w:val="auto"/>
              </w:rPr>
            </w:pPr>
            <w:r>
              <w:rPr>
                <w:rFonts w:ascii="Arial" w:cs="Arial" w:eastAsia="Arial" w:hAnsi="Arial"/>
                <w:sz w:val="20"/>
                <w:szCs w:val="20"/>
                <w:color w:val="0075C9"/>
                <w:w w:val="99"/>
              </w:rPr>
              <w:t>of Directors are</w:t>
            </w:r>
          </w:p>
        </w:tc>
        <w:tc>
          <w:tcPr>
            <w:tcW w:w="3320" w:type="dxa"/>
            <w:vAlign w:val="bottom"/>
            <w:tcBorders>
              <w:right w:val="single" w:sz="8" w:color="0075C9"/>
            </w:tcBorders>
          </w:tcPr>
          <w:p>
            <w:pPr>
              <w:jc w:val="center"/>
              <w:ind w:left="29"/>
              <w:spacing w:after="0"/>
              <w:rPr>
                <w:sz w:val="20"/>
                <w:szCs w:val="20"/>
                <w:color w:val="auto"/>
              </w:rPr>
            </w:pPr>
            <w:r>
              <w:rPr>
                <w:rFonts w:ascii="Arial" w:cs="Arial" w:eastAsia="Arial" w:hAnsi="Arial"/>
                <w:sz w:val="20"/>
                <w:szCs w:val="20"/>
                <w:color w:val="0075C9"/>
                <w:w w:val="98"/>
              </w:rPr>
              <w:t>of our Audit Committee</w:t>
            </w:r>
          </w:p>
        </w:tc>
        <w:tc>
          <w:tcPr>
            <w:tcW w:w="3240" w:type="dxa"/>
            <w:vAlign w:val="bottom"/>
            <w:tcBorders>
              <w:right w:val="single" w:sz="8" w:color="0075C9"/>
            </w:tcBorders>
          </w:tcPr>
          <w:p>
            <w:pPr>
              <w:jc w:val="center"/>
              <w:ind w:left="10"/>
              <w:spacing w:after="0"/>
              <w:rPr>
                <w:sz w:val="20"/>
                <w:szCs w:val="20"/>
                <w:color w:val="auto"/>
              </w:rPr>
            </w:pPr>
            <w:r>
              <w:rPr>
                <w:rFonts w:ascii="Arial" w:cs="Arial" w:eastAsia="Arial" w:hAnsi="Arial"/>
                <w:sz w:val="20"/>
                <w:szCs w:val="20"/>
                <w:color w:val="0075C9"/>
                <w:w w:val="98"/>
              </w:rPr>
              <w:t>of Independent</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60" w:type="dxa"/>
            <w:vAlign w:val="bottom"/>
            <w:tcBorders>
              <w:left w:val="single" w:sz="8" w:color="0075C9"/>
              <w:right w:val="single" w:sz="8" w:color="0075C9"/>
            </w:tcBorders>
          </w:tcPr>
          <w:p>
            <w:pPr>
              <w:jc w:val="center"/>
              <w:ind w:left="25"/>
              <w:spacing w:after="0" w:line="216" w:lineRule="exact"/>
              <w:rPr>
                <w:sz w:val="20"/>
                <w:szCs w:val="20"/>
                <w:color w:val="auto"/>
              </w:rPr>
            </w:pPr>
            <w:r>
              <w:rPr>
                <w:rFonts w:ascii="Arial" w:cs="Arial" w:eastAsia="Arial" w:hAnsi="Arial"/>
                <w:sz w:val="20"/>
                <w:szCs w:val="20"/>
                <w:color w:val="0075C9"/>
                <w:w w:val="98"/>
              </w:rPr>
              <w:t>Independent</w:t>
            </w:r>
          </w:p>
        </w:tc>
        <w:tc>
          <w:tcPr>
            <w:tcW w:w="3320" w:type="dxa"/>
            <w:vAlign w:val="bottom"/>
            <w:tcBorders>
              <w:right w:val="single" w:sz="8" w:color="0075C9"/>
            </w:tcBorders>
          </w:tcPr>
          <w:p>
            <w:pPr>
              <w:jc w:val="center"/>
              <w:ind w:left="49"/>
              <w:spacing w:after="0" w:line="216" w:lineRule="exact"/>
              <w:rPr>
                <w:sz w:val="20"/>
                <w:szCs w:val="20"/>
                <w:color w:val="auto"/>
              </w:rPr>
            </w:pPr>
            <w:r>
              <w:rPr>
                <w:rFonts w:ascii="Arial" w:cs="Arial" w:eastAsia="Arial" w:hAnsi="Arial"/>
                <w:sz w:val="20"/>
                <w:szCs w:val="20"/>
                <w:color w:val="0075C9"/>
                <w:w w:val="99"/>
              </w:rPr>
              <w:t>Members are Audit</w:t>
            </w:r>
          </w:p>
        </w:tc>
        <w:tc>
          <w:tcPr>
            <w:tcW w:w="3240" w:type="dxa"/>
            <w:vAlign w:val="bottom"/>
            <w:tcBorders>
              <w:right w:val="single" w:sz="8" w:color="0075C9"/>
            </w:tcBorders>
          </w:tcPr>
          <w:p>
            <w:pPr>
              <w:jc w:val="center"/>
              <w:ind w:left="10"/>
              <w:spacing w:after="0" w:line="216" w:lineRule="exact"/>
              <w:rPr>
                <w:sz w:val="20"/>
                <w:szCs w:val="20"/>
                <w:color w:val="auto"/>
              </w:rPr>
            </w:pPr>
            <w:r>
              <w:rPr>
                <w:rFonts w:ascii="Arial" w:cs="Arial" w:eastAsia="Arial" w:hAnsi="Arial"/>
                <w:sz w:val="20"/>
                <w:szCs w:val="20"/>
                <w:color w:val="0075C9"/>
                <w:w w:val="99"/>
              </w:rPr>
              <w:t>Directors appointed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160" w:type="dxa"/>
            <w:vAlign w:val="bottom"/>
            <w:tcBorders>
              <w:left w:val="single" w:sz="8" w:color="0075C9"/>
              <w:right w:val="single" w:sz="8" w:color="0075C9"/>
            </w:tcBorders>
          </w:tcPr>
          <w:p>
            <w:pPr>
              <w:spacing w:after="0"/>
              <w:rPr>
                <w:sz w:val="22"/>
                <w:szCs w:val="22"/>
                <w:color w:val="auto"/>
              </w:rPr>
            </w:pPr>
          </w:p>
        </w:tc>
        <w:tc>
          <w:tcPr>
            <w:tcW w:w="3320" w:type="dxa"/>
            <w:vAlign w:val="bottom"/>
            <w:tcBorders>
              <w:right w:val="single" w:sz="8" w:color="0075C9"/>
            </w:tcBorders>
          </w:tcPr>
          <w:p>
            <w:pPr>
              <w:jc w:val="center"/>
              <w:ind w:left="49"/>
              <w:spacing w:after="0"/>
              <w:rPr>
                <w:sz w:val="20"/>
                <w:szCs w:val="20"/>
                <w:color w:val="auto"/>
              </w:rPr>
            </w:pPr>
            <w:r>
              <w:rPr>
                <w:rFonts w:ascii="Arial" w:cs="Arial" w:eastAsia="Arial" w:hAnsi="Arial"/>
                <w:sz w:val="20"/>
                <w:szCs w:val="20"/>
                <w:color w:val="0075C9"/>
                <w:w w:val="98"/>
              </w:rPr>
              <w:t>Committee Financial Experts</w:t>
            </w:r>
          </w:p>
        </w:tc>
        <w:tc>
          <w:tcPr>
            <w:tcW w:w="3240" w:type="dxa"/>
            <w:vAlign w:val="bottom"/>
            <w:tcBorders>
              <w:right w:val="single" w:sz="8" w:color="0075C9"/>
            </w:tcBorders>
          </w:tcPr>
          <w:p>
            <w:pPr>
              <w:jc w:val="center"/>
              <w:ind w:left="30"/>
              <w:spacing w:after="0"/>
              <w:rPr>
                <w:sz w:val="20"/>
                <w:szCs w:val="20"/>
                <w:color w:val="auto"/>
              </w:rPr>
            </w:pPr>
            <w:r>
              <w:rPr>
                <w:rFonts w:ascii="Arial" w:cs="Arial" w:eastAsia="Arial" w:hAnsi="Arial"/>
                <w:sz w:val="20"/>
                <w:szCs w:val="20"/>
                <w:color w:val="0075C9"/>
                <w:w w:val="98"/>
              </w:rPr>
              <w:t>in last 7 years</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3160" w:type="dxa"/>
            <w:vAlign w:val="bottom"/>
            <w:tcBorders>
              <w:left w:val="single" w:sz="8" w:color="0075C9"/>
              <w:right w:val="single" w:sz="8" w:color="0075C9"/>
            </w:tcBorders>
          </w:tcPr>
          <w:p>
            <w:pPr>
              <w:spacing w:after="0"/>
              <w:rPr>
                <w:sz w:val="5"/>
                <w:szCs w:val="5"/>
                <w:color w:val="auto"/>
              </w:rPr>
            </w:pPr>
          </w:p>
        </w:tc>
        <w:tc>
          <w:tcPr>
            <w:tcW w:w="3320" w:type="dxa"/>
            <w:vAlign w:val="bottom"/>
            <w:tcBorders>
              <w:right w:val="single" w:sz="8" w:color="0075C9"/>
            </w:tcBorders>
          </w:tcPr>
          <w:p>
            <w:pPr>
              <w:spacing w:after="0"/>
              <w:rPr>
                <w:sz w:val="5"/>
                <w:szCs w:val="5"/>
                <w:color w:val="auto"/>
              </w:rPr>
            </w:pPr>
          </w:p>
        </w:tc>
        <w:tc>
          <w:tcPr>
            <w:tcW w:w="3240" w:type="dxa"/>
            <w:vAlign w:val="bottom"/>
            <w:tcBorders>
              <w:right w:val="single" w:sz="8" w:color="0075C9"/>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3160" w:type="dxa"/>
            <w:vAlign w:val="bottom"/>
            <w:tcBorders>
              <w:left w:val="single" w:sz="8" w:color="0075C9"/>
              <w:right w:val="single" w:sz="8" w:color="0075C9"/>
            </w:tcBorders>
            <w:vMerge w:val="restart"/>
            <w:shd w:val="clear" w:color="auto" w:fill="0075C9"/>
          </w:tcPr>
          <w:p>
            <w:pPr>
              <w:jc w:val="center"/>
              <w:ind w:left="25"/>
              <w:spacing w:after="0"/>
              <w:rPr>
                <w:sz w:val="20"/>
                <w:szCs w:val="20"/>
                <w:color w:val="auto"/>
              </w:rPr>
            </w:pPr>
            <w:r>
              <w:rPr>
                <w:rFonts w:ascii="Arial" w:cs="Arial" w:eastAsia="Arial" w:hAnsi="Arial"/>
                <w:sz w:val="20"/>
                <w:szCs w:val="20"/>
                <w:color w:val="FFFFFF"/>
                <w:w w:val="98"/>
              </w:rPr>
              <w:t>Our Board consists of</w:t>
            </w:r>
          </w:p>
        </w:tc>
        <w:tc>
          <w:tcPr>
            <w:tcW w:w="3320" w:type="dxa"/>
            <w:vAlign w:val="bottom"/>
            <w:tcBorders>
              <w:right w:val="single" w:sz="8" w:color="0075C9"/>
            </w:tcBorders>
            <w:shd w:val="clear" w:color="auto" w:fill="0075C9"/>
          </w:tcPr>
          <w:p>
            <w:pPr>
              <w:jc w:val="center"/>
              <w:ind w:left="49"/>
              <w:spacing w:after="0"/>
              <w:rPr>
                <w:sz w:val="20"/>
                <w:szCs w:val="20"/>
                <w:color w:val="auto"/>
              </w:rPr>
            </w:pPr>
            <w:r>
              <w:rPr>
                <w:rFonts w:ascii="Arial" w:cs="Arial" w:eastAsia="Arial" w:hAnsi="Arial"/>
                <w:sz w:val="20"/>
                <w:szCs w:val="20"/>
                <w:color w:val="FFFFFF"/>
                <w:w w:val="99"/>
              </w:rPr>
              <w:t>3 of our 4</w:t>
            </w:r>
          </w:p>
        </w:tc>
        <w:tc>
          <w:tcPr>
            <w:tcW w:w="3240" w:type="dxa"/>
            <w:vAlign w:val="bottom"/>
            <w:tcBorders>
              <w:right w:val="single" w:sz="8" w:color="0075C9"/>
            </w:tcBorders>
            <w:vMerge w:val="restart"/>
            <w:shd w:val="clear" w:color="auto" w:fill="0075C9"/>
          </w:tcPr>
          <w:p>
            <w:pPr>
              <w:jc w:val="center"/>
              <w:ind w:left="10"/>
              <w:spacing w:after="0"/>
              <w:rPr>
                <w:sz w:val="20"/>
                <w:szCs w:val="20"/>
                <w:color w:val="auto"/>
              </w:rPr>
            </w:pPr>
            <w:r>
              <w:rPr>
                <w:rFonts w:ascii="Arial" w:cs="Arial" w:eastAsia="Arial" w:hAnsi="Arial"/>
                <w:sz w:val="20"/>
                <w:szCs w:val="20"/>
                <w:color w:val="FFFFFF"/>
              </w:rPr>
              <w:t>7 of our 10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160" w:type="dxa"/>
            <w:vAlign w:val="bottom"/>
            <w:tcBorders>
              <w:left w:val="single" w:sz="8" w:color="0075C9"/>
              <w:right w:val="single" w:sz="8" w:color="0075C9"/>
            </w:tcBorders>
            <w:vMerge w:val="continue"/>
            <w:shd w:val="clear" w:color="auto" w:fill="0075C9"/>
          </w:tcPr>
          <w:p>
            <w:pPr>
              <w:spacing w:after="0"/>
              <w:rPr>
                <w:sz w:val="8"/>
                <w:szCs w:val="8"/>
                <w:color w:val="auto"/>
              </w:rPr>
            </w:pPr>
          </w:p>
        </w:tc>
        <w:tc>
          <w:tcPr>
            <w:tcW w:w="3320" w:type="dxa"/>
            <w:vAlign w:val="bottom"/>
            <w:tcBorders>
              <w:right w:val="single" w:sz="8" w:color="0075C9"/>
            </w:tcBorders>
            <w:vMerge w:val="restart"/>
            <w:shd w:val="clear" w:color="auto" w:fill="0075C9"/>
          </w:tcPr>
          <w:p>
            <w:pPr>
              <w:jc w:val="center"/>
              <w:ind w:left="29"/>
              <w:spacing w:after="0" w:line="216" w:lineRule="exact"/>
              <w:rPr>
                <w:sz w:val="20"/>
                <w:szCs w:val="20"/>
                <w:color w:val="auto"/>
              </w:rPr>
            </w:pPr>
            <w:r>
              <w:rPr>
                <w:rFonts w:ascii="Arial" w:cs="Arial" w:eastAsia="Arial" w:hAnsi="Arial"/>
                <w:sz w:val="20"/>
                <w:szCs w:val="20"/>
                <w:color w:val="FFFFFF"/>
                <w:w w:val="98"/>
              </w:rPr>
              <w:t>Audit Committee members</w:t>
            </w:r>
          </w:p>
        </w:tc>
        <w:tc>
          <w:tcPr>
            <w:tcW w:w="3240" w:type="dxa"/>
            <w:vAlign w:val="bottom"/>
            <w:tcBorders>
              <w:right w:val="single" w:sz="8" w:color="0075C9"/>
            </w:tcBorders>
            <w:vMerge w:val="continue"/>
            <w:shd w:val="clear" w:color="auto" w:fill="0075C9"/>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160" w:type="dxa"/>
            <w:vAlign w:val="bottom"/>
            <w:tcBorders>
              <w:left w:val="single" w:sz="8" w:color="0075C9"/>
              <w:right w:val="single" w:sz="8" w:color="0075C9"/>
            </w:tcBorders>
            <w:vMerge w:val="restart"/>
            <w:shd w:val="clear" w:color="auto" w:fill="0075C9"/>
          </w:tcPr>
          <w:p>
            <w:pPr>
              <w:jc w:val="center"/>
              <w:ind w:left="25"/>
              <w:spacing w:after="0" w:line="216" w:lineRule="exact"/>
              <w:rPr>
                <w:sz w:val="20"/>
                <w:szCs w:val="20"/>
                <w:color w:val="auto"/>
              </w:rPr>
            </w:pPr>
            <w:r>
              <w:rPr>
                <w:rFonts w:ascii="Arial" w:cs="Arial" w:eastAsia="Arial" w:hAnsi="Arial"/>
                <w:sz w:val="20"/>
                <w:szCs w:val="20"/>
                <w:color w:val="FFFFFF"/>
                <w:w w:val="99"/>
              </w:rPr>
              <w:t>10 Independent</w:t>
            </w:r>
          </w:p>
        </w:tc>
        <w:tc>
          <w:tcPr>
            <w:tcW w:w="3320" w:type="dxa"/>
            <w:vAlign w:val="bottom"/>
            <w:tcBorders>
              <w:right w:val="single" w:sz="8" w:color="0075C9"/>
            </w:tcBorders>
            <w:vMerge w:val="continue"/>
            <w:shd w:val="clear" w:color="auto" w:fill="0075C9"/>
          </w:tcPr>
          <w:p>
            <w:pPr>
              <w:spacing w:after="0"/>
              <w:rPr>
                <w:sz w:val="10"/>
                <w:szCs w:val="10"/>
                <w:color w:val="auto"/>
              </w:rPr>
            </w:pPr>
          </w:p>
        </w:tc>
        <w:tc>
          <w:tcPr>
            <w:tcW w:w="3240" w:type="dxa"/>
            <w:vAlign w:val="bottom"/>
            <w:tcBorders>
              <w:right w:val="single" w:sz="8" w:color="0075C9"/>
            </w:tcBorders>
            <w:vMerge w:val="restart"/>
            <w:shd w:val="clear" w:color="auto" w:fill="0075C9"/>
          </w:tcPr>
          <w:p>
            <w:pPr>
              <w:jc w:val="center"/>
              <w:ind w:left="10"/>
              <w:spacing w:after="0" w:line="216" w:lineRule="exact"/>
              <w:rPr>
                <w:sz w:val="20"/>
                <w:szCs w:val="20"/>
                <w:color w:val="auto"/>
              </w:rPr>
            </w:pPr>
            <w:r>
              <w:rPr>
                <w:rFonts w:ascii="Arial" w:cs="Arial" w:eastAsia="Arial" w:hAnsi="Arial"/>
                <w:sz w:val="20"/>
                <w:szCs w:val="20"/>
                <w:color w:val="FFFFFF"/>
                <w:w w:val="99"/>
              </w:rPr>
              <w:t>Independent Directors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60" w:type="dxa"/>
            <w:vAlign w:val="bottom"/>
            <w:tcBorders>
              <w:left w:val="single" w:sz="8" w:color="0075C9"/>
              <w:right w:val="single" w:sz="8" w:color="0075C9"/>
            </w:tcBorders>
            <w:vMerge w:val="continue"/>
            <w:shd w:val="clear" w:color="auto" w:fill="0075C9"/>
          </w:tcPr>
          <w:p>
            <w:pPr>
              <w:spacing w:after="0"/>
              <w:rPr>
                <w:sz w:val="8"/>
                <w:szCs w:val="8"/>
                <w:color w:val="auto"/>
              </w:rPr>
            </w:pPr>
          </w:p>
        </w:tc>
        <w:tc>
          <w:tcPr>
            <w:tcW w:w="3320" w:type="dxa"/>
            <w:vAlign w:val="bottom"/>
            <w:tcBorders>
              <w:right w:val="single" w:sz="8" w:color="0075C9"/>
            </w:tcBorders>
            <w:vMerge w:val="restart"/>
            <w:shd w:val="clear" w:color="auto" w:fill="0075C9"/>
          </w:tcPr>
          <w:p>
            <w:pPr>
              <w:jc w:val="center"/>
              <w:ind w:left="49"/>
              <w:spacing w:after="0" w:line="216" w:lineRule="exact"/>
              <w:rPr>
                <w:sz w:val="20"/>
                <w:szCs w:val="20"/>
                <w:color w:val="auto"/>
              </w:rPr>
            </w:pPr>
            <w:r>
              <w:rPr>
                <w:rFonts w:ascii="Arial" w:cs="Arial" w:eastAsia="Arial" w:hAnsi="Arial"/>
                <w:sz w:val="20"/>
                <w:szCs w:val="20"/>
                <w:color w:val="FFFFFF"/>
                <w:w w:val="98"/>
              </w:rPr>
              <w:t>are Audit Committee</w:t>
            </w:r>
          </w:p>
        </w:tc>
        <w:tc>
          <w:tcPr>
            <w:tcW w:w="3240" w:type="dxa"/>
            <w:vAlign w:val="bottom"/>
            <w:tcBorders>
              <w:right w:val="single" w:sz="8" w:color="0075C9"/>
            </w:tcBorders>
            <w:vMerge w:val="continue"/>
            <w:shd w:val="clear" w:color="auto" w:fill="0075C9"/>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160" w:type="dxa"/>
            <w:vAlign w:val="bottom"/>
            <w:tcBorders>
              <w:left w:val="single" w:sz="8" w:color="0075C9"/>
              <w:right w:val="single" w:sz="8" w:color="0075C9"/>
            </w:tcBorders>
            <w:vMerge w:val="restart"/>
            <w:shd w:val="clear" w:color="auto" w:fill="0075C9"/>
          </w:tcPr>
          <w:p>
            <w:pPr>
              <w:jc w:val="center"/>
              <w:ind w:left="45"/>
              <w:spacing w:after="0"/>
              <w:rPr>
                <w:sz w:val="20"/>
                <w:szCs w:val="20"/>
                <w:color w:val="auto"/>
              </w:rPr>
            </w:pPr>
            <w:r>
              <w:rPr>
                <w:rFonts w:ascii="Arial" w:cs="Arial" w:eastAsia="Arial" w:hAnsi="Arial"/>
                <w:sz w:val="20"/>
                <w:szCs w:val="20"/>
                <w:color w:val="FFFFFF"/>
                <w:w w:val="98"/>
              </w:rPr>
              <w:t>Directors and our CEO</w:t>
            </w:r>
          </w:p>
        </w:tc>
        <w:tc>
          <w:tcPr>
            <w:tcW w:w="3320" w:type="dxa"/>
            <w:vAlign w:val="bottom"/>
            <w:tcBorders>
              <w:right w:val="single" w:sz="8" w:color="0075C9"/>
            </w:tcBorders>
            <w:vMerge w:val="continue"/>
            <w:shd w:val="clear" w:color="auto" w:fill="0075C9"/>
          </w:tcPr>
          <w:p>
            <w:pPr>
              <w:spacing w:after="0"/>
              <w:rPr>
                <w:sz w:val="10"/>
                <w:szCs w:val="10"/>
                <w:color w:val="auto"/>
              </w:rPr>
            </w:pPr>
          </w:p>
        </w:tc>
        <w:tc>
          <w:tcPr>
            <w:tcW w:w="3240" w:type="dxa"/>
            <w:vAlign w:val="bottom"/>
            <w:tcBorders>
              <w:right w:val="single" w:sz="8" w:color="0075C9"/>
            </w:tcBorders>
            <w:vMerge w:val="restart"/>
            <w:shd w:val="clear" w:color="auto" w:fill="0075C9"/>
          </w:tcPr>
          <w:p>
            <w:pPr>
              <w:jc w:val="center"/>
              <w:ind w:left="10"/>
              <w:spacing w:after="0"/>
              <w:rPr>
                <w:sz w:val="20"/>
                <w:szCs w:val="20"/>
                <w:color w:val="auto"/>
              </w:rPr>
            </w:pPr>
            <w:r>
              <w:rPr>
                <w:rFonts w:ascii="Arial" w:cs="Arial" w:eastAsia="Arial" w:hAnsi="Arial"/>
                <w:sz w:val="20"/>
                <w:szCs w:val="20"/>
                <w:color w:val="FFFFFF"/>
                <w:w w:val="98"/>
              </w:rPr>
              <w:t>appointed since 2019</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60" w:type="dxa"/>
            <w:vAlign w:val="bottom"/>
            <w:tcBorders>
              <w:left w:val="single" w:sz="8" w:color="0075C9"/>
              <w:right w:val="single" w:sz="8" w:color="0075C9"/>
            </w:tcBorders>
            <w:vMerge w:val="continue"/>
            <w:shd w:val="clear" w:color="auto" w:fill="0075C9"/>
          </w:tcPr>
          <w:p>
            <w:pPr>
              <w:spacing w:after="0"/>
              <w:rPr>
                <w:sz w:val="13"/>
                <w:szCs w:val="13"/>
                <w:color w:val="auto"/>
              </w:rPr>
            </w:pPr>
          </w:p>
        </w:tc>
        <w:tc>
          <w:tcPr>
            <w:tcW w:w="3320" w:type="dxa"/>
            <w:vAlign w:val="bottom"/>
            <w:tcBorders>
              <w:right w:val="single" w:sz="8" w:color="0075C9"/>
            </w:tcBorders>
            <w:vMerge w:val="restart"/>
            <w:shd w:val="clear" w:color="auto" w:fill="0075C9"/>
          </w:tcPr>
          <w:p>
            <w:pPr>
              <w:jc w:val="center"/>
              <w:ind w:left="49"/>
              <w:spacing w:after="0"/>
              <w:rPr>
                <w:sz w:val="20"/>
                <w:szCs w:val="20"/>
                <w:color w:val="auto"/>
              </w:rPr>
            </w:pPr>
            <w:r>
              <w:rPr>
                <w:rFonts w:ascii="Arial" w:cs="Arial" w:eastAsia="Arial" w:hAnsi="Arial"/>
                <w:sz w:val="20"/>
                <w:szCs w:val="20"/>
                <w:color w:val="FFFFFF"/>
                <w:w w:val="99"/>
              </w:rPr>
              <w:t>Financial Experts</w:t>
            </w:r>
          </w:p>
        </w:tc>
        <w:tc>
          <w:tcPr>
            <w:tcW w:w="3240" w:type="dxa"/>
            <w:vAlign w:val="bottom"/>
            <w:tcBorders>
              <w:right w:val="single" w:sz="8" w:color="0075C9"/>
            </w:tcBorders>
            <w:vMerge w:val="continue"/>
            <w:shd w:val="clear" w:color="auto" w:fill="0075C9"/>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60" w:type="dxa"/>
            <w:vAlign w:val="bottom"/>
            <w:tcBorders>
              <w:left w:val="single" w:sz="8" w:color="0075C9"/>
              <w:right w:val="single" w:sz="8" w:color="0075C9"/>
            </w:tcBorders>
            <w:shd w:val="clear" w:color="auto" w:fill="0075C9"/>
          </w:tcPr>
          <w:p>
            <w:pPr>
              <w:spacing w:after="0"/>
              <w:rPr>
                <w:sz w:val="9"/>
                <w:szCs w:val="9"/>
                <w:color w:val="auto"/>
              </w:rPr>
            </w:pPr>
          </w:p>
        </w:tc>
        <w:tc>
          <w:tcPr>
            <w:tcW w:w="3320" w:type="dxa"/>
            <w:vAlign w:val="bottom"/>
            <w:tcBorders>
              <w:right w:val="single" w:sz="8" w:color="0075C9"/>
            </w:tcBorders>
            <w:vMerge w:val="continue"/>
            <w:shd w:val="clear" w:color="auto" w:fill="0075C9"/>
          </w:tcPr>
          <w:p>
            <w:pPr>
              <w:spacing w:after="0"/>
              <w:rPr>
                <w:sz w:val="9"/>
                <w:szCs w:val="9"/>
                <w:color w:val="auto"/>
              </w:rPr>
            </w:pPr>
          </w:p>
        </w:tc>
        <w:tc>
          <w:tcPr>
            <w:tcW w:w="3240" w:type="dxa"/>
            <w:vAlign w:val="bottom"/>
            <w:tcBorders>
              <w:right w:val="single" w:sz="8" w:color="0075C9"/>
            </w:tcBorders>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3160" w:type="dxa"/>
            <w:vAlign w:val="bottom"/>
            <w:tcBorders>
              <w:left w:val="single" w:sz="8" w:color="0075C9"/>
              <w:right w:val="single" w:sz="8" w:color="0075C9"/>
            </w:tcBorders>
            <w:shd w:val="clear" w:color="auto" w:fill="0075C9"/>
          </w:tcPr>
          <w:p>
            <w:pPr>
              <w:spacing w:after="0"/>
              <w:rPr>
                <w:sz w:val="6"/>
                <w:szCs w:val="6"/>
                <w:color w:val="auto"/>
              </w:rPr>
            </w:pPr>
          </w:p>
        </w:tc>
        <w:tc>
          <w:tcPr>
            <w:tcW w:w="3320" w:type="dxa"/>
            <w:vAlign w:val="bottom"/>
            <w:tcBorders>
              <w:right w:val="single" w:sz="8" w:color="0075C9"/>
            </w:tcBorders>
            <w:shd w:val="clear" w:color="auto" w:fill="0075C9"/>
          </w:tcPr>
          <w:p>
            <w:pPr>
              <w:spacing w:after="0"/>
              <w:rPr>
                <w:sz w:val="6"/>
                <w:szCs w:val="6"/>
                <w:color w:val="auto"/>
              </w:rPr>
            </w:pPr>
          </w:p>
        </w:tc>
        <w:tc>
          <w:tcPr>
            <w:tcW w:w="3240" w:type="dxa"/>
            <w:vAlign w:val="bottom"/>
            <w:tcBorders>
              <w:right w:val="single" w:sz="8" w:color="0075C9"/>
            </w:tcBorders>
            <w:shd w:val="clear" w:color="auto" w:fill="0075C9"/>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3"/>
        </w:trPr>
        <w:tc>
          <w:tcPr>
            <w:tcW w:w="3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520" w:type="dxa"/>
            <w:vAlign w:val="bottom"/>
            <w:gridSpan w:val="2"/>
          </w:tcPr>
          <w:p>
            <w:pPr>
              <w:ind w:left="1560"/>
              <w:spacing w:after="0"/>
              <w:rPr>
                <w:sz w:val="20"/>
                <w:szCs w:val="20"/>
                <w:color w:val="auto"/>
              </w:rPr>
            </w:pPr>
            <w:r>
              <w:rPr>
                <w:rFonts w:ascii="Arial" w:cs="Arial" w:eastAsia="Arial" w:hAnsi="Arial"/>
                <w:sz w:val="18"/>
                <w:szCs w:val="18"/>
                <w:color w:val="0075C9"/>
                <w:w w:val="94"/>
              </w:rPr>
              <w:t xml:space="preserve">   2026 Proxy Statement 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-944880</wp:posOffset>
            </wp:positionV>
            <wp:extent cx="17145" cy="676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 cy="67691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-944880</wp:posOffset>
            </wp:positionV>
            <wp:extent cx="17145" cy="676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67691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-173355</wp:posOffset>
            </wp:positionV>
            <wp:extent cx="42037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0075C9"/>
        </w:rPr>
        <w: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0075C9"/>
        </w:rPr>
        <w:t>vi-</w:t>
      </w:r>
    </w:p>
    <w:p>
      <w:pPr>
        <w:sectPr>
          <w:pgSz w:w="11900" w:h="16838" w:orient="portrait"/>
          <w:cols w:equalWidth="0" w:num="2">
            <w:col w:w="10760" w:space="160"/>
            <w:col w:w="220"/>
          </w:cols>
          <w:pgMar w:left="320" w:top="482"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543050" cy="514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0075C9"/>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245110</wp:posOffset>
            </wp:positionV>
            <wp:extent cx="7003415" cy="4106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3415" cy="4106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840" w:type="dxa"/>
            <w:vAlign w:val="bottom"/>
          </w:tcPr>
          <w:p>
            <w:pPr>
              <w:ind w:left="160"/>
              <w:spacing w:after="0"/>
              <w:rPr>
                <w:sz w:val="20"/>
                <w:szCs w:val="20"/>
                <w:color w:val="auto"/>
              </w:rPr>
            </w:pPr>
            <w:r>
              <w:rPr>
                <w:rFonts w:ascii="Arial" w:cs="Arial" w:eastAsia="Arial" w:hAnsi="Arial"/>
                <w:sz w:val="16"/>
                <w:szCs w:val="16"/>
                <w:b w:val="1"/>
                <w:bCs w:val="1"/>
                <w:color w:val="0075C9"/>
              </w:rPr>
              <w:t>Date:</w:t>
            </w:r>
          </w:p>
        </w:tc>
        <w:tc>
          <w:tcPr>
            <w:tcW w:w="9180" w:type="dxa"/>
            <w:vAlign w:val="bottom"/>
            <w:gridSpan w:val="3"/>
          </w:tcPr>
          <w:p>
            <w:pPr>
              <w:ind w:left="260"/>
              <w:spacing w:after="0"/>
              <w:rPr>
                <w:sz w:val="20"/>
                <w:szCs w:val="20"/>
                <w:color w:val="auto"/>
              </w:rPr>
            </w:pPr>
            <w:r>
              <w:rPr>
                <w:rFonts w:ascii="Arial" w:cs="Arial" w:eastAsia="Arial" w:hAnsi="Arial"/>
                <w:sz w:val="16"/>
                <w:szCs w:val="16"/>
                <w:color w:val="auto"/>
              </w:rPr>
              <w:t>Tuesday, June 9, 2026</w:t>
            </w:r>
          </w:p>
        </w:tc>
        <w:tc>
          <w:tcPr>
            <w:tcW w:w="0" w:type="dxa"/>
            <w:vAlign w:val="bottom"/>
          </w:tcPr>
          <w:p>
            <w:pPr>
              <w:spacing w:after="0"/>
              <w:rPr>
                <w:sz w:val="1"/>
                <w:szCs w:val="1"/>
                <w:color w:val="auto"/>
              </w:rPr>
            </w:pPr>
          </w:p>
        </w:tc>
      </w:tr>
      <w:tr>
        <w:trPr>
          <w:trHeight w:val="189"/>
        </w:trPr>
        <w:tc>
          <w:tcPr>
            <w:tcW w:w="1840" w:type="dxa"/>
            <w:vAlign w:val="bottom"/>
          </w:tcPr>
          <w:p>
            <w:pPr>
              <w:ind w:left="160"/>
              <w:spacing w:after="0"/>
              <w:rPr>
                <w:sz w:val="20"/>
                <w:szCs w:val="20"/>
                <w:color w:val="auto"/>
              </w:rPr>
            </w:pPr>
            <w:r>
              <w:rPr>
                <w:rFonts w:ascii="Arial" w:cs="Arial" w:eastAsia="Arial" w:hAnsi="Arial"/>
                <w:sz w:val="16"/>
                <w:szCs w:val="16"/>
                <w:b w:val="1"/>
                <w:bCs w:val="1"/>
                <w:color w:val="0075C9"/>
              </w:rPr>
              <w:t>Time:</w:t>
            </w:r>
          </w:p>
        </w:tc>
        <w:tc>
          <w:tcPr>
            <w:tcW w:w="9180" w:type="dxa"/>
            <w:vAlign w:val="bottom"/>
            <w:gridSpan w:val="3"/>
          </w:tcPr>
          <w:p>
            <w:pPr>
              <w:ind w:left="260"/>
              <w:spacing w:after="0"/>
              <w:rPr>
                <w:sz w:val="20"/>
                <w:szCs w:val="20"/>
                <w:color w:val="auto"/>
              </w:rPr>
            </w:pPr>
            <w:r>
              <w:rPr>
                <w:rFonts w:ascii="Arial" w:cs="Arial" w:eastAsia="Arial" w:hAnsi="Arial"/>
                <w:sz w:val="16"/>
                <w:szCs w:val="16"/>
                <w:color w:val="auto"/>
              </w:rPr>
              <w:t>9:00 a.m. Eastern Time</w:t>
            </w:r>
          </w:p>
        </w:tc>
        <w:tc>
          <w:tcPr>
            <w:tcW w:w="0" w:type="dxa"/>
            <w:vAlign w:val="bottom"/>
          </w:tcPr>
          <w:p>
            <w:pPr>
              <w:spacing w:after="0"/>
              <w:rPr>
                <w:sz w:val="1"/>
                <w:szCs w:val="1"/>
                <w:color w:val="auto"/>
              </w:rPr>
            </w:pPr>
          </w:p>
        </w:tc>
      </w:tr>
      <w:tr>
        <w:trPr>
          <w:trHeight w:val="176"/>
        </w:trPr>
        <w:tc>
          <w:tcPr>
            <w:tcW w:w="1840" w:type="dxa"/>
            <w:vAlign w:val="bottom"/>
          </w:tcPr>
          <w:p>
            <w:pPr>
              <w:ind w:left="160"/>
              <w:spacing w:after="0" w:line="176" w:lineRule="exact"/>
              <w:rPr>
                <w:sz w:val="20"/>
                <w:szCs w:val="20"/>
                <w:color w:val="auto"/>
              </w:rPr>
            </w:pPr>
            <w:r>
              <w:rPr>
                <w:rFonts w:ascii="Arial" w:cs="Arial" w:eastAsia="Arial" w:hAnsi="Arial"/>
                <w:sz w:val="16"/>
                <w:szCs w:val="16"/>
                <w:b w:val="1"/>
                <w:bCs w:val="1"/>
                <w:color w:val="0075C9"/>
              </w:rPr>
              <w:t>Virtual Meeting:</w:t>
            </w:r>
          </w:p>
        </w:tc>
        <w:tc>
          <w:tcPr>
            <w:tcW w:w="9180" w:type="dxa"/>
            <w:vAlign w:val="bottom"/>
            <w:gridSpan w:val="3"/>
          </w:tcPr>
          <w:p>
            <w:pPr>
              <w:ind w:left="260"/>
              <w:spacing w:after="0" w:line="176" w:lineRule="exact"/>
              <w:rPr>
                <w:sz w:val="20"/>
                <w:szCs w:val="20"/>
                <w:color w:val="auto"/>
              </w:rPr>
            </w:pPr>
            <w:r>
              <w:rPr>
                <w:rFonts w:ascii="Arial" w:cs="Arial" w:eastAsia="Arial" w:hAnsi="Arial"/>
                <w:sz w:val="16"/>
                <w:szCs w:val="16"/>
                <w:color w:val="auto"/>
              </w:rPr>
              <w:t xml:space="preserve">Online only at </w:t>
            </w:r>
            <w:r>
              <w:rPr>
                <w:rFonts w:ascii="Arial" w:cs="Arial" w:eastAsia="Arial" w:hAnsi="Arial"/>
                <w:sz w:val="16"/>
                <w:szCs w:val="16"/>
                <w:color w:val="0075C9"/>
              </w:rPr>
              <w:t>www.virtualshareholdermeeting.com/BIIB2026</w:t>
            </w:r>
          </w:p>
        </w:tc>
        <w:tc>
          <w:tcPr>
            <w:tcW w:w="0" w:type="dxa"/>
            <w:vAlign w:val="bottom"/>
          </w:tcPr>
          <w:p>
            <w:pPr>
              <w:spacing w:after="0"/>
              <w:rPr>
                <w:sz w:val="1"/>
                <w:szCs w:val="1"/>
                <w:color w:val="auto"/>
              </w:rPr>
            </w:pPr>
          </w:p>
        </w:tc>
      </w:tr>
      <w:tr>
        <w:trPr>
          <w:trHeight w:val="20"/>
        </w:trPr>
        <w:tc>
          <w:tcPr>
            <w:tcW w:w="1840" w:type="dxa"/>
            <w:vAlign w:val="bottom"/>
            <w:vMerge w:val="restart"/>
          </w:tcPr>
          <w:p>
            <w:pPr>
              <w:ind w:left="160"/>
              <w:spacing w:after="0"/>
              <w:rPr>
                <w:sz w:val="20"/>
                <w:szCs w:val="20"/>
                <w:color w:val="auto"/>
              </w:rPr>
            </w:pPr>
            <w:r>
              <w:rPr>
                <w:rFonts w:ascii="Arial" w:cs="Arial" w:eastAsia="Arial" w:hAnsi="Arial"/>
                <w:sz w:val="16"/>
                <w:szCs w:val="16"/>
                <w:b w:val="1"/>
                <w:bCs w:val="1"/>
                <w:color w:val="0075C9"/>
              </w:rPr>
              <w:t>Record Date:</w:t>
            </w:r>
          </w:p>
        </w:tc>
        <w:tc>
          <w:tcPr>
            <w:tcW w:w="1300" w:type="dxa"/>
            <w:vAlign w:val="bottom"/>
            <w:vMerge w:val="restart"/>
          </w:tcPr>
          <w:p>
            <w:pPr>
              <w:ind w:left="260"/>
              <w:spacing w:after="0"/>
              <w:rPr>
                <w:sz w:val="20"/>
                <w:szCs w:val="20"/>
                <w:color w:val="auto"/>
              </w:rPr>
            </w:pPr>
            <w:r>
              <w:rPr>
                <w:rFonts w:ascii="Arial" w:cs="Arial" w:eastAsia="Arial" w:hAnsi="Arial"/>
                <w:sz w:val="16"/>
                <w:szCs w:val="16"/>
                <w:color w:val="auto"/>
                <w:w w:val="98"/>
              </w:rPr>
              <w:t>April 21, 2026.</w:t>
            </w:r>
          </w:p>
        </w:tc>
        <w:tc>
          <w:tcPr>
            <w:tcW w:w="3320" w:type="dxa"/>
            <w:vAlign w:val="bottom"/>
            <w:shd w:val="clear" w:color="auto" w:fill="0075C9"/>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7880" w:type="dxa"/>
            <w:vAlign w:val="bottom"/>
            <w:gridSpan w:val="2"/>
          </w:tcPr>
          <w:p>
            <w:pPr>
              <w:ind w:left="60"/>
              <w:spacing w:after="0" w:line="182" w:lineRule="exact"/>
              <w:rPr>
                <w:sz w:val="20"/>
                <w:szCs w:val="20"/>
                <w:color w:val="auto"/>
              </w:rPr>
            </w:pPr>
            <w:r>
              <w:rPr>
                <w:rFonts w:ascii="Arial" w:cs="Arial" w:eastAsia="Arial" w:hAnsi="Arial"/>
                <w:sz w:val="16"/>
                <w:szCs w:val="16"/>
                <w:color w:val="auto"/>
              </w:rPr>
              <w:t>Only Biogen stockholders of record at the close of business on the Record Date are entitled to receive notice</w:t>
            </w:r>
          </w:p>
        </w:tc>
        <w:tc>
          <w:tcPr>
            <w:tcW w:w="0" w:type="dxa"/>
            <w:vAlign w:val="bottom"/>
          </w:tcPr>
          <w:p>
            <w:pPr>
              <w:spacing w:after="0"/>
              <w:rPr>
                <w:sz w:val="1"/>
                <w:szCs w:val="1"/>
                <w:color w:val="auto"/>
              </w:rPr>
            </w:pPr>
          </w:p>
        </w:tc>
      </w:tr>
      <w:tr>
        <w:trPr>
          <w:trHeight w:val="224"/>
        </w:trPr>
        <w:tc>
          <w:tcPr>
            <w:tcW w:w="1840" w:type="dxa"/>
            <w:vAlign w:val="bottom"/>
            <w:tcBorders>
              <w:bottom w:val="single" w:sz="8" w:color="auto"/>
            </w:tcBorders>
          </w:tcPr>
          <w:p>
            <w:pPr>
              <w:spacing w:after="0"/>
              <w:rPr>
                <w:sz w:val="19"/>
                <w:szCs w:val="19"/>
                <w:color w:val="auto"/>
              </w:rPr>
            </w:pPr>
          </w:p>
        </w:tc>
        <w:tc>
          <w:tcPr>
            <w:tcW w:w="91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color w:val="auto"/>
              </w:rPr>
              <w:t>of, and vote at, the Annual Meeting.</w:t>
            </w:r>
          </w:p>
        </w:tc>
        <w:tc>
          <w:tcPr>
            <w:tcW w:w="0" w:type="dxa"/>
            <w:vAlign w:val="bottom"/>
          </w:tcPr>
          <w:p>
            <w:pPr>
              <w:spacing w:after="0"/>
              <w:rPr>
                <w:sz w:val="1"/>
                <w:szCs w:val="1"/>
                <w:color w:val="auto"/>
              </w:rPr>
            </w:pPr>
          </w:p>
        </w:tc>
      </w:tr>
      <w:tr>
        <w:trPr>
          <w:trHeight w:val="215"/>
        </w:trPr>
        <w:tc>
          <w:tcPr>
            <w:tcW w:w="1840" w:type="dxa"/>
            <w:vAlign w:val="bottom"/>
          </w:tcPr>
          <w:p>
            <w:pPr>
              <w:ind w:left="160"/>
              <w:spacing w:after="0"/>
              <w:rPr>
                <w:sz w:val="20"/>
                <w:szCs w:val="20"/>
                <w:color w:val="auto"/>
              </w:rPr>
            </w:pPr>
            <w:r>
              <w:rPr>
                <w:rFonts w:ascii="Arial" w:cs="Arial" w:eastAsia="Arial" w:hAnsi="Arial"/>
                <w:sz w:val="16"/>
                <w:szCs w:val="16"/>
                <w:b w:val="1"/>
                <w:bCs w:val="1"/>
                <w:color w:val="0075C9"/>
              </w:rPr>
              <w:t>Items of Business:</w:t>
            </w:r>
          </w:p>
        </w:tc>
        <w:tc>
          <w:tcPr>
            <w:tcW w:w="9180" w:type="dxa"/>
            <w:vAlign w:val="bottom"/>
            <w:gridSpan w:val="3"/>
          </w:tcPr>
          <w:p>
            <w:pPr>
              <w:ind w:left="500"/>
              <w:spacing w:after="0"/>
              <w:rPr>
                <w:sz w:val="20"/>
                <w:szCs w:val="20"/>
                <w:color w:val="auto"/>
              </w:rPr>
            </w:pPr>
            <w:r>
              <w:rPr>
                <w:rFonts w:ascii="Arial" w:cs="Arial" w:eastAsia="Arial" w:hAnsi="Arial"/>
                <w:sz w:val="16"/>
                <w:szCs w:val="16"/>
                <w:color w:val="auto"/>
              </w:rPr>
              <w:t>1.   To elect the 10 nominees identified in the accompanying Proxy Statement to our Board to each serve for a one-year</w:t>
            </w:r>
          </w:p>
        </w:tc>
        <w:tc>
          <w:tcPr>
            <w:tcW w:w="0" w:type="dxa"/>
            <w:vAlign w:val="bottom"/>
          </w:tcPr>
          <w:p>
            <w:pPr>
              <w:spacing w:after="0"/>
              <w:rPr>
                <w:sz w:val="1"/>
                <w:szCs w:val="1"/>
                <w:color w:val="auto"/>
              </w:rPr>
            </w:pPr>
          </w:p>
        </w:tc>
      </w:tr>
      <w:tr>
        <w:trPr>
          <w:trHeight w:val="215"/>
        </w:trPr>
        <w:tc>
          <w:tcPr>
            <w:tcW w:w="1840" w:type="dxa"/>
            <w:vAlign w:val="bottom"/>
          </w:tcPr>
          <w:p>
            <w:pPr>
              <w:spacing w:after="0"/>
              <w:rPr>
                <w:sz w:val="18"/>
                <w:szCs w:val="18"/>
                <w:color w:val="auto"/>
              </w:rPr>
            </w:pPr>
          </w:p>
        </w:tc>
        <w:tc>
          <w:tcPr>
            <w:tcW w:w="9180" w:type="dxa"/>
            <w:vAlign w:val="bottom"/>
            <w:gridSpan w:val="3"/>
          </w:tcPr>
          <w:p>
            <w:pPr>
              <w:ind w:left="800"/>
              <w:spacing w:after="0"/>
              <w:rPr>
                <w:sz w:val="20"/>
                <w:szCs w:val="20"/>
                <w:color w:val="auto"/>
              </w:rPr>
            </w:pPr>
            <w:r>
              <w:rPr>
                <w:rFonts w:ascii="Arial" w:cs="Arial" w:eastAsia="Arial" w:hAnsi="Arial"/>
                <w:sz w:val="16"/>
                <w:szCs w:val="16"/>
                <w:color w:val="auto"/>
              </w:rPr>
              <w:t>term extending until our 2027 annual meeting of stockholders and his or her successor is duly elected and qualified.</w:t>
            </w:r>
          </w:p>
        </w:tc>
        <w:tc>
          <w:tcPr>
            <w:tcW w:w="0" w:type="dxa"/>
            <w:vAlign w:val="bottom"/>
          </w:tcPr>
          <w:p>
            <w:pPr>
              <w:spacing w:after="0"/>
              <w:rPr>
                <w:sz w:val="1"/>
                <w:szCs w:val="1"/>
                <w:color w:val="auto"/>
              </w:rPr>
            </w:pPr>
          </w:p>
        </w:tc>
      </w:tr>
      <w:tr>
        <w:trPr>
          <w:trHeight w:val="406"/>
        </w:trPr>
        <w:tc>
          <w:tcPr>
            <w:tcW w:w="1840" w:type="dxa"/>
            <w:vAlign w:val="bottom"/>
          </w:tcPr>
          <w:p>
            <w:pPr>
              <w:spacing w:after="0"/>
              <w:rPr>
                <w:sz w:val="24"/>
                <w:szCs w:val="24"/>
                <w:color w:val="auto"/>
              </w:rPr>
            </w:pPr>
          </w:p>
        </w:tc>
        <w:tc>
          <w:tcPr>
            <w:tcW w:w="9180" w:type="dxa"/>
            <w:vAlign w:val="bottom"/>
            <w:gridSpan w:val="3"/>
          </w:tcPr>
          <w:p>
            <w:pPr>
              <w:ind w:left="500"/>
              <w:spacing w:after="0"/>
              <w:rPr>
                <w:sz w:val="20"/>
                <w:szCs w:val="20"/>
                <w:color w:val="auto"/>
              </w:rPr>
            </w:pPr>
            <w:r>
              <w:rPr>
                <w:rFonts w:ascii="Arial" w:cs="Arial" w:eastAsia="Arial" w:hAnsi="Arial"/>
                <w:sz w:val="16"/>
                <w:szCs w:val="16"/>
                <w:color w:val="auto"/>
              </w:rPr>
              <w:t>2.   To ratify the selection of PricewaterhouseCoopers LLP as our independent registered public accounting firm for the</w:t>
            </w:r>
          </w:p>
        </w:tc>
        <w:tc>
          <w:tcPr>
            <w:tcW w:w="0" w:type="dxa"/>
            <w:vAlign w:val="bottom"/>
          </w:tcPr>
          <w:p>
            <w:pPr>
              <w:spacing w:after="0"/>
              <w:rPr>
                <w:sz w:val="1"/>
                <w:szCs w:val="1"/>
                <w:color w:val="auto"/>
              </w:rPr>
            </w:pPr>
          </w:p>
        </w:tc>
      </w:tr>
      <w:tr>
        <w:trPr>
          <w:trHeight w:val="215"/>
        </w:trPr>
        <w:tc>
          <w:tcPr>
            <w:tcW w:w="1840" w:type="dxa"/>
            <w:vAlign w:val="bottom"/>
          </w:tcPr>
          <w:p>
            <w:pPr>
              <w:spacing w:after="0"/>
              <w:rPr>
                <w:sz w:val="18"/>
                <w:szCs w:val="18"/>
                <w:color w:val="auto"/>
              </w:rPr>
            </w:pPr>
          </w:p>
        </w:tc>
        <w:tc>
          <w:tcPr>
            <w:tcW w:w="9180" w:type="dxa"/>
            <w:vAlign w:val="bottom"/>
            <w:gridSpan w:val="3"/>
          </w:tcPr>
          <w:p>
            <w:pPr>
              <w:ind w:left="800"/>
              <w:spacing w:after="0"/>
              <w:rPr>
                <w:sz w:val="20"/>
                <w:szCs w:val="20"/>
                <w:color w:val="auto"/>
              </w:rPr>
            </w:pPr>
            <w:r>
              <w:rPr>
                <w:rFonts w:ascii="Arial" w:cs="Arial" w:eastAsia="Arial" w:hAnsi="Arial"/>
                <w:sz w:val="16"/>
                <w:szCs w:val="16"/>
                <w:color w:val="auto"/>
              </w:rPr>
              <w:t>fiscal year ending December 31, 2026.</w:t>
            </w: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9180" w:type="dxa"/>
            <w:vAlign w:val="bottom"/>
            <w:gridSpan w:val="3"/>
          </w:tcPr>
          <w:p>
            <w:pPr>
              <w:ind w:left="500"/>
              <w:spacing w:after="0"/>
              <w:rPr>
                <w:sz w:val="20"/>
                <w:szCs w:val="20"/>
                <w:color w:val="auto"/>
              </w:rPr>
            </w:pPr>
            <w:r>
              <w:rPr>
                <w:rFonts w:ascii="Arial" w:cs="Arial" w:eastAsia="Arial" w:hAnsi="Arial"/>
                <w:sz w:val="16"/>
                <w:szCs w:val="16"/>
                <w:color w:val="auto"/>
              </w:rPr>
              <w:t>3.   To hold an advisory vote on executive compensation.</w:t>
            </w:r>
          </w:p>
        </w:tc>
        <w:tc>
          <w:tcPr>
            <w:tcW w:w="0" w:type="dxa"/>
            <w:vAlign w:val="bottom"/>
          </w:tcPr>
          <w:p>
            <w:pPr>
              <w:spacing w:after="0"/>
              <w:rPr>
                <w:sz w:val="1"/>
                <w:szCs w:val="1"/>
                <w:color w:val="auto"/>
              </w:rPr>
            </w:pPr>
          </w:p>
        </w:tc>
      </w:tr>
      <w:tr>
        <w:trPr>
          <w:trHeight w:val="406"/>
        </w:trPr>
        <w:tc>
          <w:tcPr>
            <w:tcW w:w="1840" w:type="dxa"/>
            <w:vAlign w:val="bottom"/>
          </w:tcPr>
          <w:p>
            <w:pPr>
              <w:spacing w:after="0"/>
              <w:rPr>
                <w:sz w:val="24"/>
                <w:szCs w:val="24"/>
                <w:color w:val="auto"/>
              </w:rPr>
            </w:pPr>
          </w:p>
        </w:tc>
        <w:tc>
          <w:tcPr>
            <w:tcW w:w="9180" w:type="dxa"/>
            <w:vAlign w:val="bottom"/>
            <w:gridSpan w:val="3"/>
          </w:tcPr>
          <w:p>
            <w:pPr>
              <w:ind w:left="500"/>
              <w:spacing w:after="0"/>
              <w:rPr>
                <w:sz w:val="20"/>
                <w:szCs w:val="20"/>
                <w:color w:val="auto"/>
              </w:rPr>
            </w:pPr>
            <w:r>
              <w:rPr>
                <w:rFonts w:ascii="Arial" w:cs="Arial" w:eastAsia="Arial" w:hAnsi="Arial"/>
                <w:sz w:val="16"/>
                <w:szCs w:val="16"/>
                <w:color w:val="auto"/>
              </w:rPr>
              <w:t>4.   To transact such other business as may be properly brought before the annual meeting and any adjournments or</w:t>
            </w:r>
          </w:p>
        </w:tc>
        <w:tc>
          <w:tcPr>
            <w:tcW w:w="0" w:type="dxa"/>
            <w:vAlign w:val="bottom"/>
          </w:tcPr>
          <w:p>
            <w:pPr>
              <w:spacing w:after="0"/>
              <w:rPr>
                <w:sz w:val="1"/>
                <w:szCs w:val="1"/>
                <w:color w:val="auto"/>
              </w:rPr>
            </w:pPr>
          </w:p>
        </w:tc>
      </w:tr>
      <w:tr>
        <w:trPr>
          <w:trHeight w:val="215"/>
        </w:trPr>
        <w:tc>
          <w:tcPr>
            <w:tcW w:w="1840" w:type="dxa"/>
            <w:vAlign w:val="bottom"/>
          </w:tcPr>
          <w:p>
            <w:pPr>
              <w:spacing w:after="0"/>
              <w:rPr>
                <w:sz w:val="18"/>
                <w:szCs w:val="18"/>
                <w:color w:val="auto"/>
              </w:rPr>
            </w:pPr>
          </w:p>
        </w:tc>
        <w:tc>
          <w:tcPr>
            <w:tcW w:w="9180" w:type="dxa"/>
            <w:vAlign w:val="bottom"/>
            <w:gridSpan w:val="3"/>
          </w:tcPr>
          <w:p>
            <w:pPr>
              <w:ind w:left="800"/>
              <w:spacing w:after="0"/>
              <w:rPr>
                <w:sz w:val="20"/>
                <w:szCs w:val="20"/>
                <w:color w:val="auto"/>
              </w:rPr>
            </w:pPr>
            <w:r>
              <w:rPr>
                <w:rFonts w:ascii="Arial" w:cs="Arial" w:eastAsia="Arial" w:hAnsi="Arial"/>
                <w:sz w:val="16"/>
                <w:szCs w:val="16"/>
                <w:color w:val="auto"/>
              </w:rPr>
              <w:t>postponements.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80" w:type="dxa"/>
        <w:tblCellMar>
          <w:top w:w="0" w:type="dxa"/>
          <w:left w:w="0" w:type="dxa"/>
          <w:bottom w:w="0" w:type="dxa"/>
          <w:right w:w="0" w:type="dxa"/>
        </w:tblCellMar>
      </w:tblPr>
      <w:tr>
        <w:trPr>
          <w:trHeight w:val="189"/>
        </w:trPr>
        <w:tc>
          <w:tcPr>
            <w:tcW w:w="1240" w:type="dxa"/>
            <w:vAlign w:val="bottom"/>
          </w:tcPr>
          <w:p>
            <w:pPr>
              <w:spacing w:after="0"/>
              <w:rPr>
                <w:sz w:val="20"/>
                <w:szCs w:val="20"/>
                <w:color w:val="auto"/>
              </w:rPr>
            </w:pPr>
            <w:r>
              <w:rPr>
                <w:rFonts w:ascii="Arial" w:cs="Arial" w:eastAsia="Arial" w:hAnsi="Arial"/>
                <w:sz w:val="16"/>
                <w:szCs w:val="16"/>
                <w:b w:val="1"/>
                <w:bCs w:val="1"/>
                <w:color w:val="0075C9"/>
              </w:rPr>
              <w:t>Voting:</w:t>
            </w:r>
          </w:p>
        </w:tc>
        <w:tc>
          <w:tcPr>
            <w:tcW w:w="9560" w:type="dxa"/>
            <w:vAlign w:val="bottom"/>
          </w:tcPr>
          <w:p>
            <w:pPr>
              <w:ind w:left="700"/>
              <w:spacing w:after="0"/>
              <w:rPr>
                <w:sz w:val="20"/>
                <w:szCs w:val="20"/>
                <w:color w:val="auto"/>
              </w:rPr>
            </w:pPr>
            <w:r>
              <w:rPr>
                <w:rFonts w:ascii="Arial" w:cs="Arial" w:eastAsia="Arial" w:hAnsi="Arial"/>
                <w:sz w:val="16"/>
                <w:szCs w:val="16"/>
                <w:b w:val="1"/>
                <w:bCs w:val="1"/>
                <w:color w:val="auto"/>
              </w:rPr>
              <w:t>You will not be able to attend the annual meeting in person. Your vote is extremely important regardless of the</w:t>
            </w:r>
          </w:p>
        </w:tc>
      </w:tr>
      <w:tr>
        <w:trPr>
          <w:trHeight w:val="189"/>
        </w:trPr>
        <w:tc>
          <w:tcPr>
            <w:tcW w:w="1240" w:type="dxa"/>
            <w:vAlign w:val="bottom"/>
          </w:tcPr>
          <w:p>
            <w:pPr>
              <w:spacing w:after="0"/>
              <w:rPr>
                <w:sz w:val="16"/>
                <w:szCs w:val="16"/>
                <w:color w:val="auto"/>
              </w:rPr>
            </w:pPr>
          </w:p>
        </w:tc>
        <w:tc>
          <w:tcPr>
            <w:tcW w:w="9560" w:type="dxa"/>
            <w:vAlign w:val="bottom"/>
          </w:tcPr>
          <w:p>
            <w:pPr>
              <w:ind w:left="700"/>
              <w:spacing w:after="0"/>
              <w:rPr>
                <w:sz w:val="20"/>
                <w:szCs w:val="20"/>
                <w:color w:val="auto"/>
              </w:rPr>
            </w:pPr>
            <w:r>
              <w:rPr>
                <w:rFonts w:ascii="Arial" w:cs="Arial" w:eastAsia="Arial" w:hAnsi="Arial"/>
                <w:sz w:val="16"/>
                <w:szCs w:val="16"/>
                <w:b w:val="1"/>
                <w:bCs w:val="1"/>
                <w:color w:val="auto"/>
              </w:rPr>
              <w:t>number of shares of stock you own. Whether or not you expect to attend the annual meeting online, we urge you to</w:t>
            </w:r>
          </w:p>
        </w:tc>
      </w:tr>
      <w:tr>
        <w:trPr>
          <w:trHeight w:val="189"/>
        </w:trPr>
        <w:tc>
          <w:tcPr>
            <w:tcW w:w="1240" w:type="dxa"/>
            <w:vAlign w:val="bottom"/>
          </w:tcPr>
          <w:p>
            <w:pPr>
              <w:spacing w:after="0"/>
              <w:rPr>
                <w:sz w:val="16"/>
                <w:szCs w:val="16"/>
                <w:color w:val="auto"/>
              </w:rPr>
            </w:pPr>
          </w:p>
        </w:tc>
        <w:tc>
          <w:tcPr>
            <w:tcW w:w="9560" w:type="dxa"/>
            <w:vAlign w:val="bottom"/>
          </w:tcPr>
          <w:p>
            <w:pPr>
              <w:ind w:left="700"/>
              <w:spacing w:after="0"/>
              <w:rPr>
                <w:sz w:val="20"/>
                <w:szCs w:val="20"/>
                <w:color w:val="auto"/>
              </w:rPr>
            </w:pPr>
            <w:r>
              <w:rPr>
                <w:rFonts w:ascii="Arial" w:cs="Arial" w:eastAsia="Arial" w:hAnsi="Arial"/>
                <w:sz w:val="16"/>
                <w:szCs w:val="16"/>
                <w:b w:val="1"/>
                <w:bCs w:val="1"/>
                <w:color w:val="auto"/>
              </w:rPr>
              <w:t>vote as promptly as possible by telephone or Internet or by signing, dating and returning a printed proxy card or</w:t>
            </w:r>
          </w:p>
        </w:tc>
      </w:tr>
      <w:tr>
        <w:trPr>
          <w:trHeight w:val="189"/>
        </w:trPr>
        <w:tc>
          <w:tcPr>
            <w:tcW w:w="1240" w:type="dxa"/>
            <w:vAlign w:val="bottom"/>
          </w:tcPr>
          <w:p>
            <w:pPr>
              <w:spacing w:after="0"/>
              <w:rPr>
                <w:sz w:val="16"/>
                <w:szCs w:val="16"/>
                <w:color w:val="auto"/>
              </w:rPr>
            </w:pPr>
          </w:p>
        </w:tc>
        <w:tc>
          <w:tcPr>
            <w:tcW w:w="9560" w:type="dxa"/>
            <w:vAlign w:val="bottom"/>
          </w:tcPr>
          <w:p>
            <w:pPr>
              <w:ind w:left="700"/>
              <w:spacing w:after="0"/>
              <w:rPr>
                <w:sz w:val="20"/>
                <w:szCs w:val="20"/>
                <w:color w:val="auto"/>
              </w:rPr>
            </w:pPr>
            <w:r>
              <w:rPr>
                <w:rFonts w:ascii="Arial" w:cs="Arial" w:eastAsia="Arial" w:hAnsi="Arial"/>
                <w:sz w:val="16"/>
                <w:szCs w:val="16"/>
                <w:b w:val="1"/>
                <w:bCs w:val="1"/>
                <w:color w:val="auto"/>
              </w:rPr>
              <w:t>voting instruction form, as applicable. If you attend the annual meeting online, you may vote your stock during the</w:t>
            </w:r>
          </w:p>
        </w:tc>
      </w:tr>
      <w:tr>
        <w:trPr>
          <w:trHeight w:val="189"/>
        </w:trPr>
        <w:tc>
          <w:tcPr>
            <w:tcW w:w="1240" w:type="dxa"/>
            <w:vAlign w:val="bottom"/>
          </w:tcPr>
          <w:p>
            <w:pPr>
              <w:spacing w:after="0"/>
              <w:rPr>
                <w:sz w:val="16"/>
                <w:szCs w:val="16"/>
                <w:color w:val="auto"/>
              </w:rPr>
            </w:pPr>
          </w:p>
        </w:tc>
        <w:tc>
          <w:tcPr>
            <w:tcW w:w="9560" w:type="dxa"/>
            <w:vAlign w:val="bottom"/>
          </w:tcPr>
          <w:p>
            <w:pPr>
              <w:ind w:left="700"/>
              <w:spacing w:after="0"/>
              <w:rPr>
                <w:sz w:val="20"/>
                <w:szCs w:val="20"/>
                <w:color w:val="auto"/>
              </w:rPr>
            </w:pPr>
            <w:r>
              <w:rPr>
                <w:rFonts w:ascii="Arial" w:cs="Arial" w:eastAsia="Arial" w:hAnsi="Arial"/>
                <w:sz w:val="16"/>
                <w:szCs w:val="16"/>
                <w:b w:val="1"/>
                <w:bCs w:val="1"/>
                <w:color w:val="auto"/>
              </w:rPr>
              <w:t>annual meeting virtually via the Internet even if you previously voted your proxy. Please vote as soon as possible</w:t>
            </w:r>
          </w:p>
        </w:tc>
      </w:tr>
      <w:tr>
        <w:trPr>
          <w:trHeight w:val="223"/>
        </w:trPr>
        <w:tc>
          <w:tcPr>
            <w:tcW w:w="1240" w:type="dxa"/>
            <w:vAlign w:val="bottom"/>
          </w:tcPr>
          <w:p>
            <w:pPr>
              <w:spacing w:after="0"/>
              <w:rPr>
                <w:sz w:val="19"/>
                <w:szCs w:val="19"/>
                <w:color w:val="auto"/>
              </w:rPr>
            </w:pPr>
          </w:p>
        </w:tc>
        <w:tc>
          <w:tcPr>
            <w:tcW w:w="9560" w:type="dxa"/>
            <w:vAlign w:val="bottom"/>
          </w:tcPr>
          <w:p>
            <w:pPr>
              <w:ind w:left="700"/>
              <w:spacing w:after="0"/>
              <w:rPr>
                <w:sz w:val="20"/>
                <w:szCs w:val="20"/>
                <w:color w:val="auto"/>
              </w:rPr>
            </w:pPr>
            <w:r>
              <w:rPr>
                <w:rFonts w:ascii="Arial" w:cs="Arial" w:eastAsia="Arial" w:hAnsi="Arial"/>
                <w:sz w:val="16"/>
                <w:szCs w:val="16"/>
                <w:b w:val="1"/>
                <w:bCs w:val="1"/>
                <w:color w:val="auto"/>
              </w:rPr>
              <w:t>to ensure that your stock will be represented and counted at the annual meeting.</w:t>
            </w:r>
          </w:p>
        </w:tc>
      </w:tr>
    </w:tbl>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Important Notice Regarding the Availability of Proxy Materials for the 2026 Annual Meeting of Stockholders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To Be Held on June 9, 2026:</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Notice of 2026 Annual Meeting of Stockholders, Proxy Statement and 2025 Annual Report on Form 10-K</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 xml:space="preserve">are available at the following website: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1645920" cy="402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592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Wendell Taylor,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Corporation Counsel, Secretary</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225 Binney Street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Cambridge, Massachusetts 02142</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28, 2026</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0075C9"/>
        </w:rPr>
        <w:t>This Notice of 2026 Annual Meeting of Stockholders and Proxy Statement are first being sent to stockholders on or about April 28, 2026.</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0075C9"/>
        </w:rPr>
        <w:t>Our 2025 Annual Report on Form 10-K is being sent with this Notice of 2026 Annual Meeting of Stockholders and Proxy Statement.</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5"/>
          </w:tcPr>
          <w:p>
            <w:pPr>
              <w:jc w:val="right"/>
              <w:spacing w:after="0"/>
              <w:rPr>
                <w:sz w:val="20"/>
                <w:szCs w:val="20"/>
                <w:color w:val="auto"/>
              </w:rPr>
            </w:pPr>
            <w:r>
              <w:rPr>
                <w:rFonts w:ascii="Arial" w:cs="Arial" w:eastAsia="Arial" w:hAnsi="Arial"/>
                <w:sz w:val="20"/>
                <w:szCs w:val="20"/>
                <w:color w:val="0075C9"/>
                <w:w w:val="97"/>
              </w:rPr>
              <w:t>Table of Contents</w:t>
            </w:r>
          </w:p>
        </w:tc>
        <w:tc>
          <w:tcPr>
            <w:tcW w:w="0" w:type="dxa"/>
            <w:vAlign w:val="bottom"/>
          </w:tcPr>
          <w:p>
            <w:pPr>
              <w:spacing w:after="0"/>
              <w:rPr>
                <w:sz w:val="1"/>
                <w:szCs w:val="1"/>
                <w:color w:val="auto"/>
              </w:rPr>
            </w:pPr>
          </w:p>
        </w:tc>
      </w:tr>
      <w:tr>
        <w:trPr>
          <w:trHeight w:val="31"/>
        </w:trPr>
        <w:tc>
          <w:tcPr>
            <w:tcW w:w="11020" w:type="dxa"/>
            <w:vAlign w:val="bottom"/>
            <w:tcBorders>
              <w:bottom w:val="single" w:sz="8" w:color="0075C9"/>
            </w:tcBorders>
            <w:gridSpan w:val="58"/>
          </w:tcPr>
          <w:p>
            <w:pPr>
              <w:spacing w:after="0"/>
              <w:rPr>
                <w:sz w:val="2"/>
                <w:szCs w:val="2"/>
                <w:color w:val="auto"/>
              </w:rPr>
            </w:pPr>
          </w:p>
        </w:tc>
        <w:tc>
          <w:tcPr>
            <w:tcW w:w="0" w:type="dxa"/>
            <w:vAlign w:val="bottom"/>
          </w:tcPr>
          <w:p>
            <w:pPr>
              <w:spacing w:after="0"/>
              <w:rPr>
                <w:sz w:val="1"/>
                <w:szCs w:val="1"/>
                <w:color w:val="auto"/>
              </w:rPr>
            </w:pPr>
          </w:p>
        </w:tc>
      </w:tr>
      <w:tr>
        <w:trPr>
          <w:trHeight w:val="675"/>
        </w:trPr>
        <w:tc>
          <w:tcPr>
            <w:tcW w:w="4680" w:type="dxa"/>
            <w:vAlign w:val="bottom"/>
            <w:gridSpan w:val="29"/>
          </w:tcPr>
          <w:p>
            <w:pPr>
              <w:spacing w:after="0"/>
              <w:rPr>
                <w:sz w:val="20"/>
                <w:szCs w:val="20"/>
                <w:color w:val="auto"/>
              </w:rPr>
            </w:pPr>
            <w:r>
              <w:rPr>
                <w:rFonts w:ascii="Arial" w:cs="Arial" w:eastAsia="Arial" w:hAnsi="Arial"/>
                <w:sz w:val="40"/>
                <w:szCs w:val="40"/>
                <w:color w:val="0075C9"/>
              </w:rPr>
              <w:t>Table of Contents</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20" w:type="dxa"/>
            <w:vAlign w:val="bottom"/>
            <w:tcBorders>
              <w:bottom w:val="single" w:sz="8" w:color="0075C9"/>
            </w:tcBorders>
            <w:gridSpan w:val="58"/>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680" w:type="dxa"/>
            <w:vAlign w:val="bottom"/>
            <w:gridSpan w:val="29"/>
          </w:tcPr>
          <w:p>
            <w:pPr>
              <w:spacing w:after="0"/>
              <w:rPr>
                <w:sz w:val="20"/>
                <w:szCs w:val="20"/>
                <w:color w:val="auto"/>
              </w:rPr>
            </w:pPr>
            <w:r>
              <w:rPr>
                <w:rFonts w:ascii="Arial" w:cs="Arial" w:eastAsia="Arial" w:hAnsi="Arial"/>
                <w:sz w:val="16"/>
                <w:szCs w:val="16"/>
                <w:b w:val="1"/>
                <w:bCs w:val="1"/>
                <w:color w:val="0000EE"/>
              </w:rPr>
              <w:t>Proxy Statement Summary</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1</w:t>
            </w:r>
          </w:p>
        </w:tc>
        <w:tc>
          <w:tcPr>
            <w:tcW w:w="5060" w:type="dxa"/>
            <w:vAlign w:val="bottom"/>
            <w:gridSpan w:val="27"/>
          </w:tcPr>
          <w:p>
            <w:pPr>
              <w:spacing w:after="0"/>
              <w:rPr>
                <w:sz w:val="20"/>
                <w:szCs w:val="20"/>
                <w:color w:val="auto"/>
              </w:rPr>
            </w:pPr>
            <w:r>
              <w:rPr>
                <w:rFonts w:ascii="Arial" w:cs="Arial" w:eastAsia="Arial" w:hAnsi="Arial"/>
                <w:sz w:val="16"/>
                <w:szCs w:val="16"/>
                <w:color w:val="0000EE"/>
              </w:rPr>
              <w:t>2025 Performance-Based Programs and Goal Setting</w:t>
            </w:r>
          </w:p>
        </w:tc>
        <w:tc>
          <w:tcPr>
            <w:tcW w:w="3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4680" w:type="dxa"/>
            <w:vAlign w:val="bottom"/>
            <w:gridSpan w:val="29"/>
            <w:shd w:val="clear" w:color="auto" w:fill="0000EE"/>
          </w:tcPr>
          <w:p>
            <w:pPr>
              <w:spacing w:after="0" w:line="20" w:lineRule="exact"/>
              <w:rPr>
                <w:sz w:val="1"/>
                <w:szCs w:val="1"/>
                <w:color w:val="auto"/>
              </w:rPr>
            </w:pPr>
          </w:p>
        </w:tc>
        <w:tc>
          <w:tcPr>
            <w:tcW w:w="940" w:type="dxa"/>
            <w:vAlign w:val="bottom"/>
            <w:vMerge w:val="restart"/>
          </w:tcPr>
          <w:p>
            <w:pPr>
              <w:jc w:val="right"/>
              <w:ind w:right="319"/>
              <w:spacing w:after="0"/>
              <w:rPr>
                <w:sz w:val="20"/>
                <w:szCs w:val="20"/>
                <w:color w:val="auto"/>
              </w:rPr>
            </w:pPr>
            <w:r>
              <w:rPr>
                <w:rFonts w:ascii="Arial" w:cs="Arial" w:eastAsia="Arial" w:hAnsi="Arial"/>
                <w:sz w:val="16"/>
                <w:szCs w:val="16"/>
                <w:color w:val="auto"/>
              </w:rPr>
              <w:t>2</w:t>
            </w:r>
          </w:p>
        </w:tc>
        <w:tc>
          <w:tcPr>
            <w:tcW w:w="3840" w:type="dxa"/>
            <w:vAlign w:val="bottom"/>
            <w:tcBorders>
              <w:right w:val="single" w:sz="8" w:color="0000EE"/>
            </w:tcBorders>
            <w:gridSpan w:val="23"/>
            <w:shd w:val="clear" w:color="auto" w:fill="0000EE"/>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line="20" w:lineRule="exact"/>
              <w:rPr>
                <w:sz w:val="1"/>
                <w:szCs w:val="1"/>
                <w:color w:val="auto"/>
              </w:rPr>
            </w:pPr>
          </w:p>
        </w:tc>
      </w:tr>
      <w:tr>
        <w:trPr>
          <w:trHeight w:val="169"/>
        </w:trPr>
        <w:tc>
          <w:tcPr>
            <w:tcW w:w="4680" w:type="dxa"/>
            <w:vAlign w:val="bottom"/>
            <w:gridSpan w:val="29"/>
          </w:tcPr>
          <w:p>
            <w:pPr>
              <w:spacing w:after="0" w:line="169" w:lineRule="exact"/>
              <w:rPr>
                <w:sz w:val="20"/>
                <w:szCs w:val="20"/>
                <w:color w:val="auto"/>
              </w:rPr>
            </w:pPr>
            <w:r>
              <w:rPr>
                <w:rFonts w:ascii="Arial" w:cs="Arial" w:eastAsia="Arial" w:hAnsi="Arial"/>
                <w:sz w:val="16"/>
                <w:szCs w:val="16"/>
                <w:b w:val="1"/>
                <w:bCs w:val="1"/>
                <w:color w:val="0000EE"/>
              </w:rPr>
              <w:t>Proposal 1 – Election of Directors</w:t>
            </w:r>
          </w:p>
        </w:tc>
        <w:tc>
          <w:tcPr>
            <w:tcW w:w="940" w:type="dxa"/>
            <w:vAlign w:val="bottom"/>
            <w:vMerge w:val="continue"/>
          </w:tcPr>
          <w:p>
            <w:pPr>
              <w:spacing w:after="0"/>
              <w:rPr>
                <w:sz w:val="14"/>
                <w:szCs w:val="14"/>
                <w:color w:val="auto"/>
              </w:rPr>
            </w:pPr>
          </w:p>
        </w:tc>
        <w:tc>
          <w:tcPr>
            <w:tcW w:w="3840" w:type="dxa"/>
            <w:vAlign w:val="bottom"/>
            <w:gridSpan w:val="23"/>
          </w:tcPr>
          <w:p>
            <w:pPr>
              <w:spacing w:after="0" w:line="169" w:lineRule="exact"/>
              <w:rPr>
                <w:sz w:val="20"/>
                <w:szCs w:val="20"/>
                <w:color w:val="auto"/>
              </w:rPr>
            </w:pPr>
            <w:r>
              <w:rPr>
                <w:rFonts w:ascii="Arial" w:cs="Arial" w:eastAsia="Arial" w:hAnsi="Arial"/>
                <w:sz w:val="16"/>
                <w:szCs w:val="16"/>
                <w:color w:val="0000EE"/>
              </w:rPr>
              <w:t>Performance Goals and Target Setting Process</w:t>
            </w:r>
          </w:p>
        </w:tc>
        <w:tc>
          <w:tcPr>
            <w:tcW w:w="2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60" w:type="dxa"/>
            <w:vAlign w:val="bottom"/>
            <w:tcBorders>
              <w:top w:val="single" w:sz="8" w:color="0000EE"/>
              <w:bottom w:val="single" w:sz="8" w:color="0000EE"/>
            </w:tcBorders>
            <w:gridSpan w:val="8"/>
          </w:tcPr>
          <w:p>
            <w:pPr>
              <w:spacing w:after="0" w:line="169" w:lineRule="exact"/>
              <w:rPr>
                <w:sz w:val="20"/>
                <w:szCs w:val="20"/>
                <w:color w:val="auto"/>
              </w:rPr>
            </w:pPr>
            <w:r>
              <w:rPr>
                <w:rFonts w:ascii="Arial" w:cs="Arial" w:eastAsia="Arial" w:hAnsi="Arial"/>
                <w:sz w:val="16"/>
                <w:szCs w:val="16"/>
                <w:b w:val="1"/>
                <w:bCs w:val="1"/>
                <w:color w:val="0000EE"/>
              </w:rPr>
              <w:t>Corporate Governance</w:t>
            </w:r>
          </w:p>
        </w:tc>
        <w:tc>
          <w:tcPr>
            <w:tcW w:w="840" w:type="dxa"/>
            <w:vAlign w:val="bottom"/>
            <w:tcBorders>
              <w:top w:val="single" w:sz="8" w:color="0000EE"/>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11</w:t>
            </w:r>
          </w:p>
        </w:tc>
        <w:tc>
          <w:tcPr>
            <w:tcW w:w="1900" w:type="dxa"/>
            <w:vAlign w:val="bottom"/>
            <w:tcBorders>
              <w:top w:val="single" w:sz="8" w:color="0000EE"/>
              <w:bottom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Roles and Responsibilities</w:t>
            </w:r>
          </w:p>
        </w:tc>
        <w:tc>
          <w:tcPr>
            <w:tcW w:w="1480" w:type="dxa"/>
            <w:vAlign w:val="bottom"/>
            <w:tcBorders>
              <w:top w:val="single" w:sz="8" w:color="0000EE"/>
            </w:tcBorders>
            <w:gridSpan w:val="15"/>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9"/>
        </w:trPr>
        <w:tc>
          <w:tcPr>
            <w:tcW w:w="4680" w:type="dxa"/>
            <w:vAlign w:val="bottom"/>
            <w:gridSpan w:val="29"/>
          </w:tcPr>
          <w:p>
            <w:pPr>
              <w:spacing w:after="0" w:line="169" w:lineRule="exact"/>
              <w:rPr>
                <w:sz w:val="20"/>
                <w:szCs w:val="20"/>
                <w:color w:val="auto"/>
              </w:rPr>
            </w:pPr>
            <w:r>
              <w:rPr>
                <w:rFonts w:ascii="Arial" w:cs="Arial" w:eastAsia="Arial" w:hAnsi="Arial"/>
                <w:sz w:val="16"/>
                <w:szCs w:val="16"/>
                <w:color w:val="0000EE"/>
              </w:rPr>
              <w:t>Board Leadership Structure</w:t>
            </w: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12</w:t>
            </w:r>
          </w:p>
        </w:tc>
        <w:tc>
          <w:tcPr>
            <w:tcW w:w="5060" w:type="dxa"/>
            <w:vAlign w:val="bottom"/>
            <w:gridSpan w:val="27"/>
          </w:tcPr>
          <w:p>
            <w:pPr>
              <w:spacing w:after="0" w:line="169" w:lineRule="exact"/>
              <w:rPr>
                <w:sz w:val="20"/>
                <w:szCs w:val="20"/>
                <w:color w:val="auto"/>
              </w:rPr>
            </w:pPr>
            <w:r>
              <w:rPr>
                <w:rFonts w:ascii="Arial" w:cs="Arial" w:eastAsia="Arial" w:hAnsi="Arial"/>
                <w:sz w:val="16"/>
                <w:szCs w:val="16"/>
                <w:color w:val="0000EE"/>
              </w:rPr>
              <w:t>External Market Competitiveness and Peer Group</w:t>
            </w: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vMerge w:val="restart"/>
          </w:tcPr>
          <w:p>
            <w:pPr>
              <w:jc w:val="right"/>
              <w:ind w:right="319"/>
              <w:spacing w:after="0"/>
              <w:rPr>
                <w:sz w:val="20"/>
                <w:szCs w:val="20"/>
                <w:color w:val="auto"/>
              </w:rPr>
            </w:pPr>
            <w:r>
              <w:rPr>
                <w:rFonts w:ascii="Arial" w:cs="Arial" w:eastAsia="Arial" w:hAnsi="Arial"/>
                <w:sz w:val="16"/>
                <w:szCs w:val="16"/>
                <w:color w:val="auto"/>
              </w:rPr>
              <w:t>12</w:t>
            </w: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line="20" w:lineRule="exact"/>
              <w:rPr>
                <w:sz w:val="1"/>
                <w:szCs w:val="1"/>
                <w:color w:val="auto"/>
              </w:rPr>
            </w:pPr>
          </w:p>
        </w:tc>
      </w:tr>
      <w:tr>
        <w:trPr>
          <w:trHeight w:val="169"/>
        </w:trPr>
        <w:tc>
          <w:tcPr>
            <w:tcW w:w="4680" w:type="dxa"/>
            <w:vAlign w:val="bottom"/>
            <w:gridSpan w:val="29"/>
          </w:tcPr>
          <w:p>
            <w:pPr>
              <w:spacing w:after="0" w:line="169" w:lineRule="exact"/>
              <w:rPr>
                <w:sz w:val="20"/>
                <w:szCs w:val="20"/>
                <w:color w:val="auto"/>
              </w:rPr>
            </w:pPr>
            <w:r>
              <w:rPr>
                <w:rFonts w:ascii="Arial" w:cs="Arial" w:eastAsia="Arial" w:hAnsi="Arial"/>
                <w:sz w:val="16"/>
                <w:szCs w:val="16"/>
                <w:color w:val="0000EE"/>
              </w:rPr>
              <w:t>Process for Selecting Directors and Director Qualifications</w:t>
            </w:r>
          </w:p>
        </w:tc>
        <w:tc>
          <w:tcPr>
            <w:tcW w:w="940" w:type="dxa"/>
            <w:vAlign w:val="bottom"/>
            <w:vMerge w:val="continue"/>
          </w:tcPr>
          <w:p>
            <w:pPr>
              <w:spacing w:after="0"/>
              <w:rPr>
                <w:sz w:val="14"/>
                <w:szCs w:val="14"/>
                <w:color w:val="auto"/>
              </w:rPr>
            </w:pPr>
          </w:p>
        </w:tc>
        <w:tc>
          <w:tcPr>
            <w:tcW w:w="3580" w:type="dxa"/>
            <w:vAlign w:val="bottom"/>
            <w:gridSpan w:val="21"/>
          </w:tcPr>
          <w:p>
            <w:pPr>
              <w:spacing w:after="0" w:line="169" w:lineRule="exact"/>
              <w:rPr>
                <w:sz w:val="20"/>
                <w:szCs w:val="20"/>
                <w:color w:val="auto"/>
              </w:rPr>
            </w:pPr>
            <w:r>
              <w:rPr>
                <w:rFonts w:ascii="Arial" w:cs="Arial" w:eastAsia="Arial" w:hAnsi="Arial"/>
                <w:sz w:val="16"/>
                <w:szCs w:val="16"/>
                <w:color w:val="0000EE"/>
              </w:rPr>
              <w:t>Retirement Plans</w:t>
            </w:r>
          </w:p>
        </w:tc>
        <w:tc>
          <w:tcPr>
            <w:tcW w:w="1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6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color w:val="0000EE"/>
              </w:rPr>
              <w:t>Board Succession Planning and Refreshment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14</w:t>
            </w:r>
          </w:p>
        </w:tc>
        <w:tc>
          <w:tcPr>
            <w:tcW w:w="124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6"/>
                <w:szCs w:val="16"/>
                <w:color w:val="0000EE"/>
              </w:rPr>
              <w:t>Other Benefits</w:t>
            </w:r>
          </w:p>
        </w:tc>
        <w:tc>
          <w:tcPr>
            <w:tcW w:w="7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9"/>
        </w:trPr>
        <w:tc>
          <w:tcPr>
            <w:tcW w:w="3260" w:type="dxa"/>
            <w:vAlign w:val="bottom"/>
            <w:tcBorders>
              <w:top w:val="single" w:sz="8" w:color="0000EE"/>
            </w:tcBorders>
            <w:gridSpan w:val="23"/>
          </w:tcPr>
          <w:p>
            <w:pPr>
              <w:spacing w:after="0" w:line="169" w:lineRule="exact"/>
              <w:rPr>
                <w:sz w:val="20"/>
                <w:szCs w:val="20"/>
                <w:color w:val="auto"/>
              </w:rPr>
            </w:pPr>
            <w:r>
              <w:rPr>
                <w:rFonts w:ascii="Arial" w:cs="Arial" w:eastAsia="Arial" w:hAnsi="Arial"/>
                <w:sz w:val="16"/>
                <w:szCs w:val="16"/>
                <w:color w:val="0000EE"/>
              </w:rPr>
              <w:t>Regular Board and Committee Evaluations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14</w:t>
            </w:r>
          </w:p>
        </w:tc>
        <w:tc>
          <w:tcPr>
            <w:tcW w:w="1040" w:type="dxa"/>
            <w:vAlign w:val="bottom"/>
            <w:tcBorders>
              <w:top w:val="single" w:sz="8" w:color="0000EE"/>
            </w:tcBorders>
          </w:tcPr>
          <w:p>
            <w:pPr>
              <w:spacing w:after="0" w:line="169" w:lineRule="exact"/>
              <w:rPr>
                <w:sz w:val="20"/>
                <w:szCs w:val="20"/>
                <w:color w:val="auto"/>
              </w:rPr>
            </w:pPr>
            <w:r>
              <w:rPr>
                <w:rFonts w:ascii="Arial" w:cs="Arial" w:eastAsia="Arial" w:hAnsi="Arial"/>
                <w:sz w:val="16"/>
                <w:szCs w:val="16"/>
                <w:color w:val="0000EE"/>
                <w:w w:val="83"/>
              </w:rPr>
              <w:t>Post-Termination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24"/>
          </w:tcPr>
          <w:p>
            <w:pPr>
              <w:ind w:left="140"/>
              <w:spacing w:after="0" w:line="169" w:lineRule="exact"/>
              <w:rPr>
                <w:sz w:val="20"/>
                <w:szCs w:val="20"/>
                <w:color w:val="auto"/>
              </w:rPr>
            </w:pPr>
            <w:r>
              <w:rPr>
                <w:rFonts w:ascii="Arial" w:cs="Arial" w:eastAsia="Arial" w:hAnsi="Arial"/>
                <w:sz w:val="16"/>
                <w:szCs w:val="16"/>
                <w:color w:val="0000EE"/>
              </w:rPr>
              <w:t>Compensation and Benefits</w:t>
            </w: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9"/>
        </w:trPr>
        <w:tc>
          <w:tcPr>
            <w:tcW w:w="3080" w:type="dxa"/>
            <w:vAlign w:val="bottom"/>
            <w:tcBorders>
              <w:top w:val="single" w:sz="8" w:color="0000EE"/>
            </w:tcBorders>
            <w:gridSpan w:val="20"/>
          </w:tcPr>
          <w:p>
            <w:pPr>
              <w:spacing w:after="0" w:line="169" w:lineRule="exact"/>
              <w:rPr>
                <w:sz w:val="20"/>
                <w:szCs w:val="20"/>
                <w:color w:val="auto"/>
              </w:rPr>
            </w:pPr>
            <w:r>
              <w:rPr>
                <w:rFonts w:ascii="Arial" w:cs="Arial" w:eastAsia="Arial" w:hAnsi="Arial"/>
                <w:sz w:val="16"/>
                <w:szCs w:val="16"/>
                <w:color w:val="0000EE"/>
                <w:w w:val="96"/>
              </w:rPr>
              <w:t>CEO and Management Succession Planning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15</w:t>
            </w:r>
          </w:p>
        </w:tc>
        <w:tc>
          <w:tcPr>
            <w:tcW w:w="326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6"/>
                <w:szCs w:val="16"/>
                <w:color w:val="0000EE"/>
              </w:rPr>
              <w:t>Stock Ownership Guidelines</w:t>
            </w:r>
          </w:p>
        </w:tc>
        <w:tc>
          <w:tcPr>
            <w:tcW w:w="4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9"/>
        </w:trPr>
        <w:tc>
          <w:tcPr>
            <w:tcW w:w="320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6"/>
                <w:szCs w:val="16"/>
                <w:color w:val="0000EE"/>
              </w:rPr>
              <w:t>Annual Elections and Majority Voting</w:t>
            </w:r>
          </w:p>
        </w:tc>
        <w:tc>
          <w:tcPr>
            <w:tcW w:w="4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15</w:t>
            </w:r>
          </w:p>
        </w:tc>
        <w:tc>
          <w:tcPr>
            <w:tcW w:w="204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color w:val="0000EE"/>
                <w:w w:val="93"/>
              </w:rPr>
              <w:t>Recoupment of Compensation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9"/>
        </w:trPr>
        <w:tc>
          <w:tcPr>
            <w:tcW w:w="2640" w:type="dxa"/>
            <w:vAlign w:val="bottom"/>
            <w:tcBorders>
              <w:top w:val="single" w:sz="8" w:color="0000EE"/>
            </w:tcBorders>
            <w:gridSpan w:val="18"/>
          </w:tcPr>
          <w:p>
            <w:pPr>
              <w:spacing w:after="0" w:line="169" w:lineRule="exact"/>
              <w:rPr>
                <w:sz w:val="20"/>
                <w:szCs w:val="20"/>
                <w:color w:val="auto"/>
              </w:rPr>
            </w:pPr>
            <w:r>
              <w:rPr>
                <w:rFonts w:ascii="Arial" w:cs="Arial" w:eastAsia="Arial" w:hAnsi="Arial"/>
                <w:sz w:val="16"/>
                <w:szCs w:val="16"/>
                <w:color w:val="0000EE"/>
              </w:rPr>
              <w:t>Committees and Meetings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16</w:t>
            </w:r>
          </w:p>
        </w:tc>
        <w:tc>
          <w:tcPr>
            <w:tcW w:w="218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Insider Trading, Hedging and</w:t>
            </w:r>
          </w:p>
        </w:tc>
        <w:tc>
          <w:tcPr>
            <w:tcW w:w="2880" w:type="dxa"/>
            <w:vAlign w:val="bottom"/>
            <w:gridSpan w:val="19"/>
          </w:tcPr>
          <w:p>
            <w:pPr>
              <w:jc w:val="center"/>
              <w:ind w:right="940"/>
              <w:spacing w:after="0" w:line="169" w:lineRule="exact"/>
              <w:rPr>
                <w:sz w:val="20"/>
                <w:szCs w:val="20"/>
                <w:color w:val="auto"/>
              </w:rPr>
            </w:pPr>
            <w:r>
              <w:rPr>
                <w:rFonts w:ascii="Arial" w:cs="Arial" w:eastAsia="Arial" w:hAnsi="Arial"/>
                <w:sz w:val="16"/>
                <w:szCs w:val="16"/>
                <w:color w:val="0000EE"/>
                <w:w w:val="98"/>
              </w:rPr>
              <w:t>Pledging Policy Prohibitions</w:t>
            </w: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188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6"/>
                <w:szCs w:val="16"/>
                <w:color w:val="0000EE"/>
              </w:rPr>
              <w:t>The Board’s Role in Risk</w:t>
            </w:r>
          </w:p>
        </w:tc>
        <w:tc>
          <w:tcPr>
            <w:tcW w:w="2800" w:type="dxa"/>
            <w:vAlign w:val="bottom"/>
            <w:gridSpan w:val="19"/>
          </w:tcPr>
          <w:p>
            <w:pPr>
              <w:spacing w:after="0" w:line="169" w:lineRule="exact"/>
              <w:rPr>
                <w:sz w:val="20"/>
                <w:szCs w:val="20"/>
                <w:color w:val="auto"/>
              </w:rPr>
            </w:pPr>
            <w:r>
              <w:rPr>
                <w:rFonts w:ascii="Arial" w:cs="Arial" w:eastAsia="Arial" w:hAnsi="Arial"/>
                <w:sz w:val="16"/>
                <w:szCs w:val="16"/>
                <w:color w:val="0000EE"/>
              </w:rPr>
              <w:t>Oversight</w:t>
            </w: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17</w:t>
            </w:r>
          </w:p>
        </w:tc>
        <w:tc>
          <w:tcPr>
            <w:tcW w:w="4120" w:type="dxa"/>
            <w:vAlign w:val="bottom"/>
            <w:tcBorders>
              <w:top w:val="single" w:sz="8" w:color="0000EE"/>
            </w:tcBorders>
            <w:gridSpan w:val="24"/>
          </w:tcPr>
          <w:p>
            <w:pPr>
              <w:spacing w:after="0" w:line="169" w:lineRule="exact"/>
              <w:rPr>
                <w:sz w:val="20"/>
                <w:szCs w:val="20"/>
                <w:color w:val="auto"/>
              </w:rPr>
            </w:pPr>
            <w:r>
              <w:rPr>
                <w:rFonts w:ascii="Arial" w:cs="Arial" w:eastAsia="Arial" w:hAnsi="Arial"/>
                <w:sz w:val="16"/>
                <w:szCs w:val="16"/>
                <w:color w:val="0000EE"/>
              </w:rPr>
              <w:t>Tax-Deductibility of Compensation</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49"/>
        </w:trPr>
        <w:tc>
          <w:tcPr>
            <w:tcW w:w="2520" w:type="dxa"/>
            <w:vAlign w:val="bottom"/>
            <w:tcBorders>
              <w:top w:val="single" w:sz="8" w:color="0000EE"/>
            </w:tcBorders>
            <w:gridSpan w:val="14"/>
          </w:tcPr>
          <w:p>
            <w:pPr>
              <w:spacing w:after="0" w:line="149" w:lineRule="exact"/>
              <w:rPr>
                <w:sz w:val="20"/>
                <w:szCs w:val="20"/>
                <w:color w:val="auto"/>
              </w:rPr>
            </w:pPr>
            <w:r>
              <w:rPr>
                <w:rFonts w:ascii="Arial" w:cs="Arial" w:eastAsia="Arial" w:hAnsi="Arial"/>
                <w:sz w:val="16"/>
                <w:szCs w:val="16"/>
                <w:color w:val="0000EE"/>
              </w:rPr>
              <w:t>Compensation Risk Assessment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ind w:right="319"/>
              <w:spacing w:after="0" w:line="149" w:lineRule="exact"/>
              <w:rPr>
                <w:sz w:val="20"/>
                <w:szCs w:val="20"/>
                <w:color w:val="auto"/>
              </w:rPr>
            </w:pPr>
            <w:r>
              <w:rPr>
                <w:rFonts w:ascii="Arial" w:cs="Arial" w:eastAsia="Arial" w:hAnsi="Arial"/>
                <w:sz w:val="16"/>
                <w:szCs w:val="16"/>
                <w:color w:val="auto"/>
              </w:rPr>
              <w:t>17</w:t>
            </w:r>
          </w:p>
        </w:tc>
        <w:tc>
          <w:tcPr>
            <w:tcW w:w="2440" w:type="dxa"/>
            <w:vAlign w:val="bottom"/>
            <w:tcBorders>
              <w:top w:val="single" w:sz="8" w:color="0000EE"/>
            </w:tcBorders>
            <w:gridSpan w:val="11"/>
          </w:tcPr>
          <w:p>
            <w:pPr>
              <w:spacing w:after="0" w:line="149" w:lineRule="exact"/>
              <w:rPr>
                <w:sz w:val="20"/>
                <w:szCs w:val="20"/>
                <w:color w:val="auto"/>
              </w:rPr>
            </w:pPr>
            <w:r>
              <w:rPr>
                <w:rFonts w:ascii="Arial" w:cs="Arial" w:eastAsia="Arial" w:hAnsi="Arial"/>
                <w:sz w:val="16"/>
                <w:szCs w:val="16"/>
                <w:color w:val="0000EE"/>
              </w:rPr>
              <w:t>Compensation and Management</w:t>
            </w:r>
          </w:p>
        </w:tc>
        <w:tc>
          <w:tcPr>
            <w:tcW w:w="2620" w:type="dxa"/>
            <w:vAlign w:val="bottom"/>
            <w:gridSpan w:val="16"/>
          </w:tcPr>
          <w:p>
            <w:pPr>
              <w:spacing w:after="0" w:line="149" w:lineRule="exact"/>
              <w:rPr>
                <w:sz w:val="20"/>
                <w:szCs w:val="20"/>
                <w:color w:val="auto"/>
              </w:rPr>
            </w:pPr>
            <w:r>
              <w:rPr>
                <w:rFonts w:ascii="Arial" w:cs="Arial" w:eastAsia="Arial" w:hAnsi="Arial"/>
                <w:sz w:val="16"/>
                <w:szCs w:val="16"/>
                <w:color w:val="0000EE"/>
              </w:rPr>
              <w:t>Development Committee Report</w:t>
            </w:r>
          </w:p>
        </w:tc>
        <w:tc>
          <w:tcPr>
            <w:tcW w:w="340" w:type="dxa"/>
            <w:vAlign w:val="bottom"/>
          </w:tcPr>
          <w:p>
            <w:pPr>
              <w:jc w:val="right"/>
              <w:spacing w:after="0" w:line="149"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9"/>
        </w:trPr>
        <w:tc>
          <w:tcPr>
            <w:tcW w:w="234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6"/>
                <w:szCs w:val="16"/>
                <w:color w:val="0000EE"/>
              </w:rPr>
              <w:t>Director Compensation</w:t>
            </w:r>
          </w:p>
        </w:tc>
        <w:tc>
          <w:tcPr>
            <w:tcW w:w="2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18</w:t>
            </w:r>
          </w:p>
        </w:tc>
        <w:tc>
          <w:tcPr>
            <w:tcW w:w="470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6"/>
                <w:szCs w:val="16"/>
                <w:b w:val="1"/>
                <w:bCs w:val="1"/>
                <w:color w:val="0000EE"/>
              </w:rPr>
              <w:t>Executive Compensation Tables</w:t>
            </w:r>
          </w:p>
        </w:tc>
        <w:tc>
          <w:tcPr>
            <w:tcW w:w="36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9"/>
        </w:trPr>
        <w:tc>
          <w:tcPr>
            <w:tcW w:w="1660" w:type="dxa"/>
            <w:vAlign w:val="bottom"/>
            <w:tcBorders>
              <w:top w:val="single" w:sz="8" w:color="0000EE"/>
              <w:bottom w:val="single" w:sz="8" w:color="0000EE"/>
            </w:tcBorders>
            <w:gridSpan w:val="6"/>
          </w:tcPr>
          <w:p>
            <w:pPr>
              <w:spacing w:after="0" w:line="169" w:lineRule="exact"/>
              <w:rPr>
                <w:sz w:val="20"/>
                <w:szCs w:val="20"/>
                <w:color w:val="auto"/>
              </w:rPr>
            </w:pPr>
            <w:r>
              <w:rPr>
                <w:rFonts w:ascii="Arial" w:cs="Arial" w:eastAsia="Arial" w:hAnsi="Arial"/>
                <w:sz w:val="16"/>
                <w:szCs w:val="16"/>
                <w:color w:val="0000EE"/>
                <w:w w:val="94"/>
              </w:rPr>
              <w:t>Corporate Responsibility</w:t>
            </w:r>
          </w:p>
        </w:tc>
        <w:tc>
          <w:tcPr>
            <w:tcW w:w="6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6"/>
          </w:tcPr>
          <w:p>
            <w:pPr>
              <w:spacing w:after="0"/>
              <w:rPr>
                <w:sz w:val="14"/>
                <w:szCs w:val="14"/>
                <w:color w:val="auto"/>
              </w:rPr>
            </w:pPr>
          </w:p>
        </w:tc>
        <w:tc>
          <w:tcPr>
            <w:tcW w:w="8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21</w:t>
            </w:r>
          </w:p>
        </w:tc>
        <w:tc>
          <w:tcPr>
            <w:tcW w:w="2220" w:type="dxa"/>
            <w:vAlign w:val="bottom"/>
            <w:tcBorders>
              <w:top w:val="single" w:sz="8" w:color="0000EE"/>
              <w:bottom w:val="single" w:sz="8" w:color="0000EE"/>
            </w:tcBorders>
            <w:gridSpan w:val="9"/>
          </w:tcPr>
          <w:p>
            <w:pPr>
              <w:spacing w:after="0" w:line="169" w:lineRule="exact"/>
              <w:rPr>
                <w:sz w:val="20"/>
                <w:szCs w:val="20"/>
                <w:color w:val="auto"/>
              </w:rPr>
            </w:pPr>
            <w:r>
              <w:rPr>
                <w:rFonts w:ascii="Arial" w:cs="Arial" w:eastAsia="Arial" w:hAnsi="Arial"/>
                <w:sz w:val="16"/>
                <w:szCs w:val="16"/>
                <w:color w:val="0000EE"/>
                <w:w w:val="99"/>
              </w:rPr>
              <w:t>Summary Compensation Table</w:t>
            </w:r>
          </w:p>
        </w:tc>
        <w:tc>
          <w:tcPr>
            <w:tcW w:w="260" w:type="dxa"/>
            <w:vAlign w:val="bottom"/>
            <w:tcBorders>
              <w:top w:val="single" w:sz="8" w:color="0000EE"/>
            </w:tcBorders>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9"/>
        </w:trPr>
        <w:tc>
          <w:tcPr>
            <w:tcW w:w="1760" w:type="dxa"/>
            <w:vAlign w:val="bottom"/>
            <w:gridSpan w:val="8"/>
          </w:tcPr>
          <w:p>
            <w:pPr>
              <w:spacing w:after="0" w:line="169" w:lineRule="exact"/>
              <w:rPr>
                <w:sz w:val="20"/>
                <w:szCs w:val="20"/>
                <w:color w:val="auto"/>
              </w:rPr>
            </w:pPr>
            <w:r>
              <w:rPr>
                <w:rFonts w:ascii="Arial" w:cs="Arial" w:eastAsia="Arial" w:hAnsi="Arial"/>
                <w:sz w:val="16"/>
                <w:szCs w:val="16"/>
                <w:b w:val="1"/>
                <w:bCs w:val="1"/>
                <w:color w:val="0000EE"/>
              </w:rPr>
              <w:t>Stock Ownership</w:t>
            </w:r>
          </w:p>
        </w:tc>
        <w:tc>
          <w:tcPr>
            <w:tcW w:w="20" w:type="dxa"/>
            <w:vAlign w:val="bottom"/>
          </w:tcPr>
          <w:p>
            <w:pPr>
              <w:spacing w:after="0"/>
              <w:rPr>
                <w:sz w:val="14"/>
                <w:szCs w:val="14"/>
                <w:color w:val="auto"/>
              </w:rPr>
            </w:pPr>
          </w:p>
        </w:tc>
        <w:tc>
          <w:tcPr>
            <w:tcW w:w="760" w:type="dxa"/>
            <w:vAlign w:val="bottom"/>
            <w:gridSpan w:val="6"/>
          </w:tcPr>
          <w:p>
            <w:pPr>
              <w:spacing w:after="0"/>
              <w:rPr>
                <w:sz w:val="14"/>
                <w:szCs w:val="14"/>
                <w:color w:val="auto"/>
              </w:rPr>
            </w:pPr>
          </w:p>
        </w:tc>
        <w:tc>
          <w:tcPr>
            <w:tcW w:w="8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23</w:t>
            </w:r>
          </w:p>
        </w:tc>
        <w:tc>
          <w:tcPr>
            <w:tcW w:w="5060" w:type="dxa"/>
            <w:vAlign w:val="bottom"/>
            <w:gridSpan w:val="27"/>
          </w:tcPr>
          <w:p>
            <w:pPr>
              <w:spacing w:after="0" w:line="169" w:lineRule="exact"/>
              <w:rPr>
                <w:sz w:val="20"/>
                <w:szCs w:val="20"/>
                <w:color w:val="auto"/>
              </w:rPr>
            </w:pPr>
            <w:r>
              <w:rPr>
                <w:rFonts w:ascii="Arial" w:cs="Arial" w:eastAsia="Arial" w:hAnsi="Arial"/>
                <w:sz w:val="16"/>
                <w:szCs w:val="16"/>
                <w:color w:val="0000EE"/>
              </w:rPr>
              <w:t>2025 Grants of Plan-Based Awards</w:t>
            </w: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9"/>
        </w:trPr>
        <w:tc>
          <w:tcPr>
            <w:tcW w:w="132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b w:val="1"/>
                <w:bCs w:val="1"/>
                <w:color w:val="0000EE"/>
                <w:w w:val="89"/>
              </w:rPr>
              <w:t>Delinquent Section</w:t>
            </w:r>
          </w:p>
        </w:tc>
        <w:tc>
          <w:tcPr>
            <w:tcW w:w="20" w:type="dxa"/>
            <w:vAlign w:val="bottom"/>
          </w:tcPr>
          <w:p>
            <w:pPr>
              <w:spacing w:after="0"/>
              <w:rPr>
                <w:sz w:val="16"/>
                <w:szCs w:val="16"/>
                <w:color w:val="auto"/>
              </w:rPr>
            </w:pPr>
          </w:p>
        </w:tc>
        <w:tc>
          <w:tcPr>
            <w:tcW w:w="3340" w:type="dxa"/>
            <w:vAlign w:val="bottom"/>
            <w:gridSpan w:val="25"/>
          </w:tcPr>
          <w:p>
            <w:pPr>
              <w:jc w:val="center"/>
              <w:ind w:right="1960"/>
              <w:spacing w:after="0" w:line="169" w:lineRule="exact"/>
              <w:rPr>
                <w:sz w:val="20"/>
                <w:szCs w:val="20"/>
                <w:color w:val="auto"/>
              </w:rPr>
            </w:pPr>
            <w:r>
              <w:rPr>
                <w:rFonts w:ascii="Arial" w:cs="Arial" w:eastAsia="Arial" w:hAnsi="Arial"/>
                <w:sz w:val="16"/>
                <w:szCs w:val="16"/>
                <w:b w:val="1"/>
                <w:bCs w:val="1"/>
                <w:color w:val="0000EE"/>
                <w:w w:val="99"/>
              </w:rPr>
              <w:t>16(a) Reports</w:t>
            </w: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24</w:t>
            </w:r>
          </w:p>
        </w:tc>
        <w:tc>
          <w:tcPr>
            <w:tcW w:w="254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6"/>
                <w:szCs w:val="16"/>
                <w:color w:val="0000EE"/>
              </w:rPr>
              <w:t>Outstanding Equity Awards at 2025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gridSpan w:val="12"/>
          </w:tcPr>
          <w:p>
            <w:pPr>
              <w:jc w:val="center"/>
              <w:ind w:right="1340"/>
              <w:spacing w:after="0" w:line="169" w:lineRule="exact"/>
              <w:rPr>
                <w:sz w:val="20"/>
                <w:szCs w:val="20"/>
                <w:color w:val="auto"/>
              </w:rPr>
            </w:pPr>
            <w:r>
              <w:rPr>
                <w:rFonts w:ascii="Arial" w:cs="Arial" w:eastAsia="Arial" w:hAnsi="Arial"/>
                <w:sz w:val="16"/>
                <w:szCs w:val="16"/>
                <w:color w:val="0000EE"/>
              </w:rPr>
              <w:t>Fiscal Year-End</w:t>
            </w: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49"/>
        </w:trPr>
        <w:tc>
          <w:tcPr>
            <w:tcW w:w="2540" w:type="dxa"/>
            <w:vAlign w:val="bottom"/>
            <w:tcBorders>
              <w:top w:val="single" w:sz="8" w:color="0000EE"/>
              <w:bottom w:val="single" w:sz="8" w:color="0000EE"/>
            </w:tcBorders>
            <w:gridSpan w:val="15"/>
          </w:tcPr>
          <w:p>
            <w:pPr>
              <w:spacing w:after="0" w:line="149" w:lineRule="exact"/>
              <w:rPr>
                <w:sz w:val="20"/>
                <w:szCs w:val="20"/>
                <w:color w:val="auto"/>
              </w:rPr>
            </w:pPr>
            <w:r>
              <w:rPr>
                <w:rFonts w:ascii="Arial" w:cs="Arial" w:eastAsia="Arial" w:hAnsi="Arial"/>
                <w:sz w:val="16"/>
                <w:szCs w:val="16"/>
                <w:b w:val="1"/>
                <w:bCs w:val="1"/>
                <w:color w:val="0000EE"/>
              </w:rPr>
              <w:t>Proposal 2 – Ratification of the</w:t>
            </w:r>
          </w:p>
        </w:tc>
        <w:tc>
          <w:tcPr>
            <w:tcW w:w="1140" w:type="dxa"/>
            <w:vAlign w:val="bottom"/>
            <w:tcBorders>
              <w:bottom w:val="single" w:sz="8" w:color="0000EE"/>
            </w:tcBorders>
            <w:gridSpan w:val="9"/>
          </w:tcPr>
          <w:p>
            <w:pPr>
              <w:spacing w:after="0" w:line="149" w:lineRule="exact"/>
              <w:rPr>
                <w:sz w:val="20"/>
                <w:szCs w:val="20"/>
                <w:color w:val="auto"/>
              </w:rPr>
            </w:pPr>
            <w:r>
              <w:rPr>
                <w:rFonts w:ascii="Arial" w:cs="Arial" w:eastAsia="Arial" w:hAnsi="Arial"/>
                <w:sz w:val="16"/>
                <w:szCs w:val="16"/>
                <w:b w:val="1"/>
                <w:bCs w:val="1"/>
                <w:color w:val="0000EE"/>
                <w:w w:val="90"/>
              </w:rPr>
              <w:t>Selection of Our</w:t>
            </w:r>
          </w:p>
        </w:tc>
        <w:tc>
          <w:tcPr>
            <w:tcW w:w="1000" w:type="dxa"/>
            <w:vAlign w:val="bottom"/>
            <w:gridSpan w:val="5"/>
          </w:tcPr>
          <w:p>
            <w:pPr>
              <w:spacing w:after="0"/>
              <w:rPr>
                <w:sz w:val="12"/>
                <w:szCs w:val="12"/>
                <w:color w:val="auto"/>
              </w:rPr>
            </w:pPr>
          </w:p>
        </w:tc>
        <w:tc>
          <w:tcPr>
            <w:tcW w:w="940" w:type="dxa"/>
            <w:vAlign w:val="bottom"/>
          </w:tcPr>
          <w:p>
            <w:pPr>
              <w:spacing w:after="0"/>
              <w:rPr>
                <w:sz w:val="12"/>
                <w:szCs w:val="12"/>
                <w:color w:val="auto"/>
              </w:rPr>
            </w:pPr>
          </w:p>
        </w:tc>
        <w:tc>
          <w:tcPr>
            <w:tcW w:w="2940" w:type="dxa"/>
            <w:vAlign w:val="bottom"/>
            <w:tcBorders>
              <w:top w:val="single" w:sz="8" w:color="0000EE"/>
              <w:bottom w:val="single" w:sz="8" w:color="0000EE"/>
            </w:tcBorders>
            <w:gridSpan w:val="17"/>
          </w:tcPr>
          <w:p>
            <w:pPr>
              <w:spacing w:after="0" w:line="149" w:lineRule="exact"/>
              <w:rPr>
                <w:sz w:val="20"/>
                <w:szCs w:val="20"/>
                <w:color w:val="auto"/>
              </w:rPr>
            </w:pPr>
            <w:r>
              <w:rPr>
                <w:rFonts w:ascii="Arial" w:cs="Arial" w:eastAsia="Arial" w:hAnsi="Arial"/>
                <w:sz w:val="16"/>
                <w:szCs w:val="16"/>
                <w:color w:val="0000EE"/>
              </w:rPr>
              <w:t>2025 Option Exercises and Stock Vested</w:t>
            </w:r>
          </w:p>
        </w:tc>
        <w:tc>
          <w:tcPr>
            <w:tcW w:w="780" w:type="dxa"/>
            <w:vAlign w:val="bottom"/>
            <w:tcBorders>
              <w:top w:val="single" w:sz="8" w:color="0000EE"/>
            </w:tcBorders>
            <w:gridSpan w:val="5"/>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820" w:type="dxa"/>
            <w:vAlign w:val="bottom"/>
            <w:gridSpan w:val="2"/>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3720" w:type="dxa"/>
            <w:vAlign w:val="bottom"/>
            <w:tcBorders>
              <w:bottom w:val="single" w:sz="8" w:color="0000EE"/>
            </w:tcBorders>
            <w:gridSpan w:val="24"/>
          </w:tcPr>
          <w:p>
            <w:pPr>
              <w:jc w:val="center"/>
              <w:spacing w:after="0" w:line="169" w:lineRule="exact"/>
              <w:rPr>
                <w:sz w:val="20"/>
                <w:szCs w:val="20"/>
                <w:color w:val="auto"/>
              </w:rPr>
            </w:pPr>
            <w:r>
              <w:rPr>
                <w:rFonts w:ascii="Arial" w:cs="Arial" w:eastAsia="Arial" w:hAnsi="Arial"/>
                <w:sz w:val="16"/>
                <w:szCs w:val="16"/>
                <w:b w:val="1"/>
                <w:bCs w:val="1"/>
                <w:color w:val="0000EE"/>
              </w:rPr>
              <w:t>Independent Registered Public Accounting Firm</w:t>
            </w:r>
          </w:p>
        </w:tc>
        <w:tc>
          <w:tcPr>
            <w:tcW w:w="800" w:type="dxa"/>
            <w:vAlign w:val="bottom"/>
            <w:gridSpan w:val="4"/>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25</w:t>
            </w:r>
          </w:p>
        </w:tc>
        <w:tc>
          <w:tcPr>
            <w:tcW w:w="2940" w:type="dxa"/>
            <w:vAlign w:val="bottom"/>
            <w:tcBorders>
              <w:bottom w:val="single" w:sz="8" w:color="0000EE"/>
            </w:tcBorders>
            <w:gridSpan w:val="17"/>
          </w:tcPr>
          <w:p>
            <w:pPr>
              <w:spacing w:after="0" w:line="169" w:lineRule="exact"/>
              <w:rPr>
                <w:sz w:val="20"/>
                <w:szCs w:val="20"/>
                <w:color w:val="auto"/>
              </w:rPr>
            </w:pPr>
            <w:r>
              <w:rPr>
                <w:rFonts w:ascii="Arial" w:cs="Arial" w:eastAsia="Arial" w:hAnsi="Arial"/>
                <w:sz w:val="16"/>
                <w:szCs w:val="16"/>
                <w:color w:val="0000EE"/>
                <w:w w:val="93"/>
              </w:rPr>
              <w:t>2025 Non-Qualified Deferred Compensation</w:t>
            </w:r>
          </w:p>
        </w:tc>
        <w:tc>
          <w:tcPr>
            <w:tcW w:w="220" w:type="dxa"/>
            <w:vAlign w:val="bottom"/>
            <w:tcBorders>
              <w:bottom w:val="single" w:sz="8" w:color="0000EE"/>
            </w:tcBorders>
          </w:tcPr>
          <w:p>
            <w:pPr>
              <w:spacing w:after="0"/>
              <w:rPr>
                <w:sz w:val="14"/>
                <w:szCs w:val="14"/>
                <w:color w:val="auto"/>
              </w:rPr>
            </w:pPr>
          </w:p>
        </w:tc>
        <w:tc>
          <w:tcPr>
            <w:tcW w:w="680" w:type="dxa"/>
            <w:vAlign w:val="bottom"/>
            <w:gridSpan w:val="5"/>
          </w:tcPr>
          <w:p>
            <w:pPr>
              <w:spacing w:after="0"/>
              <w:rPr>
                <w:sz w:val="14"/>
                <w:szCs w:val="14"/>
                <w:color w:val="auto"/>
              </w:rPr>
            </w:pPr>
          </w:p>
        </w:tc>
        <w:tc>
          <w:tcPr>
            <w:tcW w:w="40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9"/>
        </w:trPr>
        <w:tc>
          <w:tcPr>
            <w:tcW w:w="3880" w:type="dxa"/>
            <w:vAlign w:val="bottom"/>
            <w:gridSpan w:val="25"/>
          </w:tcPr>
          <w:p>
            <w:pPr>
              <w:spacing w:after="0" w:line="169" w:lineRule="exact"/>
              <w:rPr>
                <w:sz w:val="20"/>
                <w:szCs w:val="20"/>
                <w:color w:val="auto"/>
              </w:rPr>
            </w:pPr>
            <w:r>
              <w:rPr>
                <w:rFonts w:ascii="Arial" w:cs="Arial" w:eastAsia="Arial" w:hAnsi="Arial"/>
                <w:sz w:val="16"/>
                <w:szCs w:val="16"/>
                <w:color w:val="0000EE"/>
              </w:rPr>
              <w:t>Audit Committee Report</w:t>
            </w:r>
          </w:p>
        </w:tc>
        <w:tc>
          <w:tcPr>
            <w:tcW w:w="1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26</w:t>
            </w:r>
          </w:p>
        </w:tc>
        <w:tc>
          <w:tcPr>
            <w:tcW w:w="5060" w:type="dxa"/>
            <w:vAlign w:val="bottom"/>
            <w:gridSpan w:val="27"/>
          </w:tcPr>
          <w:p>
            <w:pPr>
              <w:spacing w:after="0" w:line="169" w:lineRule="exact"/>
              <w:rPr>
                <w:sz w:val="20"/>
                <w:szCs w:val="20"/>
                <w:color w:val="auto"/>
              </w:rPr>
            </w:pPr>
            <w:r>
              <w:rPr>
                <w:rFonts w:ascii="Arial" w:cs="Arial" w:eastAsia="Arial" w:hAnsi="Arial"/>
                <w:sz w:val="16"/>
                <w:szCs w:val="16"/>
                <w:color w:val="0000EE"/>
              </w:rPr>
              <w:t>Potential Payments Upon Termination or Change in Control</w:t>
            </w: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69"/>
        </w:trPr>
        <w:tc>
          <w:tcPr>
            <w:tcW w:w="172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Audit and Other Fees</w:t>
            </w:r>
          </w:p>
        </w:tc>
        <w:tc>
          <w:tcPr>
            <w:tcW w:w="60" w:type="dxa"/>
            <w:vAlign w:val="bottom"/>
            <w:gridSpan w:val="2"/>
          </w:tcPr>
          <w:p>
            <w:pPr>
              <w:spacing w:after="0"/>
              <w:rPr>
                <w:sz w:val="14"/>
                <w:szCs w:val="14"/>
                <w:color w:val="auto"/>
              </w:rPr>
            </w:pPr>
          </w:p>
        </w:tc>
        <w:tc>
          <w:tcPr>
            <w:tcW w:w="840" w:type="dxa"/>
            <w:vAlign w:val="bottom"/>
            <w:gridSpan w:val="8"/>
          </w:tcPr>
          <w:p>
            <w:pPr>
              <w:spacing w:after="0"/>
              <w:rPr>
                <w:sz w:val="14"/>
                <w:szCs w:val="14"/>
                <w:color w:val="auto"/>
              </w:rPr>
            </w:pPr>
          </w:p>
        </w:tc>
        <w:tc>
          <w:tcPr>
            <w:tcW w:w="2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14"/>
                <w:szCs w:val="14"/>
                <w:color w:val="auto"/>
              </w:rPr>
            </w:pPr>
          </w:p>
        </w:tc>
        <w:tc>
          <w:tcPr>
            <w:tcW w:w="300" w:type="dxa"/>
            <w:vAlign w:val="bottom"/>
            <w:gridSpan w:val="2"/>
          </w:tcPr>
          <w:p>
            <w:pPr>
              <w:spacing w:after="0"/>
              <w:rPr>
                <w:sz w:val="14"/>
                <w:szCs w:val="14"/>
                <w:color w:val="auto"/>
              </w:rPr>
            </w:pPr>
          </w:p>
        </w:tc>
        <w:tc>
          <w:tcPr>
            <w:tcW w:w="3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27</w:t>
            </w:r>
          </w:p>
        </w:tc>
        <w:tc>
          <w:tcPr>
            <w:tcW w:w="424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6"/>
                <w:szCs w:val="16"/>
                <w:color w:val="0000EE"/>
              </w:rPr>
              <w:t>CEO Pay Ratio</w:t>
            </w:r>
          </w:p>
        </w:tc>
        <w:tc>
          <w:tcPr>
            <w:tcW w:w="820" w:type="dxa"/>
            <w:vAlign w:val="bottom"/>
            <w:gridSpan w:val="2"/>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69"/>
        </w:trPr>
        <w:tc>
          <w:tcPr>
            <w:tcW w:w="154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color w:val="0000EE"/>
                <w:w w:val="93"/>
              </w:rPr>
              <w:t>Policy on Pre-Approval</w:t>
            </w:r>
          </w:p>
        </w:tc>
        <w:tc>
          <w:tcPr>
            <w:tcW w:w="3140" w:type="dxa"/>
            <w:vAlign w:val="bottom"/>
            <w:gridSpan w:val="24"/>
          </w:tcPr>
          <w:p>
            <w:pPr>
              <w:ind w:left="160"/>
              <w:spacing w:after="0" w:line="169" w:lineRule="exact"/>
              <w:rPr>
                <w:sz w:val="20"/>
                <w:szCs w:val="20"/>
                <w:color w:val="auto"/>
              </w:rPr>
            </w:pPr>
            <w:r>
              <w:rPr>
                <w:rFonts w:ascii="Arial" w:cs="Arial" w:eastAsia="Arial" w:hAnsi="Arial"/>
                <w:sz w:val="16"/>
                <w:szCs w:val="16"/>
                <w:color w:val="0000EE"/>
              </w:rPr>
              <w:t>of Audit and Non-Audit Services</w:t>
            </w: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27</w:t>
            </w:r>
          </w:p>
        </w:tc>
        <w:tc>
          <w:tcPr>
            <w:tcW w:w="110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0000EE"/>
              </w:rPr>
              <w:t>Pay Versus</w:t>
            </w:r>
          </w:p>
        </w:tc>
        <w:tc>
          <w:tcPr>
            <w:tcW w:w="3960" w:type="dxa"/>
            <w:vAlign w:val="bottom"/>
            <w:gridSpan w:val="25"/>
          </w:tcPr>
          <w:p>
            <w:pPr>
              <w:spacing w:after="0" w:line="169" w:lineRule="exact"/>
              <w:rPr>
                <w:sz w:val="20"/>
                <w:szCs w:val="20"/>
                <w:color w:val="auto"/>
              </w:rPr>
            </w:pPr>
            <w:r>
              <w:rPr>
                <w:rFonts w:ascii="Arial" w:cs="Arial" w:eastAsia="Arial" w:hAnsi="Arial"/>
                <w:sz w:val="16"/>
                <w:szCs w:val="16"/>
                <w:b w:val="1"/>
                <w:bCs w:val="1"/>
                <w:color w:val="0000EE"/>
              </w:rPr>
              <w:t>Performance</w:t>
            </w: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vMerge w:val="restart"/>
          </w:tcPr>
          <w:p>
            <w:pPr>
              <w:jc w:val="right"/>
              <w:ind w:right="319"/>
              <w:spacing w:after="0"/>
              <w:rPr>
                <w:sz w:val="20"/>
                <w:szCs w:val="20"/>
                <w:color w:val="auto"/>
              </w:rPr>
            </w:pPr>
            <w:r>
              <w:rPr>
                <w:rFonts w:ascii="Arial" w:cs="Arial" w:eastAsia="Arial" w:hAnsi="Arial"/>
                <w:sz w:val="16"/>
                <w:szCs w:val="16"/>
                <w:color w:val="auto"/>
              </w:rPr>
              <w:t>28</w:t>
            </w:r>
          </w:p>
        </w:tc>
        <w:tc>
          <w:tcPr>
            <w:tcW w:w="112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line="20" w:lineRule="exact"/>
              <w:rPr>
                <w:sz w:val="1"/>
                <w:szCs w:val="1"/>
                <w:color w:val="auto"/>
              </w:rPr>
            </w:pPr>
          </w:p>
        </w:tc>
      </w:tr>
      <w:tr>
        <w:trPr>
          <w:trHeight w:val="169"/>
        </w:trPr>
        <w:tc>
          <w:tcPr>
            <w:tcW w:w="4680" w:type="dxa"/>
            <w:vAlign w:val="bottom"/>
            <w:gridSpan w:val="29"/>
          </w:tcPr>
          <w:p>
            <w:pPr>
              <w:spacing w:after="0" w:line="169" w:lineRule="exact"/>
              <w:rPr>
                <w:sz w:val="20"/>
                <w:szCs w:val="20"/>
                <w:color w:val="auto"/>
              </w:rPr>
            </w:pPr>
            <w:r>
              <w:rPr>
                <w:rFonts w:ascii="Arial" w:cs="Arial" w:eastAsia="Arial" w:hAnsi="Arial"/>
                <w:sz w:val="16"/>
                <w:szCs w:val="16"/>
                <w:b w:val="1"/>
                <w:bCs w:val="1"/>
                <w:color w:val="0000EE"/>
              </w:rPr>
              <w:t>Proposal 3 – Advisory Vote on Executive Compensation</w:t>
            </w:r>
          </w:p>
        </w:tc>
        <w:tc>
          <w:tcPr>
            <w:tcW w:w="940" w:type="dxa"/>
            <w:vAlign w:val="bottom"/>
            <w:vMerge w:val="continue"/>
          </w:tcPr>
          <w:p>
            <w:pPr>
              <w:spacing w:after="0"/>
              <w:rPr>
                <w:sz w:val="14"/>
                <w:szCs w:val="14"/>
                <w:color w:val="auto"/>
              </w:rPr>
            </w:pPr>
          </w:p>
        </w:tc>
        <w:tc>
          <w:tcPr>
            <w:tcW w:w="5060" w:type="dxa"/>
            <w:vAlign w:val="bottom"/>
            <w:gridSpan w:val="27"/>
          </w:tcPr>
          <w:p>
            <w:pPr>
              <w:spacing w:after="0" w:line="169" w:lineRule="exact"/>
              <w:rPr>
                <w:sz w:val="20"/>
                <w:szCs w:val="20"/>
                <w:color w:val="auto"/>
              </w:rPr>
            </w:pPr>
            <w:r>
              <w:rPr>
                <w:rFonts w:ascii="Arial" w:cs="Arial" w:eastAsia="Arial" w:hAnsi="Arial"/>
                <w:sz w:val="16"/>
                <w:szCs w:val="16"/>
                <w:b w:val="1"/>
                <w:bCs w:val="1"/>
                <w:color w:val="0000EE"/>
              </w:rPr>
              <w:t>Information About the Meeting</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00" w:type="dxa"/>
            <w:vAlign w:val="bottom"/>
            <w:tcBorders>
              <w:top w:val="single" w:sz="8" w:color="0000EE"/>
              <w:bottom w:val="single" w:sz="8" w:color="0000EE"/>
            </w:tcBorders>
            <w:gridSpan w:val="21"/>
          </w:tcPr>
          <w:p>
            <w:pPr>
              <w:spacing w:after="0" w:line="169" w:lineRule="exact"/>
              <w:rPr>
                <w:sz w:val="20"/>
                <w:szCs w:val="20"/>
                <w:color w:val="auto"/>
              </w:rPr>
            </w:pPr>
            <w:r>
              <w:rPr>
                <w:rFonts w:ascii="Arial" w:cs="Arial" w:eastAsia="Arial" w:hAnsi="Arial"/>
                <w:sz w:val="16"/>
                <w:szCs w:val="16"/>
                <w:b w:val="1"/>
                <w:bCs w:val="1"/>
                <w:color w:val="0000EE"/>
              </w:rPr>
              <w:t>Compensation Discussion and Analysis</w:t>
            </w:r>
          </w:p>
        </w:tc>
        <w:tc>
          <w:tcPr>
            <w:tcW w:w="1200" w:type="dxa"/>
            <w:vAlign w:val="bottom"/>
            <w:tcBorders>
              <w:top w:val="single" w:sz="8" w:color="0000EE"/>
            </w:tcBorders>
            <w:gridSpan w:val="7"/>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31</w:t>
            </w:r>
          </w:p>
        </w:tc>
        <w:tc>
          <w:tcPr>
            <w:tcW w:w="112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b w:val="1"/>
                <w:bCs w:val="1"/>
                <w:color w:val="0000EE"/>
              </w:rPr>
              <w:t>Miscellaneous</w:t>
            </w:r>
          </w:p>
        </w:tc>
        <w:tc>
          <w:tcPr>
            <w:tcW w:w="1220" w:type="dxa"/>
            <w:vAlign w:val="bottom"/>
            <w:tcBorders>
              <w:top w:val="single" w:sz="8" w:color="0000EE"/>
            </w:tcBorders>
            <w:gridSpan w:val="7"/>
          </w:tcPr>
          <w:p>
            <w:pPr>
              <w:spacing w:after="0"/>
              <w:rPr>
                <w:sz w:val="14"/>
                <w:szCs w:val="14"/>
                <w:color w:val="auto"/>
              </w:rPr>
            </w:pPr>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7"/>
          </w:tcPr>
          <w:p>
            <w:pPr>
              <w:spacing w:after="0"/>
              <w:rPr>
                <w:sz w:val="14"/>
                <w:szCs w:val="14"/>
                <w:color w:val="auto"/>
              </w:rPr>
            </w:pPr>
          </w:p>
        </w:tc>
        <w:tc>
          <w:tcPr>
            <w:tcW w:w="1220" w:type="dxa"/>
            <w:vAlign w:val="bottom"/>
            <w:gridSpan w:val="4"/>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9"/>
        </w:trPr>
        <w:tc>
          <w:tcPr>
            <w:tcW w:w="4680" w:type="dxa"/>
            <w:vAlign w:val="bottom"/>
            <w:gridSpan w:val="29"/>
          </w:tcPr>
          <w:p>
            <w:pPr>
              <w:spacing w:after="0" w:line="169" w:lineRule="exact"/>
              <w:rPr>
                <w:sz w:val="20"/>
                <w:szCs w:val="20"/>
                <w:color w:val="auto"/>
              </w:rPr>
            </w:pPr>
            <w:r>
              <w:rPr>
                <w:rFonts w:ascii="Arial" w:cs="Arial" w:eastAsia="Arial" w:hAnsi="Arial"/>
                <w:sz w:val="16"/>
                <w:szCs w:val="16"/>
                <w:color w:val="0000EE"/>
              </w:rPr>
              <w:t>Stockholder Feedback on Executive Compensation</w:t>
            </w: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31</w:t>
            </w:r>
          </w:p>
        </w:tc>
        <w:tc>
          <w:tcPr>
            <w:tcW w:w="1120" w:type="dxa"/>
            <w:vAlign w:val="bottom"/>
            <w:gridSpan w:val="3"/>
          </w:tcPr>
          <w:p>
            <w:pPr>
              <w:spacing w:after="0" w:line="169" w:lineRule="exact"/>
              <w:rPr>
                <w:sz w:val="20"/>
                <w:szCs w:val="20"/>
                <w:color w:val="auto"/>
              </w:rPr>
            </w:pPr>
            <w:r>
              <w:rPr>
                <w:rFonts w:ascii="Arial" w:cs="Arial" w:eastAsia="Arial" w:hAnsi="Arial"/>
                <w:sz w:val="16"/>
                <w:szCs w:val="16"/>
                <w:color w:val="0000EE"/>
                <w:w w:val="85"/>
              </w:rPr>
              <w:t>Other Stockholder</w:t>
            </w:r>
          </w:p>
        </w:tc>
        <w:tc>
          <w:tcPr>
            <w:tcW w:w="3940" w:type="dxa"/>
            <w:vAlign w:val="bottom"/>
            <w:gridSpan w:val="24"/>
          </w:tcPr>
          <w:p>
            <w:pPr>
              <w:jc w:val="right"/>
              <w:ind w:right="2500"/>
              <w:spacing w:after="0" w:line="169" w:lineRule="exact"/>
              <w:rPr>
                <w:sz w:val="20"/>
                <w:szCs w:val="20"/>
                <w:color w:val="auto"/>
              </w:rPr>
            </w:pPr>
            <w:r>
              <w:rPr>
                <w:rFonts w:ascii="Arial" w:cs="Arial" w:eastAsia="Arial" w:hAnsi="Arial"/>
                <w:sz w:val="16"/>
                <w:szCs w:val="16"/>
                <w:color w:val="0000EE"/>
              </w:rPr>
              <w:t>Communications</w:t>
            </w: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9"/>
        </w:trPr>
        <w:tc>
          <w:tcPr>
            <w:tcW w:w="3680" w:type="dxa"/>
            <w:vAlign w:val="bottom"/>
            <w:tcBorders>
              <w:top w:val="single" w:sz="8" w:color="0000EE"/>
            </w:tcBorders>
            <w:gridSpan w:val="24"/>
          </w:tcPr>
          <w:p>
            <w:pPr>
              <w:spacing w:after="0" w:line="169" w:lineRule="exact"/>
              <w:rPr>
                <w:sz w:val="20"/>
                <w:szCs w:val="20"/>
                <w:color w:val="auto"/>
              </w:rPr>
            </w:pPr>
            <w:r>
              <w:rPr>
                <w:rFonts w:ascii="Arial" w:cs="Arial" w:eastAsia="Arial" w:hAnsi="Arial"/>
                <w:sz w:val="16"/>
                <w:szCs w:val="16"/>
                <w:color w:val="0000EE"/>
              </w:rPr>
              <w:t>Executive Summary of 2025 Achievements</w:t>
            </w:r>
          </w:p>
        </w:tc>
        <w:tc>
          <w:tcPr>
            <w:tcW w:w="1000" w:type="dxa"/>
            <w:vAlign w:val="bottom"/>
            <w:gridSpan w:val="5"/>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33</w:t>
            </w:r>
          </w:p>
        </w:tc>
        <w:tc>
          <w:tcPr>
            <w:tcW w:w="256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6"/>
                <w:szCs w:val="16"/>
                <w:color w:val="0000EE"/>
              </w:rPr>
              <w:t>Incorporation by Reference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7"/>
          </w:tcPr>
          <w:p>
            <w:pPr>
              <w:spacing w:after="0"/>
              <w:rPr>
                <w:sz w:val="14"/>
                <w:szCs w:val="14"/>
                <w:color w:val="auto"/>
              </w:rPr>
            </w:pPr>
          </w:p>
        </w:tc>
        <w:tc>
          <w:tcPr>
            <w:tcW w:w="1220" w:type="dxa"/>
            <w:vAlign w:val="bottom"/>
            <w:gridSpan w:val="4"/>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9"/>
        </w:trPr>
        <w:tc>
          <w:tcPr>
            <w:tcW w:w="3100" w:type="dxa"/>
            <w:vAlign w:val="bottom"/>
            <w:tcBorders>
              <w:top w:val="single" w:sz="8" w:color="0000EE"/>
            </w:tcBorders>
            <w:gridSpan w:val="21"/>
          </w:tcPr>
          <w:p>
            <w:pPr>
              <w:spacing w:after="0" w:line="169" w:lineRule="exact"/>
              <w:rPr>
                <w:sz w:val="20"/>
                <w:szCs w:val="20"/>
                <w:color w:val="auto"/>
              </w:rPr>
            </w:pPr>
            <w:r>
              <w:rPr>
                <w:rFonts w:ascii="Arial" w:cs="Arial" w:eastAsia="Arial" w:hAnsi="Arial"/>
                <w:sz w:val="16"/>
                <w:szCs w:val="16"/>
                <w:color w:val="0000EE"/>
              </w:rPr>
              <w:t>Executive Compensation Philosophy</w:t>
            </w:r>
          </w:p>
        </w:tc>
        <w:tc>
          <w:tcPr>
            <w:tcW w:w="1580" w:type="dxa"/>
            <w:vAlign w:val="bottom"/>
            <w:gridSpan w:val="8"/>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34</w:t>
            </w:r>
          </w:p>
        </w:tc>
        <w:tc>
          <w:tcPr>
            <w:tcW w:w="1960" w:type="dxa"/>
            <w:vAlign w:val="bottom"/>
            <w:tcBorders>
              <w:top w:val="single" w:sz="8" w:color="0000EE"/>
            </w:tcBorders>
            <w:gridSpan w:val="6"/>
          </w:tcPr>
          <w:p>
            <w:pPr>
              <w:spacing w:after="0" w:line="169" w:lineRule="exact"/>
              <w:rPr>
                <w:sz w:val="20"/>
                <w:szCs w:val="20"/>
                <w:color w:val="auto"/>
              </w:rPr>
            </w:pPr>
            <w:r>
              <w:rPr>
                <w:rFonts w:ascii="Arial" w:cs="Arial" w:eastAsia="Arial" w:hAnsi="Arial"/>
                <w:sz w:val="16"/>
                <w:szCs w:val="16"/>
                <w:color w:val="0000EE"/>
              </w:rPr>
              <w:t>Copies of Annual Meeting</w:t>
            </w:r>
          </w:p>
        </w:tc>
        <w:tc>
          <w:tcPr>
            <w:tcW w:w="3100" w:type="dxa"/>
            <w:vAlign w:val="bottom"/>
            <w:gridSpan w:val="21"/>
          </w:tcPr>
          <w:p>
            <w:pPr>
              <w:jc w:val="right"/>
              <w:ind w:right="2500"/>
              <w:spacing w:after="0" w:line="169" w:lineRule="exact"/>
              <w:rPr>
                <w:sz w:val="20"/>
                <w:szCs w:val="20"/>
                <w:color w:val="auto"/>
              </w:rPr>
            </w:pPr>
            <w:r>
              <w:rPr>
                <w:rFonts w:ascii="Arial" w:cs="Arial" w:eastAsia="Arial" w:hAnsi="Arial"/>
                <w:sz w:val="16"/>
                <w:szCs w:val="16"/>
                <w:color w:val="0000EE"/>
                <w:w w:val="89"/>
              </w:rPr>
              <w:t>Materials</w:t>
            </w: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940" w:type="dxa"/>
            <w:vAlign w:val="bottom"/>
            <w:vMerge w:val="restart"/>
          </w:tcPr>
          <w:p>
            <w:pPr>
              <w:jc w:val="right"/>
              <w:ind w:right="319"/>
              <w:spacing w:after="0"/>
              <w:rPr>
                <w:sz w:val="20"/>
                <w:szCs w:val="20"/>
                <w:color w:val="auto"/>
              </w:rPr>
            </w:pPr>
            <w:r>
              <w:rPr>
                <w:rFonts w:ascii="Arial" w:cs="Arial" w:eastAsia="Arial" w:hAnsi="Arial"/>
                <w:sz w:val="16"/>
                <w:szCs w:val="16"/>
                <w:color w:val="auto"/>
              </w:rPr>
              <w:t>35</w:t>
            </w:r>
          </w:p>
        </w:tc>
        <w:tc>
          <w:tcPr>
            <w:tcW w:w="2580" w:type="dxa"/>
            <w:vAlign w:val="bottom"/>
            <w:gridSpan w:val="15"/>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40" w:type="dxa"/>
            <w:vAlign w:val="bottom"/>
            <w:gridSpan w:val="7"/>
            <w:vMerge w:val="restart"/>
          </w:tcPr>
          <w:p>
            <w:pPr>
              <w:spacing w:after="0" w:line="20" w:lineRule="exact"/>
              <w:rPr>
                <w:sz w:val="1"/>
                <w:szCs w:val="1"/>
                <w:color w:val="auto"/>
              </w:rPr>
            </w:pPr>
          </w:p>
        </w:tc>
        <w:tc>
          <w:tcPr>
            <w:tcW w:w="1220" w:type="dxa"/>
            <w:vAlign w:val="bottom"/>
            <w:gridSpan w:val="4"/>
            <w:vMerge w:val="restart"/>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line="20" w:lineRule="exact"/>
              <w:rPr>
                <w:sz w:val="1"/>
                <w:szCs w:val="1"/>
                <w:color w:val="auto"/>
              </w:rPr>
            </w:pPr>
          </w:p>
        </w:tc>
      </w:tr>
      <w:tr>
        <w:trPr>
          <w:trHeight w:val="169"/>
        </w:trPr>
        <w:tc>
          <w:tcPr>
            <w:tcW w:w="4680" w:type="dxa"/>
            <w:vAlign w:val="bottom"/>
            <w:gridSpan w:val="29"/>
          </w:tcPr>
          <w:p>
            <w:pPr>
              <w:spacing w:after="0" w:line="169" w:lineRule="exact"/>
              <w:rPr>
                <w:sz w:val="20"/>
                <w:szCs w:val="20"/>
                <w:color w:val="auto"/>
              </w:rPr>
            </w:pPr>
            <w:r>
              <w:rPr>
                <w:rFonts w:ascii="Arial" w:cs="Arial" w:eastAsia="Arial" w:hAnsi="Arial"/>
                <w:sz w:val="16"/>
                <w:szCs w:val="16"/>
                <w:color w:val="0000EE"/>
              </w:rPr>
              <w:t>Our Named Executive Officers for 2025</w:t>
            </w:r>
          </w:p>
        </w:tc>
        <w:tc>
          <w:tcPr>
            <w:tcW w:w="940" w:type="dxa"/>
            <w:vAlign w:val="bottom"/>
            <w:vMerge w:val="continue"/>
          </w:tcPr>
          <w:p>
            <w:pPr>
              <w:spacing w:after="0"/>
              <w:rPr>
                <w:sz w:val="14"/>
                <w:szCs w:val="14"/>
                <w:color w:val="auto"/>
              </w:rPr>
            </w:pPr>
          </w:p>
        </w:tc>
        <w:tc>
          <w:tcPr>
            <w:tcW w:w="2580" w:type="dxa"/>
            <w:vAlign w:val="bottom"/>
            <w:gridSpan w:val="15"/>
          </w:tcPr>
          <w:p>
            <w:pPr>
              <w:spacing w:after="0" w:line="169" w:lineRule="exact"/>
              <w:rPr>
                <w:sz w:val="20"/>
                <w:szCs w:val="20"/>
                <w:color w:val="auto"/>
              </w:rPr>
            </w:pPr>
            <w:r>
              <w:rPr>
                <w:rFonts w:ascii="Arial" w:cs="Arial" w:eastAsia="Arial" w:hAnsi="Arial"/>
                <w:sz w:val="16"/>
                <w:szCs w:val="16"/>
                <w:color w:val="0000EE"/>
                <w:w w:val="95"/>
              </w:rPr>
              <w:t>Manner and Cost of Proxy Solicitation</w:t>
            </w:r>
          </w:p>
        </w:tc>
        <w:tc>
          <w:tcPr>
            <w:tcW w:w="120" w:type="dxa"/>
            <w:vAlign w:val="bottom"/>
            <w:vMerge w:val="continue"/>
          </w:tcPr>
          <w:p>
            <w:pPr>
              <w:spacing w:after="0"/>
              <w:rPr>
                <w:sz w:val="14"/>
                <w:szCs w:val="14"/>
                <w:color w:val="auto"/>
              </w:rPr>
            </w:pPr>
          </w:p>
        </w:tc>
        <w:tc>
          <w:tcPr>
            <w:tcW w:w="1140" w:type="dxa"/>
            <w:vAlign w:val="bottom"/>
            <w:gridSpan w:val="7"/>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6"/>
                <w:szCs w:val="16"/>
                <w:color w:val="0000EE"/>
              </w:rPr>
              <w:t>Compensation Elements</w:t>
            </w:r>
          </w:p>
        </w:tc>
        <w:tc>
          <w:tcPr>
            <w:tcW w:w="1860" w:type="dxa"/>
            <w:vAlign w:val="bottom"/>
            <w:gridSpan w:val="10"/>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35</w:t>
            </w:r>
          </w:p>
        </w:tc>
        <w:tc>
          <w:tcPr>
            <w:tcW w:w="270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6"/>
                <w:szCs w:val="16"/>
                <w:b w:val="1"/>
                <w:bCs w:val="1"/>
                <w:color w:val="0000EE"/>
              </w:rPr>
              <w:t>Appendix A – GAAP to Non-GAAP</w:t>
            </w:r>
          </w:p>
        </w:tc>
        <w:tc>
          <w:tcPr>
            <w:tcW w:w="2360" w:type="dxa"/>
            <w:vAlign w:val="bottom"/>
            <w:gridSpan w:val="11"/>
          </w:tcPr>
          <w:p>
            <w:pPr>
              <w:spacing w:after="0" w:line="169" w:lineRule="exact"/>
              <w:rPr>
                <w:sz w:val="20"/>
                <w:szCs w:val="20"/>
                <w:color w:val="auto"/>
              </w:rPr>
            </w:pPr>
            <w:r>
              <w:rPr>
                <w:rFonts w:ascii="Arial" w:cs="Arial" w:eastAsia="Arial" w:hAnsi="Arial"/>
                <w:sz w:val="16"/>
                <w:szCs w:val="16"/>
                <w:b w:val="1"/>
                <w:bCs w:val="1"/>
                <w:color w:val="0000EE"/>
              </w:rPr>
              <w:t>Reconciliation</w:t>
            </w: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69"/>
        </w:trPr>
        <w:tc>
          <w:tcPr>
            <w:tcW w:w="178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6"/>
                <w:szCs w:val="16"/>
                <w:color w:val="0000EE"/>
              </w:rPr>
              <w:t>Compensation Mix</w:t>
            </w:r>
          </w:p>
        </w:tc>
        <w:tc>
          <w:tcPr>
            <w:tcW w:w="2900" w:type="dxa"/>
            <w:vAlign w:val="bottom"/>
            <w:gridSpan w:val="20"/>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35</w:t>
            </w:r>
          </w:p>
        </w:tc>
        <w:tc>
          <w:tcPr>
            <w:tcW w:w="10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4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6"/>
                <w:szCs w:val="16"/>
                <w:color w:val="0000EE"/>
              </w:rPr>
              <w:t>2025 Base Salary</w:t>
            </w:r>
          </w:p>
        </w:tc>
        <w:tc>
          <w:tcPr>
            <w:tcW w:w="3340" w:type="dxa"/>
            <w:vAlign w:val="bottom"/>
            <w:gridSpan w:val="25"/>
          </w:tcPr>
          <w:p>
            <w:pPr>
              <w:spacing w:after="0"/>
              <w:rPr>
                <w:sz w:val="14"/>
                <w:szCs w:val="14"/>
                <w:color w:val="auto"/>
              </w:rPr>
            </w:pPr>
          </w:p>
        </w:tc>
        <w:tc>
          <w:tcPr>
            <w:tcW w:w="9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37</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4"/>
        </w:trPr>
        <w:tc>
          <w:tcPr>
            <w:tcW w:w="16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10"/>
          </w:tcPr>
          <w:p>
            <w:pPr>
              <w:ind w:left="120"/>
              <w:spacing w:after="0"/>
              <w:rPr>
                <w:sz w:val="20"/>
                <w:szCs w:val="20"/>
                <w:color w:val="auto"/>
              </w:rPr>
            </w:pPr>
            <w:r>
              <w:rPr>
                <w:rFonts w:ascii="Arial" w:cs="Arial" w:eastAsia="Arial" w:hAnsi="Arial"/>
                <w:sz w:val="18"/>
                <w:szCs w:val="18"/>
                <w:color w:val="0075C9"/>
                <w:w w:val="96"/>
              </w:rPr>
              <w:t xml:space="preserve">   2026 Proxy Statement </w:t>
            </w:r>
          </w:p>
        </w:tc>
        <w:tc>
          <w:tcPr>
            <w:tcW w:w="340" w:type="dxa"/>
            <w:vAlign w:val="bottom"/>
          </w:tcPr>
          <w:p>
            <w:pPr>
              <w:jc w:val="right"/>
              <w:ind w:right="99"/>
              <w:spacing w:after="0"/>
              <w:rPr>
                <w:sz w:val="20"/>
                <w:szCs w:val="20"/>
                <w:color w:val="auto"/>
              </w:rPr>
            </w:pPr>
            <w:r>
              <w:rPr>
                <w:rFonts w:ascii="Arial" w:cs="Arial" w:eastAsia="Arial" w:hAnsi="Arial"/>
                <w:sz w:val="16"/>
                <w:szCs w:val="16"/>
                <w:color w:val="0075C9"/>
                <w:w w:val="87"/>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-173355</wp:posOffset>
            </wp:positionV>
            <wp:extent cx="42037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39"/>
          <w:szCs w:val="39"/>
          <w:color w:val="0075C9"/>
        </w:rPr>
        <w:t>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320" w:top="482" w:right="599" w:bottom="1440" w:gutter="0" w:footer="0" w:header="0"/>
        </w:sect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2017 Omnibus Equity Plan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2024 ESPP</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2024 Omnibus Equity Plan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2025 Annual Meeting</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2026 Annual Meeting</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401(k) Plan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AbbVie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AI</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Alcyone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AMR</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AOP</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ASC 718</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ASO</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AstraZeneca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Audit Committee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BeOne Medicines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Biogen, Company, we, us, our</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Board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CAGR</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CD&amp;A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CEO</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Certificate of Incorporation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CFO</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CGC</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CIC</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City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CLO</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CMDC</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Code of Business Conduct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COLI</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Biogen Inc. 2017 Omnibus Equity Plan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Biogen Inc. 2024 Employee Stock Purchase Plan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Biogen Inc. 2024 Omnibus Equity Plan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2025 Annual Meeting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2026 Annual Meeting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Biogen Inc. tax-qualified defined contribution retirement plan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AbbVie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Alzheimer’s Disease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Archer-Daniels-Midland Company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Artificial Intelligence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Alcyone Therapeutics,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Amyotrophic Lateral Sclerosis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Antibody Mediated Rejection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Annual Operating Plan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Codification Topic 718, Compensation—Stock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Antisense Oligonucleotide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AstraZeneca PLC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of the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BeOne Medicines Ltd.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Biogen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of Biogen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Compound Annual Growth Rate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Compensation Actually Paid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Compensation Discussion and Analysis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Certificate of Incorporation, as amended,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Biogen Inc.</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 Committee of the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City Therapeutics,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Management Development Committee of the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Directors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Biogen Inc. Code of Business Conduct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Corporate-Owned Life Insurance</w:t>
      </w:r>
    </w:p>
    <w:p>
      <w:pPr>
        <w:spacing w:after="0" w:line="168" w:lineRule="exact"/>
        <w:rPr>
          <w:sz w:val="20"/>
          <w:szCs w:val="20"/>
          <w:color w:val="auto"/>
        </w:rPr>
      </w:pPr>
    </w:p>
    <w:p>
      <w:pPr>
        <w:sectPr>
          <w:pgSz w:w="11900" w:h="16838" w:orient="portrait"/>
          <w:cols w:equalWidth="0" w:num="2">
            <w:col w:w="5140" w:space="720"/>
            <w:col w:w="5120"/>
          </w:cols>
          <w:pgMar w:left="320" w:top="482" w:right="599" w:bottom="1440" w:gutter="0" w:footer="0" w:header="0"/>
          <w:type w:val="continuous"/>
        </w:sectPr>
      </w:pPr>
    </w:p>
    <w:p>
      <w:pPr>
        <w:ind w:left="8340"/>
        <w:spacing w:after="0"/>
        <w:rPr>
          <w:sz w:val="20"/>
          <w:szCs w:val="20"/>
          <w:color w:val="auto"/>
        </w:rPr>
      </w:pPr>
      <w:r>
        <w:rPr>
          <w:sz w:val="1"/>
          <w:szCs w:val="1"/>
          <w:color w:val="auto"/>
        </w:rPr>
        <w:drawing>
          <wp:inline distT="0" distB="0" distL="0" distR="0">
            <wp:extent cx="420370" cy="1371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6"/>
          <w:szCs w:val="16"/>
          <w:color w:val="0075C9"/>
        </w:rPr>
        <w:t xml:space="preserve">   2026 Proxy Statement </w:t>
      </w:r>
    </w:p>
    <w:p>
      <w:pPr>
        <w:sectPr>
          <w:pgSz w:w="11900" w:h="16838" w:orient="portrait"/>
          <w:cols w:equalWidth="0" w:num="1">
            <w:col w:w="10980"/>
          </w:cols>
          <w:pgMar w:left="320" w:top="482" w:right="5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Conflicts of Interest Policy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CSPUs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Dayra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EPS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ERM</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Eli Lilly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E.U.</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EVP</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Committee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FDA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GAAP</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HI-Bio</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IBM</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IgAN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IPR&amp;D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LTI</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Merck</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NEO</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Nasdaq</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NBI</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PSUs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Pfizer</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PMN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Proxy Statement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PVP</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PwC</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R&amp;D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Record Date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RSUs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RTP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Biogen Inc. Global Conflicts of Interest and Outside Activities Policy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Cash-Settled Performance Units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Dayra Therapeutics,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Non-GAAP Diluted 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Enterprise Risk Management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Eli Lilly and Company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European Union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Committee consisting of our CEO, CFO, CLO, Head of Research, Head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Development, Chief Human Resources Officer, Head of Global Product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Strategy and Commercialization, Head of Corporate Development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Head of Pharmaceutical Operations and Technology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Friedreich ataxia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U.S. Food and Drug Administration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Generally Accepted Accounting Principles in the 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Company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Human Immunology Biosciences,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International Business Machines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Immunoglobulin A Nephropathy (IgAN)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Investigational New Drug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In-process Research and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Information Technology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Long-Term Incentive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Merck &amp; Co.,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Multiple Sclerosis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Nasdaq Stock Market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Nasdaq Biotechnology Index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Performance Stock Units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Pfizer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Primary Membranous Nephropathy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 for the 2026 Annual Meeting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Pay versus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April 21, 2026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Research Triangle Park</w:t>
      </w:r>
    </w:p>
    <w:p>
      <w:pPr>
        <w:spacing w:after="0" w:line="168" w:lineRule="exact"/>
        <w:rPr>
          <w:sz w:val="20"/>
          <w:szCs w:val="20"/>
          <w:color w:val="auto"/>
        </w:rPr>
      </w:pPr>
    </w:p>
    <w:p>
      <w:pPr>
        <w:sectPr>
          <w:pgSz w:w="11900" w:h="16838" w:orient="portrait"/>
          <w:cols w:equalWidth="0" w:num="2">
            <w:col w:w="5140" w:space="720"/>
            <w:col w:w="5260"/>
          </w:cols>
          <w:pgMar w:left="320" w:top="482" w:right="459" w:bottom="1440" w:gutter="0" w:footer="0" w:header="0"/>
          <w:type w:val="continuous"/>
        </w:sectPr>
      </w:pPr>
    </w:p>
    <w:p>
      <w:pPr>
        <w:ind w:left="8340"/>
        <w:spacing w:after="0"/>
        <w:rPr>
          <w:sz w:val="20"/>
          <w:szCs w:val="20"/>
          <w:color w:val="auto"/>
        </w:rPr>
      </w:pPr>
      <w:r>
        <w:rPr>
          <w:sz w:val="1"/>
          <w:szCs w:val="1"/>
          <w:color w:val="auto"/>
        </w:rPr>
        <w:drawing>
          <wp:inline distT="0" distB="0" distL="0" distR="0">
            <wp:extent cx="420370"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6"/>
          <w:szCs w:val="16"/>
          <w:color w:val="0075C9"/>
        </w:rPr>
        <w:t xml:space="preserve">   2026 Proxy Statement </w:t>
      </w:r>
    </w:p>
    <w:p>
      <w:pPr>
        <w:sectPr>
          <w:pgSz w:w="11900" w:h="16838" w:orient="portrait"/>
          <w:cols w:equalWidth="0" w:num="1">
            <w:col w:w="11120"/>
          </w:cols>
          <w:pgMar w:left="320" w:top="482"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980"/>
          </w:cols>
          <w:pgMar w:left="320" w:top="482" w:right="5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rTSR</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SMA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SSP</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STI</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Stoke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Say on Pay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TSR</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U.K.</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UCSF</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Vanqua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VC</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Willis Towers Watson survey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Relative Total Stockholder Return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Spinal Muscular Atrophy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Supplemental Savings Plan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Short-Term Incentive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Stoke Therapeutics,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Advisory vote on executive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Stockholder Return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University of California, San Francisco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Vanqua Bio,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Venture Capital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Willis Towers Watson Pharmaceutical and Health Sciences Executive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survey</w:t>
      </w:r>
    </w:p>
    <w:p>
      <w:pPr>
        <w:spacing w:after="0" w:line="152" w:lineRule="exact"/>
        <w:rPr>
          <w:sz w:val="20"/>
          <w:szCs w:val="20"/>
          <w:color w:val="auto"/>
        </w:rPr>
      </w:pPr>
    </w:p>
    <w:p>
      <w:pPr>
        <w:sectPr>
          <w:pgSz w:w="11900" w:h="16838" w:orient="portrait"/>
          <w:cols w:equalWidth="0" w:num="2">
            <w:col w:w="5140" w:space="720"/>
            <w:col w:w="5120"/>
          </w:cols>
          <w:pgMar w:left="320" w:top="482" w:right="599" w:bottom="1440" w:gutter="0" w:footer="0" w:header="0"/>
          <w:type w:val="continuous"/>
        </w:sectPr>
      </w:pPr>
    </w:p>
    <w:p>
      <w:pPr>
        <w:ind w:left="8340"/>
        <w:spacing w:after="0"/>
        <w:rPr>
          <w:sz w:val="20"/>
          <w:szCs w:val="20"/>
          <w:color w:val="auto"/>
        </w:rPr>
      </w:pPr>
      <w:r>
        <w:rPr>
          <w:sz w:val="1"/>
          <w:szCs w:val="1"/>
          <w:color w:val="auto"/>
        </w:rPr>
        <w:drawing>
          <wp:inline distT="0" distB="0" distL="0" distR="0">
            <wp:extent cx="420370" cy="1371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6"/>
          <w:szCs w:val="16"/>
          <w:color w:val="0075C9"/>
        </w:rPr>
        <w:t xml:space="preserve">   2026 Proxy Statement </w:t>
      </w:r>
    </w:p>
    <w:p>
      <w:pPr>
        <w:sectPr>
          <w:pgSz w:w="11900" w:h="16838" w:orient="portrait"/>
          <w:cols w:equalWidth="0" w:num="1">
            <w:col w:w="10980"/>
          </w:cols>
          <w:pgMar w:left="320" w:top="482" w:right="5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0075C9"/>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3"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This summary highlights important information you will find in this Proxy Statement. As it is only a summary, please review the complete Proxy Statement before you vote.</w:t>
      </w:r>
    </w:p>
    <w:p>
      <w:pPr>
        <w:spacing w:after="0" w:line="199" w:lineRule="exact"/>
        <w:rPr>
          <w:sz w:val="20"/>
          <w:szCs w:val="20"/>
          <w:color w:val="auto"/>
        </w:rPr>
      </w:pPr>
    </w:p>
    <w:tbl>
      <w:tblPr>
        <w:tblLayout w:type="fixed"/>
        <w:tblInd w:w="130" w:type="dxa"/>
        <w:tblCellMar>
          <w:top w:w="0" w:type="dxa"/>
          <w:left w:w="0" w:type="dxa"/>
          <w:bottom w:w="0" w:type="dxa"/>
          <w:right w:w="0" w:type="dxa"/>
        </w:tblCellMar>
      </w:tblPr>
      <w:tr>
        <w:trPr>
          <w:trHeight w:val="189"/>
        </w:trPr>
        <w:tc>
          <w:tcPr>
            <w:tcW w:w="120" w:type="dxa"/>
            <w:vAlign w:val="bottom"/>
            <w:tcBorders>
              <w:left w:val="single" w:sz="8" w:color="0075C9"/>
            </w:tcBorders>
            <w:shd w:val="clear" w:color="auto" w:fill="0075C9"/>
          </w:tcPr>
          <w:p>
            <w:pPr>
              <w:spacing w:after="0"/>
              <w:rPr>
                <w:sz w:val="16"/>
                <w:szCs w:val="16"/>
                <w:color w:val="auto"/>
              </w:rPr>
            </w:pPr>
          </w:p>
        </w:tc>
        <w:tc>
          <w:tcPr>
            <w:tcW w:w="1620" w:type="dxa"/>
            <w:vAlign w:val="bottom"/>
            <w:shd w:val="clear" w:color="auto" w:fill="0075C9"/>
          </w:tcPr>
          <w:p>
            <w:pPr>
              <w:spacing w:after="0"/>
              <w:rPr>
                <w:sz w:val="16"/>
                <w:szCs w:val="16"/>
                <w:color w:val="auto"/>
              </w:rPr>
            </w:pPr>
          </w:p>
        </w:tc>
        <w:tc>
          <w:tcPr>
            <w:tcW w:w="1260" w:type="dxa"/>
            <w:vAlign w:val="bottom"/>
            <w:shd w:val="clear" w:color="auto" w:fill="0075C9"/>
          </w:tcPr>
          <w:p>
            <w:pPr>
              <w:spacing w:after="0"/>
              <w:rPr>
                <w:sz w:val="16"/>
                <w:szCs w:val="16"/>
                <w:color w:val="auto"/>
              </w:rPr>
            </w:pPr>
          </w:p>
        </w:tc>
        <w:tc>
          <w:tcPr>
            <w:tcW w:w="7900" w:type="dxa"/>
            <w:vAlign w:val="bottom"/>
            <w:gridSpan w:val="2"/>
            <w:vMerge w:val="restart"/>
            <w:shd w:val="clear" w:color="auto" w:fill="0075C9"/>
          </w:tcPr>
          <w:p>
            <w:pPr>
              <w:ind w:left="1240"/>
              <w:spacing w:after="0"/>
              <w:rPr>
                <w:sz w:val="20"/>
                <w:szCs w:val="20"/>
                <w:color w:val="auto"/>
              </w:rPr>
            </w:pPr>
            <w:r>
              <w:rPr>
                <w:rFonts w:ascii="Arial" w:cs="Arial" w:eastAsia="Arial" w:hAnsi="Arial"/>
                <w:sz w:val="22"/>
                <w:szCs w:val="22"/>
                <w:color w:val="FFFFFF"/>
              </w:rPr>
              <w:t>Annual Meeting Information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20" w:type="dxa"/>
            <w:vAlign w:val="bottom"/>
            <w:tcBorders>
              <w:left w:val="single" w:sz="8" w:color="0075C9"/>
            </w:tcBorders>
            <w:shd w:val="clear" w:color="auto" w:fill="0075C9"/>
          </w:tcPr>
          <w:p>
            <w:pPr>
              <w:spacing w:after="0"/>
              <w:rPr>
                <w:sz w:val="22"/>
                <w:szCs w:val="22"/>
                <w:color w:val="auto"/>
              </w:rPr>
            </w:pPr>
          </w:p>
        </w:tc>
        <w:tc>
          <w:tcPr>
            <w:tcW w:w="1620" w:type="dxa"/>
            <w:vAlign w:val="bottom"/>
            <w:shd w:val="clear" w:color="auto" w:fill="0075C9"/>
          </w:tcPr>
          <w:p>
            <w:pPr>
              <w:spacing w:after="0"/>
              <w:rPr>
                <w:sz w:val="22"/>
                <w:szCs w:val="22"/>
                <w:color w:val="auto"/>
              </w:rPr>
            </w:pPr>
          </w:p>
        </w:tc>
        <w:tc>
          <w:tcPr>
            <w:tcW w:w="1260" w:type="dxa"/>
            <w:vAlign w:val="bottom"/>
            <w:shd w:val="clear" w:color="auto" w:fill="0075C9"/>
          </w:tcPr>
          <w:p>
            <w:pPr>
              <w:spacing w:after="0"/>
              <w:rPr>
                <w:sz w:val="22"/>
                <w:szCs w:val="22"/>
                <w:color w:val="auto"/>
              </w:rPr>
            </w:pPr>
          </w:p>
        </w:tc>
        <w:tc>
          <w:tcPr>
            <w:tcW w:w="7900" w:type="dxa"/>
            <w:vAlign w:val="bottom"/>
            <w:gridSpan w:val="2"/>
            <w:vMerge w:val="continue"/>
            <w:shd w:val="clear" w:color="auto" w:fill="0075C9"/>
          </w:tcPr>
          <w:p>
            <w:pPr>
              <w:spacing w:after="0"/>
              <w:rPr>
                <w:sz w:val="22"/>
                <w:szCs w:val="22"/>
                <w:color w:val="auto"/>
              </w:rPr>
            </w:pPr>
          </w:p>
        </w:tc>
        <w:tc>
          <w:tcPr>
            <w:tcW w:w="120" w:type="dxa"/>
            <w:vAlign w:val="bottom"/>
            <w:shd w:val="clear" w:color="auto" w:fill="7F7F7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120" w:type="dxa"/>
            <w:vAlign w:val="bottom"/>
            <w:tcBorders>
              <w:left w:val="single" w:sz="8" w:color="0075C9"/>
            </w:tcBorders>
            <w:shd w:val="clear" w:color="auto" w:fill="0075C9"/>
          </w:tcPr>
          <w:p>
            <w:pPr>
              <w:spacing w:after="0"/>
              <w:rPr>
                <w:sz w:val="11"/>
                <w:szCs w:val="11"/>
                <w:color w:val="auto"/>
              </w:rPr>
            </w:pPr>
          </w:p>
        </w:tc>
        <w:tc>
          <w:tcPr>
            <w:tcW w:w="1620" w:type="dxa"/>
            <w:vAlign w:val="bottom"/>
            <w:shd w:val="clear" w:color="auto" w:fill="0075C9"/>
          </w:tcPr>
          <w:p>
            <w:pPr>
              <w:spacing w:after="0"/>
              <w:rPr>
                <w:sz w:val="11"/>
                <w:szCs w:val="11"/>
                <w:color w:val="auto"/>
              </w:rPr>
            </w:pPr>
          </w:p>
        </w:tc>
        <w:tc>
          <w:tcPr>
            <w:tcW w:w="1260" w:type="dxa"/>
            <w:vAlign w:val="bottom"/>
            <w:shd w:val="clear" w:color="auto" w:fill="0075C9"/>
          </w:tcPr>
          <w:p>
            <w:pPr>
              <w:spacing w:after="0"/>
              <w:rPr>
                <w:sz w:val="11"/>
                <w:szCs w:val="11"/>
                <w:color w:val="auto"/>
              </w:rPr>
            </w:pPr>
          </w:p>
        </w:tc>
        <w:tc>
          <w:tcPr>
            <w:tcW w:w="2960" w:type="dxa"/>
            <w:vAlign w:val="bottom"/>
            <w:shd w:val="clear" w:color="auto" w:fill="0075C9"/>
          </w:tcPr>
          <w:p>
            <w:pPr>
              <w:spacing w:after="0"/>
              <w:rPr>
                <w:sz w:val="11"/>
                <w:szCs w:val="11"/>
                <w:color w:val="auto"/>
              </w:rPr>
            </w:pPr>
          </w:p>
        </w:tc>
        <w:tc>
          <w:tcPr>
            <w:tcW w:w="4940" w:type="dxa"/>
            <w:vAlign w:val="bottom"/>
            <w:shd w:val="clear" w:color="auto" w:fill="0075C9"/>
          </w:tcPr>
          <w:p>
            <w:pPr>
              <w:spacing w:after="0"/>
              <w:rPr>
                <w:sz w:val="11"/>
                <w:szCs w:val="11"/>
                <w:color w:val="auto"/>
              </w:rPr>
            </w:pPr>
          </w:p>
        </w:tc>
        <w:tc>
          <w:tcPr>
            <w:tcW w:w="120" w:type="dxa"/>
            <w:vAlign w:val="bottom"/>
            <w:shd w:val="clear" w:color="auto" w:fill="7F7F7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620" w:type="dxa"/>
            <w:vAlign w:val="bottom"/>
            <w:shd w:val="clear" w:color="auto" w:fill="7F7F7F"/>
          </w:tcPr>
          <w:p>
            <w:pPr>
              <w:spacing w:after="0"/>
              <w:rPr>
                <w:sz w:val="16"/>
                <w:szCs w:val="16"/>
                <w:color w:val="auto"/>
              </w:rPr>
            </w:pPr>
          </w:p>
        </w:tc>
        <w:tc>
          <w:tcPr>
            <w:tcW w:w="1260" w:type="dxa"/>
            <w:vAlign w:val="bottom"/>
            <w:shd w:val="clear" w:color="auto" w:fill="7F7F7F"/>
          </w:tcPr>
          <w:p>
            <w:pPr>
              <w:spacing w:after="0"/>
              <w:rPr>
                <w:sz w:val="16"/>
                <w:szCs w:val="16"/>
                <w:color w:val="auto"/>
              </w:rPr>
            </w:pPr>
          </w:p>
        </w:tc>
        <w:tc>
          <w:tcPr>
            <w:tcW w:w="2960" w:type="dxa"/>
            <w:vAlign w:val="bottom"/>
            <w:shd w:val="clear" w:color="auto" w:fill="7F7F7F"/>
          </w:tcPr>
          <w:p>
            <w:pPr>
              <w:spacing w:after="0"/>
              <w:rPr>
                <w:sz w:val="16"/>
                <w:szCs w:val="16"/>
                <w:color w:val="auto"/>
              </w:rPr>
            </w:pPr>
          </w:p>
        </w:tc>
        <w:tc>
          <w:tcPr>
            <w:tcW w:w="4940" w:type="dxa"/>
            <w:vAlign w:val="bottom"/>
            <w:shd w:val="clear" w:color="auto" w:fill="7F7F7F"/>
          </w:tcPr>
          <w:p>
            <w:pPr>
              <w:spacing w:after="0"/>
              <w:rPr>
                <w:sz w:val="16"/>
                <w:szCs w:val="16"/>
                <w:color w:val="auto"/>
              </w:rPr>
            </w:pPr>
          </w:p>
        </w:tc>
        <w:tc>
          <w:tcPr>
            <w:tcW w:w="120" w:type="dxa"/>
            <w:vAlign w:val="bottom"/>
            <w:shd w:val="clear" w:color="auto" w:fill="7F7F7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120" w:type="dxa"/>
            <w:vAlign w:val="bottom"/>
            <w:tcBorders>
              <w:left w:val="single" w:sz="8" w:color="auto"/>
            </w:tcBorders>
            <w:shd w:val="clear" w:color="auto" w:fill="E5F1F9"/>
          </w:tcPr>
          <w:p>
            <w:pPr>
              <w:spacing w:after="0"/>
              <w:rPr>
                <w:sz w:val="24"/>
                <w:szCs w:val="24"/>
                <w:color w:val="auto"/>
              </w:rPr>
            </w:pPr>
          </w:p>
        </w:tc>
        <w:tc>
          <w:tcPr>
            <w:tcW w:w="1620" w:type="dxa"/>
            <w:vAlign w:val="bottom"/>
            <w:shd w:val="clear" w:color="auto" w:fill="E5F1F9"/>
          </w:tcPr>
          <w:p>
            <w:pPr>
              <w:ind w:left="40"/>
              <w:spacing w:after="0"/>
              <w:rPr>
                <w:sz w:val="20"/>
                <w:szCs w:val="20"/>
                <w:color w:val="auto"/>
              </w:rPr>
            </w:pPr>
            <w:r>
              <w:rPr>
                <w:rFonts w:ascii="Arial" w:cs="Arial" w:eastAsia="Arial" w:hAnsi="Arial"/>
                <w:sz w:val="16"/>
                <w:szCs w:val="16"/>
                <w:b w:val="1"/>
                <w:bCs w:val="1"/>
                <w:color w:val="auto"/>
              </w:rPr>
              <w:t>DATE:</w:t>
            </w:r>
          </w:p>
        </w:tc>
        <w:tc>
          <w:tcPr>
            <w:tcW w:w="9160" w:type="dxa"/>
            <w:vAlign w:val="bottom"/>
            <w:gridSpan w:val="3"/>
            <w:shd w:val="clear" w:color="auto" w:fill="E5F1F9"/>
          </w:tcPr>
          <w:p>
            <w:pPr>
              <w:ind w:left="340"/>
              <w:spacing w:after="0"/>
              <w:rPr>
                <w:sz w:val="20"/>
                <w:szCs w:val="20"/>
                <w:color w:val="auto"/>
              </w:rPr>
            </w:pPr>
            <w:r>
              <w:rPr>
                <w:rFonts w:ascii="Arial" w:cs="Arial" w:eastAsia="Arial" w:hAnsi="Arial"/>
                <w:sz w:val="16"/>
                <w:szCs w:val="16"/>
                <w:color w:val="auto"/>
              </w:rPr>
              <w:t>Tuesday, June 9, 2026</w:t>
            </w:r>
          </w:p>
        </w:tc>
        <w:tc>
          <w:tcPr>
            <w:tcW w:w="120" w:type="dxa"/>
            <w:vAlign w:val="bottom"/>
            <w:shd w:val="clear" w:color="auto" w:fill="E5F1F9"/>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auto"/>
            </w:tcBorders>
            <w:shd w:val="clear" w:color="auto" w:fill="E5F1F9"/>
          </w:tcPr>
          <w:p>
            <w:pPr>
              <w:spacing w:after="0"/>
              <w:rPr>
                <w:sz w:val="16"/>
                <w:szCs w:val="16"/>
                <w:color w:val="auto"/>
              </w:rPr>
            </w:pPr>
          </w:p>
        </w:tc>
        <w:tc>
          <w:tcPr>
            <w:tcW w:w="1620" w:type="dxa"/>
            <w:vAlign w:val="bottom"/>
            <w:shd w:val="clear" w:color="auto" w:fill="E5F1F9"/>
          </w:tcPr>
          <w:p>
            <w:pPr>
              <w:ind w:left="40"/>
              <w:spacing w:after="0"/>
              <w:rPr>
                <w:sz w:val="20"/>
                <w:szCs w:val="20"/>
                <w:color w:val="auto"/>
              </w:rPr>
            </w:pPr>
            <w:r>
              <w:rPr>
                <w:rFonts w:ascii="Arial" w:cs="Arial" w:eastAsia="Arial" w:hAnsi="Arial"/>
                <w:sz w:val="16"/>
                <w:szCs w:val="16"/>
                <w:b w:val="1"/>
                <w:bCs w:val="1"/>
                <w:color w:val="auto"/>
              </w:rPr>
              <w:t>TIME:</w:t>
            </w:r>
          </w:p>
        </w:tc>
        <w:tc>
          <w:tcPr>
            <w:tcW w:w="9160" w:type="dxa"/>
            <w:vAlign w:val="bottom"/>
            <w:gridSpan w:val="3"/>
            <w:shd w:val="clear" w:color="auto" w:fill="E5F1F9"/>
          </w:tcPr>
          <w:p>
            <w:pPr>
              <w:ind w:left="340"/>
              <w:spacing w:after="0"/>
              <w:rPr>
                <w:sz w:val="20"/>
                <w:szCs w:val="20"/>
                <w:color w:val="auto"/>
              </w:rPr>
            </w:pPr>
            <w:r>
              <w:rPr>
                <w:rFonts w:ascii="Arial" w:cs="Arial" w:eastAsia="Arial" w:hAnsi="Arial"/>
                <w:sz w:val="16"/>
                <w:szCs w:val="16"/>
                <w:color w:val="auto"/>
              </w:rPr>
              <w:t>9:00 a.m. Eastern Time</w:t>
            </w:r>
          </w:p>
        </w:tc>
        <w:tc>
          <w:tcPr>
            <w:tcW w:w="120" w:type="dxa"/>
            <w:vAlign w:val="bottom"/>
            <w:shd w:val="clear" w:color="auto" w:fill="E5F1F9"/>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0" w:type="dxa"/>
            <w:vAlign w:val="bottom"/>
            <w:tcBorders>
              <w:left w:val="single" w:sz="8" w:color="auto"/>
            </w:tcBorders>
            <w:shd w:val="clear" w:color="auto" w:fill="E5F1F9"/>
          </w:tcPr>
          <w:p>
            <w:pPr>
              <w:spacing w:after="0"/>
              <w:rPr>
                <w:sz w:val="14"/>
                <w:szCs w:val="14"/>
                <w:color w:val="auto"/>
              </w:rPr>
            </w:pPr>
          </w:p>
        </w:tc>
        <w:tc>
          <w:tcPr>
            <w:tcW w:w="1620" w:type="dxa"/>
            <w:vAlign w:val="bottom"/>
            <w:shd w:val="clear" w:color="auto" w:fill="E5F1F9"/>
          </w:tcPr>
          <w:p>
            <w:pPr>
              <w:ind w:left="40"/>
              <w:spacing w:after="0" w:line="143" w:lineRule="exact"/>
              <w:rPr>
                <w:sz w:val="20"/>
                <w:szCs w:val="20"/>
                <w:color w:val="auto"/>
              </w:rPr>
            </w:pPr>
            <w:r>
              <w:rPr>
                <w:rFonts w:ascii="Arial" w:cs="Arial" w:eastAsia="Arial" w:hAnsi="Arial"/>
                <w:sz w:val="16"/>
                <w:szCs w:val="16"/>
                <w:b w:val="1"/>
                <w:bCs w:val="1"/>
                <w:color w:val="auto"/>
              </w:rPr>
              <w:t>LOCATION:</w:t>
            </w:r>
          </w:p>
        </w:tc>
        <w:tc>
          <w:tcPr>
            <w:tcW w:w="9160" w:type="dxa"/>
            <w:vAlign w:val="bottom"/>
            <w:gridSpan w:val="3"/>
            <w:shd w:val="clear" w:color="auto" w:fill="E5F1F9"/>
          </w:tcPr>
          <w:p>
            <w:pPr>
              <w:ind w:left="340"/>
              <w:spacing w:after="0" w:line="143" w:lineRule="exact"/>
              <w:rPr>
                <w:sz w:val="20"/>
                <w:szCs w:val="20"/>
                <w:color w:val="auto"/>
              </w:rPr>
            </w:pPr>
            <w:r>
              <w:rPr>
                <w:rFonts w:ascii="Arial" w:cs="Arial" w:eastAsia="Arial" w:hAnsi="Arial"/>
                <w:sz w:val="14"/>
                <w:szCs w:val="14"/>
                <w:color w:val="auto"/>
              </w:rPr>
              <w:t>Online only at www.virtualshareholdermeeting.com/BIIB2026</w:t>
            </w:r>
          </w:p>
        </w:tc>
        <w:tc>
          <w:tcPr>
            <w:tcW w:w="120" w:type="dxa"/>
            <w:vAlign w:val="bottom"/>
            <w:shd w:val="clear" w:color="auto" w:fill="E5F1F9"/>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shd w:val="clear" w:color="auto" w:fill="E5F1F9"/>
          </w:tcPr>
          <w:p>
            <w:pPr>
              <w:spacing w:after="0" w:line="20" w:lineRule="exact"/>
              <w:rPr>
                <w:sz w:val="1"/>
                <w:szCs w:val="1"/>
                <w:color w:val="auto"/>
              </w:rPr>
            </w:pPr>
          </w:p>
        </w:tc>
        <w:tc>
          <w:tcPr>
            <w:tcW w:w="1620" w:type="dxa"/>
            <w:vAlign w:val="bottom"/>
            <w:shd w:val="clear" w:color="auto" w:fill="E5F1F9"/>
          </w:tcPr>
          <w:p>
            <w:pPr>
              <w:spacing w:after="0" w:line="20" w:lineRule="exact"/>
              <w:rPr>
                <w:sz w:val="1"/>
                <w:szCs w:val="1"/>
                <w:color w:val="auto"/>
              </w:rPr>
            </w:pPr>
          </w:p>
        </w:tc>
        <w:tc>
          <w:tcPr>
            <w:tcW w:w="1260" w:type="dxa"/>
            <w:vAlign w:val="bottom"/>
            <w:shd w:val="clear" w:color="auto" w:fill="E5F1F9"/>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4940" w:type="dxa"/>
            <w:vAlign w:val="bottom"/>
            <w:shd w:val="clear" w:color="auto" w:fill="E5F1F9"/>
          </w:tcPr>
          <w:p>
            <w:pPr>
              <w:spacing w:after="0" w:line="20" w:lineRule="exact"/>
              <w:rPr>
                <w:sz w:val="1"/>
                <w:szCs w:val="1"/>
                <w:color w:val="auto"/>
              </w:rPr>
            </w:pPr>
          </w:p>
        </w:tc>
        <w:tc>
          <w:tcPr>
            <w:tcW w:w="120" w:type="dxa"/>
            <w:vAlign w:val="bottom"/>
            <w:shd w:val="clear" w:color="auto" w:fill="E5F1F9"/>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20" w:type="dxa"/>
            <w:vAlign w:val="bottom"/>
            <w:tcBorders>
              <w:left w:val="single" w:sz="8" w:color="auto"/>
            </w:tcBorders>
            <w:shd w:val="clear" w:color="auto" w:fill="E5F1F9"/>
          </w:tcPr>
          <w:p>
            <w:pPr>
              <w:spacing w:after="0"/>
              <w:rPr>
                <w:sz w:val="24"/>
                <w:szCs w:val="24"/>
                <w:color w:val="auto"/>
              </w:rPr>
            </w:pPr>
          </w:p>
        </w:tc>
        <w:tc>
          <w:tcPr>
            <w:tcW w:w="1620" w:type="dxa"/>
            <w:vAlign w:val="bottom"/>
            <w:shd w:val="clear" w:color="auto" w:fill="E5F1F9"/>
          </w:tcPr>
          <w:p>
            <w:pPr>
              <w:spacing w:after="0"/>
              <w:rPr>
                <w:sz w:val="24"/>
                <w:szCs w:val="24"/>
                <w:color w:val="auto"/>
              </w:rPr>
            </w:pPr>
          </w:p>
        </w:tc>
        <w:tc>
          <w:tcPr>
            <w:tcW w:w="9160" w:type="dxa"/>
            <w:vAlign w:val="bottom"/>
            <w:gridSpan w:val="3"/>
            <w:shd w:val="clear" w:color="auto" w:fill="E5F1F9"/>
          </w:tcPr>
          <w:p>
            <w:pPr>
              <w:ind w:left="340"/>
              <w:spacing w:after="0"/>
              <w:rPr>
                <w:sz w:val="20"/>
                <w:szCs w:val="20"/>
                <w:color w:val="auto"/>
              </w:rPr>
            </w:pPr>
            <w:r>
              <w:rPr>
                <w:rFonts w:ascii="Arial" w:cs="Arial" w:eastAsia="Arial" w:hAnsi="Arial"/>
                <w:sz w:val="16"/>
                <w:szCs w:val="16"/>
                <w:b w:val="1"/>
                <w:bCs w:val="1"/>
                <w:color w:val="auto"/>
              </w:rPr>
              <w:t>You will not be able to attend the 2026 Annual Meeting in person.</w:t>
            </w:r>
          </w:p>
        </w:tc>
        <w:tc>
          <w:tcPr>
            <w:tcW w:w="120" w:type="dxa"/>
            <w:vAlign w:val="bottom"/>
            <w:shd w:val="clear" w:color="auto" w:fill="E5F1F9"/>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shd w:val="clear" w:color="auto" w:fill="E5F1F9"/>
          </w:tcPr>
          <w:p>
            <w:pPr>
              <w:spacing w:after="0"/>
              <w:rPr>
                <w:sz w:val="19"/>
                <w:szCs w:val="19"/>
                <w:color w:val="auto"/>
              </w:rPr>
            </w:pPr>
          </w:p>
        </w:tc>
        <w:tc>
          <w:tcPr>
            <w:tcW w:w="1620" w:type="dxa"/>
            <w:vAlign w:val="bottom"/>
            <w:shd w:val="clear" w:color="auto" w:fill="E5F1F9"/>
          </w:tcPr>
          <w:p>
            <w:pPr>
              <w:ind w:left="40"/>
              <w:spacing w:after="0"/>
              <w:rPr>
                <w:sz w:val="20"/>
                <w:szCs w:val="20"/>
                <w:color w:val="auto"/>
              </w:rPr>
            </w:pPr>
            <w:r>
              <w:rPr>
                <w:rFonts w:ascii="Arial" w:cs="Arial" w:eastAsia="Arial" w:hAnsi="Arial"/>
                <w:sz w:val="16"/>
                <w:szCs w:val="16"/>
                <w:b w:val="1"/>
                <w:bCs w:val="1"/>
                <w:color w:val="auto"/>
              </w:rPr>
              <w:t>RECORD DATE:</w:t>
            </w:r>
          </w:p>
        </w:tc>
        <w:tc>
          <w:tcPr>
            <w:tcW w:w="9160" w:type="dxa"/>
            <w:vAlign w:val="bottom"/>
            <w:gridSpan w:val="3"/>
            <w:shd w:val="clear" w:color="auto" w:fill="E5F1F9"/>
          </w:tcPr>
          <w:p>
            <w:pPr>
              <w:ind w:left="340"/>
              <w:spacing w:after="0"/>
              <w:rPr>
                <w:sz w:val="20"/>
                <w:szCs w:val="20"/>
                <w:color w:val="auto"/>
              </w:rPr>
            </w:pPr>
            <w:r>
              <w:rPr>
                <w:rFonts w:ascii="Arial" w:cs="Arial" w:eastAsia="Arial" w:hAnsi="Arial"/>
                <w:sz w:val="16"/>
                <w:szCs w:val="16"/>
                <w:color w:val="auto"/>
              </w:rPr>
              <w:t>April 21, 2026</w:t>
            </w:r>
          </w:p>
        </w:tc>
        <w:tc>
          <w:tcPr>
            <w:tcW w:w="120" w:type="dxa"/>
            <w:vAlign w:val="bottom"/>
            <w:shd w:val="clear" w:color="auto" w:fill="E5F1F9"/>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20" w:type="dxa"/>
            <w:vAlign w:val="bottom"/>
            <w:tcBorders>
              <w:left w:val="single" w:sz="8" w:color="auto"/>
              <w:bottom w:val="single" w:sz="8" w:color="auto"/>
            </w:tcBorders>
            <w:shd w:val="clear" w:color="auto" w:fill="E5F1F9"/>
          </w:tcPr>
          <w:p>
            <w:pPr>
              <w:spacing w:after="0"/>
              <w:rPr>
                <w:sz w:val="10"/>
                <w:szCs w:val="10"/>
                <w:color w:val="auto"/>
              </w:rPr>
            </w:pPr>
          </w:p>
        </w:tc>
        <w:tc>
          <w:tcPr>
            <w:tcW w:w="1620" w:type="dxa"/>
            <w:vAlign w:val="bottom"/>
            <w:tcBorders>
              <w:bottom w:val="single" w:sz="8" w:color="auto"/>
            </w:tcBorders>
            <w:shd w:val="clear" w:color="auto" w:fill="E5F1F9"/>
          </w:tcPr>
          <w:p>
            <w:pPr>
              <w:spacing w:after="0"/>
              <w:rPr>
                <w:sz w:val="10"/>
                <w:szCs w:val="10"/>
                <w:color w:val="auto"/>
              </w:rPr>
            </w:pPr>
          </w:p>
        </w:tc>
        <w:tc>
          <w:tcPr>
            <w:tcW w:w="1260" w:type="dxa"/>
            <w:vAlign w:val="bottom"/>
            <w:tcBorders>
              <w:bottom w:val="single" w:sz="8" w:color="auto"/>
            </w:tcBorders>
            <w:shd w:val="clear" w:color="auto" w:fill="E5F1F9"/>
          </w:tcPr>
          <w:p>
            <w:pPr>
              <w:spacing w:after="0"/>
              <w:rPr>
                <w:sz w:val="10"/>
                <w:szCs w:val="10"/>
                <w:color w:val="auto"/>
              </w:rPr>
            </w:pPr>
          </w:p>
        </w:tc>
        <w:tc>
          <w:tcPr>
            <w:tcW w:w="2960" w:type="dxa"/>
            <w:vAlign w:val="bottom"/>
            <w:tcBorders>
              <w:bottom w:val="single" w:sz="8" w:color="auto"/>
            </w:tcBorders>
            <w:shd w:val="clear" w:color="auto" w:fill="E5F1F9"/>
          </w:tcPr>
          <w:p>
            <w:pPr>
              <w:spacing w:after="0"/>
              <w:rPr>
                <w:sz w:val="10"/>
                <w:szCs w:val="10"/>
                <w:color w:val="auto"/>
              </w:rPr>
            </w:pPr>
          </w:p>
        </w:tc>
        <w:tc>
          <w:tcPr>
            <w:tcW w:w="4940" w:type="dxa"/>
            <w:vAlign w:val="bottom"/>
            <w:tcBorders>
              <w:bottom w:val="single" w:sz="8" w:color="auto"/>
            </w:tcBorders>
            <w:shd w:val="clear" w:color="auto" w:fill="E5F1F9"/>
          </w:tcPr>
          <w:p>
            <w:pPr>
              <w:spacing w:after="0"/>
              <w:rPr>
                <w:sz w:val="10"/>
                <w:szCs w:val="10"/>
                <w:color w:val="auto"/>
              </w:rPr>
            </w:pPr>
          </w:p>
        </w:tc>
        <w:tc>
          <w:tcPr>
            <w:tcW w:w="120" w:type="dxa"/>
            <w:vAlign w:val="bottom"/>
            <w:tcBorders>
              <w:bottom w:val="single" w:sz="8" w:color="auto"/>
            </w:tcBorders>
            <w:shd w:val="clear" w:color="auto" w:fill="E5F1F9"/>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926580" cy="368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368300"/>
                    </a:xfrm>
                    <a:prstGeom prst="rect">
                      <a:avLst/>
                    </a:prstGeom>
                    <a:noFill/>
                  </pic:spPr>
                </pic:pic>
              </a:graphicData>
            </a:graphic>
          </wp:anchor>
        </w:drawing>
      </w: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FFFFFF"/>
        </w:rPr>
        <w:t>Voting Matters and Vote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-142875</wp:posOffset>
            </wp:positionV>
            <wp:extent cx="6917690" cy="368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17690" cy="36830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120" w:type="dxa"/>
            <w:vAlign w:val="bottom"/>
            <w:tcBorders>
              <w:top w:val="single" w:sz="8" w:color="auto"/>
              <w:left w:val="single" w:sz="8" w:color="auto"/>
            </w:tcBorders>
          </w:tcPr>
          <w:p>
            <w:pPr>
              <w:spacing w:after="0"/>
              <w:rPr>
                <w:sz w:val="15"/>
                <w:szCs w:val="15"/>
                <w:color w:val="auto"/>
              </w:rPr>
            </w:pPr>
          </w:p>
        </w:tc>
        <w:tc>
          <w:tcPr>
            <w:tcW w:w="7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Matter</w:t>
            </w:r>
          </w:p>
        </w:tc>
        <w:tc>
          <w:tcPr>
            <w:tcW w:w="17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Our Board</w:t>
            </w:r>
          </w:p>
        </w:tc>
        <w:tc>
          <w:tcPr>
            <w:tcW w:w="13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Page Number</w:t>
            </w: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0" w:type="dxa"/>
            <w:vAlign w:val="bottom"/>
            <w:tcBorders>
              <w:left w:val="single" w:sz="8" w:color="auto"/>
              <w:bottom w:val="single" w:sz="8" w:color="auto"/>
            </w:tcBorders>
          </w:tcPr>
          <w:p>
            <w:pPr>
              <w:spacing w:after="0"/>
              <w:rPr>
                <w:sz w:val="17"/>
                <w:szCs w:val="17"/>
                <w:color w:val="auto"/>
              </w:rPr>
            </w:pPr>
          </w:p>
        </w:tc>
        <w:tc>
          <w:tcPr>
            <w:tcW w:w="7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Management Proposals:</w:t>
            </w:r>
          </w:p>
        </w:tc>
        <w:tc>
          <w:tcPr>
            <w:tcW w:w="1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Recommendation</w:t>
            </w: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for more detail</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0" w:type="dxa"/>
            <w:vAlign w:val="bottom"/>
            <w:tcBorders>
              <w:left w:val="single" w:sz="8" w:color="auto"/>
              <w:bottom w:val="single" w:sz="8" w:color="auto"/>
            </w:tcBorders>
          </w:tcPr>
          <w:p>
            <w:pPr>
              <w:spacing w:after="0"/>
              <w:rPr>
                <w:sz w:val="17"/>
                <w:szCs w:val="17"/>
                <w:color w:val="auto"/>
              </w:rPr>
            </w:pPr>
          </w:p>
        </w:tc>
        <w:tc>
          <w:tcPr>
            <w:tcW w:w="7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Proposal 1—Election of Directors</w:t>
            </w:r>
          </w:p>
        </w:tc>
        <w:tc>
          <w:tcPr>
            <w:tcW w:w="1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FOR each nominee </w:t>
            </w:r>
          </w:p>
        </w:tc>
        <w:tc>
          <w:tcPr>
            <w:tcW w:w="12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20" w:type="dxa"/>
            <w:vAlign w:val="bottom"/>
            <w:tcBorders>
              <w:left w:val="single" w:sz="8" w:color="auto"/>
            </w:tcBorders>
          </w:tcPr>
          <w:p>
            <w:pPr>
              <w:spacing w:after="0"/>
              <w:rPr>
                <w:sz w:val="14"/>
                <w:szCs w:val="14"/>
                <w:color w:val="auto"/>
              </w:rPr>
            </w:pPr>
          </w:p>
        </w:tc>
        <w:tc>
          <w:tcPr>
            <w:tcW w:w="78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Proposal 2—Ratificationof the Selection of PricewaterhouseCoopers LLP (PwC) as our Independent Registered Public</w:t>
            </w:r>
          </w:p>
        </w:tc>
        <w:tc>
          <w:tcPr>
            <w:tcW w:w="178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FOR</w:t>
            </w:r>
          </w:p>
        </w:tc>
        <w:tc>
          <w:tcPr>
            <w:tcW w:w="1200" w:type="dxa"/>
            <w:vAlign w:val="bottom"/>
          </w:tcPr>
          <w:p>
            <w:pPr>
              <w:jc w:val="center"/>
              <w:ind w:left="8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 w:type="dxa"/>
            <w:vAlign w:val="bottom"/>
            <w:tcBorders>
              <w:left w:val="single" w:sz="8" w:color="auto"/>
              <w:bottom w:val="single" w:sz="8" w:color="auto"/>
            </w:tcBorders>
          </w:tcPr>
          <w:p>
            <w:pPr>
              <w:spacing w:after="0"/>
              <w:rPr>
                <w:sz w:val="16"/>
                <w:szCs w:val="16"/>
                <w:color w:val="auto"/>
              </w:rPr>
            </w:pPr>
          </w:p>
        </w:tc>
        <w:tc>
          <w:tcPr>
            <w:tcW w:w="780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4"/>
                <w:szCs w:val="14"/>
                <w:color w:val="auto"/>
              </w:rPr>
              <w:t>Accounting Firm for the fiscal year ending December 31, 2026</w:t>
            </w:r>
          </w:p>
        </w:tc>
        <w:tc>
          <w:tcPr>
            <w:tcW w:w="17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bottom w:val="single" w:sz="8" w:color="auto"/>
            </w:tcBorders>
          </w:tcPr>
          <w:p>
            <w:pPr>
              <w:spacing w:after="0"/>
              <w:rPr>
                <w:sz w:val="17"/>
                <w:szCs w:val="17"/>
                <w:color w:val="auto"/>
              </w:rPr>
            </w:pPr>
          </w:p>
        </w:tc>
        <w:tc>
          <w:tcPr>
            <w:tcW w:w="7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Proposal 3—Advisory Vote on Executive Compensation</w:t>
            </w:r>
          </w:p>
        </w:tc>
        <w:tc>
          <w:tcPr>
            <w:tcW w:w="1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FOR</w:t>
            </w:r>
          </w:p>
        </w:tc>
        <w:tc>
          <w:tcPr>
            <w:tcW w:w="12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0075C9"/>
            </w:tcBorders>
            <w:shd w:val="clear" w:color="auto" w:fill="0075C9"/>
          </w:tcPr>
          <w:p>
            <w:pPr>
              <w:spacing w:after="0"/>
              <w:rPr>
                <w:sz w:val="16"/>
                <w:szCs w:val="16"/>
                <w:color w:val="auto"/>
              </w:rPr>
            </w:pPr>
          </w:p>
        </w:tc>
        <w:tc>
          <w:tcPr>
            <w:tcW w:w="7800" w:type="dxa"/>
            <w:vAlign w:val="bottom"/>
            <w:tcBorders>
              <w:right w:val="single" w:sz="8" w:color="0075C9"/>
            </w:tcBorders>
            <w:vMerge w:val="restart"/>
            <w:shd w:val="clear" w:color="auto" w:fill="0075C9"/>
          </w:tcPr>
          <w:p>
            <w:pPr>
              <w:ind w:left="4860"/>
              <w:spacing w:after="0"/>
              <w:rPr>
                <w:sz w:val="20"/>
                <w:szCs w:val="20"/>
                <w:color w:val="auto"/>
              </w:rPr>
            </w:pPr>
            <w:r>
              <w:rPr>
                <w:rFonts w:ascii="Arial" w:cs="Arial" w:eastAsia="Arial" w:hAnsi="Arial"/>
                <w:sz w:val="22"/>
                <w:szCs w:val="22"/>
                <w:color w:val="FFFFFF"/>
              </w:rPr>
              <w:t>How to Vote</w:t>
            </w:r>
          </w:p>
        </w:tc>
        <w:tc>
          <w:tcPr>
            <w:tcW w:w="1780" w:type="dxa"/>
            <w:vAlign w:val="bottom"/>
            <w:tcBorders>
              <w:right w:val="single" w:sz="8" w:color="0075C9"/>
            </w:tcBorders>
            <w:shd w:val="clear" w:color="auto" w:fill="0075C9"/>
          </w:tcPr>
          <w:p>
            <w:pPr>
              <w:spacing w:after="0"/>
              <w:rPr>
                <w:sz w:val="16"/>
                <w:szCs w:val="16"/>
                <w:color w:val="auto"/>
              </w:rPr>
            </w:pPr>
          </w:p>
        </w:tc>
        <w:tc>
          <w:tcPr>
            <w:tcW w:w="1200" w:type="dxa"/>
            <w:vAlign w:val="bottom"/>
            <w:shd w:val="clear" w:color="auto" w:fill="0075C9"/>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20" w:type="dxa"/>
            <w:vAlign w:val="bottom"/>
            <w:tcBorders>
              <w:left w:val="single" w:sz="8" w:color="0075C9"/>
            </w:tcBorders>
            <w:shd w:val="clear" w:color="auto" w:fill="0075C9"/>
          </w:tcPr>
          <w:p>
            <w:pPr>
              <w:spacing w:after="0"/>
              <w:rPr>
                <w:sz w:val="22"/>
                <w:szCs w:val="22"/>
                <w:color w:val="auto"/>
              </w:rPr>
            </w:pPr>
          </w:p>
        </w:tc>
        <w:tc>
          <w:tcPr>
            <w:tcW w:w="7800" w:type="dxa"/>
            <w:vAlign w:val="bottom"/>
            <w:tcBorders>
              <w:right w:val="single" w:sz="8" w:color="0075C9"/>
            </w:tcBorders>
            <w:vMerge w:val="continue"/>
            <w:shd w:val="clear" w:color="auto" w:fill="0075C9"/>
          </w:tcPr>
          <w:p>
            <w:pPr>
              <w:spacing w:after="0"/>
              <w:rPr>
                <w:sz w:val="22"/>
                <w:szCs w:val="22"/>
                <w:color w:val="auto"/>
              </w:rPr>
            </w:pPr>
          </w:p>
        </w:tc>
        <w:tc>
          <w:tcPr>
            <w:tcW w:w="1780" w:type="dxa"/>
            <w:vAlign w:val="bottom"/>
            <w:tcBorders>
              <w:right w:val="single" w:sz="8" w:color="0075C9"/>
            </w:tcBorders>
            <w:shd w:val="clear" w:color="auto" w:fill="0075C9"/>
          </w:tcPr>
          <w:p>
            <w:pPr>
              <w:spacing w:after="0"/>
              <w:rPr>
                <w:sz w:val="22"/>
                <w:szCs w:val="22"/>
                <w:color w:val="auto"/>
              </w:rPr>
            </w:pPr>
          </w:p>
        </w:tc>
        <w:tc>
          <w:tcPr>
            <w:tcW w:w="1200" w:type="dxa"/>
            <w:vAlign w:val="bottom"/>
            <w:shd w:val="clear" w:color="auto" w:fill="0075C9"/>
          </w:tcPr>
          <w:p>
            <w:pPr>
              <w:spacing w:after="0"/>
              <w:rPr>
                <w:sz w:val="22"/>
                <w:szCs w:val="22"/>
                <w:color w:val="auto"/>
              </w:rPr>
            </w:pPr>
          </w:p>
        </w:tc>
        <w:tc>
          <w:tcPr>
            <w:tcW w:w="120" w:type="dxa"/>
            <w:vAlign w:val="bottom"/>
            <w:shd w:val="clear" w:color="auto" w:fill="7F7F7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20" w:type="dxa"/>
            <w:vAlign w:val="bottom"/>
            <w:tcBorders>
              <w:left w:val="single" w:sz="8" w:color="0075C9"/>
            </w:tcBorders>
            <w:shd w:val="clear" w:color="auto" w:fill="0075C9"/>
          </w:tcPr>
          <w:p>
            <w:pPr>
              <w:spacing w:after="0"/>
              <w:rPr>
                <w:sz w:val="11"/>
                <w:szCs w:val="11"/>
                <w:color w:val="auto"/>
              </w:rPr>
            </w:pPr>
          </w:p>
        </w:tc>
        <w:tc>
          <w:tcPr>
            <w:tcW w:w="7800" w:type="dxa"/>
            <w:vAlign w:val="bottom"/>
            <w:tcBorders>
              <w:right w:val="single" w:sz="8" w:color="0075C9"/>
            </w:tcBorders>
            <w:shd w:val="clear" w:color="auto" w:fill="0075C9"/>
          </w:tcPr>
          <w:p>
            <w:pPr>
              <w:spacing w:after="0"/>
              <w:rPr>
                <w:sz w:val="11"/>
                <w:szCs w:val="11"/>
                <w:color w:val="auto"/>
              </w:rPr>
            </w:pPr>
          </w:p>
        </w:tc>
        <w:tc>
          <w:tcPr>
            <w:tcW w:w="1780" w:type="dxa"/>
            <w:vAlign w:val="bottom"/>
            <w:tcBorders>
              <w:right w:val="single" w:sz="8" w:color="0075C9"/>
            </w:tcBorders>
            <w:shd w:val="clear" w:color="auto" w:fill="0075C9"/>
          </w:tcPr>
          <w:p>
            <w:pPr>
              <w:spacing w:after="0"/>
              <w:rPr>
                <w:sz w:val="11"/>
                <w:szCs w:val="11"/>
                <w:color w:val="auto"/>
              </w:rPr>
            </w:pPr>
          </w:p>
        </w:tc>
        <w:tc>
          <w:tcPr>
            <w:tcW w:w="1200" w:type="dxa"/>
            <w:vAlign w:val="bottom"/>
            <w:shd w:val="clear" w:color="auto" w:fill="0075C9"/>
          </w:tcPr>
          <w:p>
            <w:pPr>
              <w:spacing w:after="0"/>
              <w:rPr>
                <w:sz w:val="11"/>
                <w:szCs w:val="11"/>
                <w:color w:val="auto"/>
              </w:rPr>
            </w:pPr>
          </w:p>
        </w:tc>
        <w:tc>
          <w:tcPr>
            <w:tcW w:w="120" w:type="dxa"/>
            <w:vAlign w:val="bottom"/>
            <w:shd w:val="clear" w:color="auto" w:fill="7F7F7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7800" w:type="dxa"/>
            <w:vAlign w:val="bottom"/>
            <w:tcBorders>
              <w:right w:val="single" w:sz="8" w:color="7F7F7F"/>
            </w:tcBorders>
            <w:shd w:val="clear" w:color="auto" w:fill="7F7F7F"/>
          </w:tcPr>
          <w:p>
            <w:pPr>
              <w:spacing w:after="0"/>
              <w:rPr>
                <w:sz w:val="16"/>
                <w:szCs w:val="16"/>
                <w:color w:val="auto"/>
              </w:rPr>
            </w:pPr>
          </w:p>
        </w:tc>
        <w:tc>
          <w:tcPr>
            <w:tcW w:w="1780" w:type="dxa"/>
            <w:vAlign w:val="bottom"/>
            <w:tcBorders>
              <w:right w:val="single" w:sz="8" w:color="7F7F7F"/>
            </w:tcBorders>
            <w:shd w:val="clear" w:color="auto" w:fill="7F7F7F"/>
          </w:tcPr>
          <w:p>
            <w:pPr>
              <w:spacing w:after="0"/>
              <w:rPr>
                <w:sz w:val="16"/>
                <w:szCs w:val="16"/>
                <w:color w:val="auto"/>
              </w:rPr>
            </w:pPr>
          </w:p>
        </w:tc>
        <w:tc>
          <w:tcPr>
            <w:tcW w:w="1200" w:type="dxa"/>
            <w:vAlign w:val="bottom"/>
            <w:shd w:val="clear" w:color="auto" w:fill="7F7F7F"/>
          </w:tcPr>
          <w:p>
            <w:pPr>
              <w:spacing w:after="0"/>
              <w:rPr>
                <w:sz w:val="16"/>
                <w:szCs w:val="16"/>
                <w:color w:val="auto"/>
              </w:rPr>
            </w:pPr>
          </w:p>
        </w:tc>
        <w:tc>
          <w:tcPr>
            <w:tcW w:w="120" w:type="dxa"/>
            <w:vAlign w:val="bottom"/>
            <w:shd w:val="clear" w:color="auto" w:fill="7F7F7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381"/>
        </w:trPr>
        <w:tc>
          <w:tcPr>
            <w:tcW w:w="5440" w:type="dxa"/>
            <w:vAlign w:val="bottom"/>
            <w:gridSpan w:val="3"/>
            <w:shd w:val="clear" w:color="auto" w:fill="66ACDE"/>
          </w:tcPr>
          <w:p>
            <w:pPr>
              <w:jc w:val="center"/>
              <w:spacing w:after="0"/>
              <w:rPr>
                <w:sz w:val="20"/>
                <w:szCs w:val="20"/>
                <w:color w:val="auto"/>
              </w:rPr>
            </w:pPr>
            <w:r>
              <w:rPr>
                <w:rFonts w:ascii="Arial" w:cs="Arial" w:eastAsia="Arial" w:hAnsi="Arial"/>
                <w:sz w:val="25"/>
                <w:szCs w:val="25"/>
                <w:b w:val="1"/>
                <w:bCs w:val="1"/>
                <w:color w:val="FFFFFF"/>
                <w:w w:val="99"/>
              </w:rPr>
              <w:t>Vote Right Away Through Advance Voting</w:t>
            </w:r>
          </w:p>
        </w:tc>
        <w:tc>
          <w:tcPr>
            <w:tcW w:w="120" w:type="dxa"/>
            <w:vAlign w:val="bottom"/>
          </w:tcPr>
          <w:p>
            <w:pPr>
              <w:spacing w:after="0"/>
              <w:rPr>
                <w:sz w:val="24"/>
                <w:szCs w:val="24"/>
                <w:color w:val="auto"/>
              </w:rPr>
            </w:pPr>
          </w:p>
        </w:tc>
        <w:tc>
          <w:tcPr>
            <w:tcW w:w="5460" w:type="dxa"/>
            <w:vAlign w:val="bottom"/>
            <w:shd w:val="clear" w:color="auto" w:fill="66ACDE"/>
          </w:tcPr>
          <w:p>
            <w:pPr>
              <w:ind w:left="1560"/>
              <w:spacing w:after="0"/>
              <w:rPr>
                <w:sz w:val="20"/>
                <w:szCs w:val="20"/>
                <w:color w:val="auto"/>
              </w:rPr>
            </w:pPr>
            <w:r>
              <w:rPr>
                <w:rFonts w:ascii="Arial" w:cs="Arial" w:eastAsia="Arial" w:hAnsi="Arial"/>
                <w:sz w:val="25"/>
                <w:szCs w:val="25"/>
                <w:b w:val="1"/>
                <w:bCs w:val="1"/>
                <w:color w:val="FFFFFF"/>
              </w:rPr>
              <w:t>Vote During Meeting</w:t>
            </w:r>
          </w:p>
        </w:tc>
      </w:tr>
      <w:tr>
        <w:trPr>
          <w:trHeight w:val="348"/>
        </w:trPr>
        <w:tc>
          <w:tcPr>
            <w:tcW w:w="1460" w:type="dxa"/>
            <w:vAlign w:val="bottom"/>
            <w:shd w:val="clear" w:color="auto" w:fill="66ACDE"/>
          </w:tcPr>
          <w:p>
            <w:pPr>
              <w:spacing w:after="0"/>
              <w:rPr>
                <w:sz w:val="24"/>
                <w:szCs w:val="24"/>
                <w:color w:val="auto"/>
              </w:rPr>
            </w:pPr>
          </w:p>
        </w:tc>
        <w:tc>
          <w:tcPr>
            <w:tcW w:w="3980" w:type="dxa"/>
            <w:vAlign w:val="bottom"/>
            <w:gridSpan w:val="2"/>
            <w:shd w:val="clear" w:color="auto" w:fill="66ACDE"/>
          </w:tcPr>
          <w:p>
            <w:pPr>
              <w:jc w:val="center"/>
              <w:ind w:right="1370"/>
              <w:spacing w:after="0"/>
              <w:rPr>
                <w:sz w:val="20"/>
                <w:szCs w:val="20"/>
                <w:color w:val="auto"/>
              </w:rPr>
            </w:pPr>
            <w:r>
              <w:rPr>
                <w:rFonts w:ascii="Arial" w:cs="Arial" w:eastAsia="Arial" w:hAnsi="Arial"/>
                <w:sz w:val="25"/>
                <w:szCs w:val="25"/>
                <w:b w:val="1"/>
                <w:bCs w:val="1"/>
                <w:color w:val="FFFFFF"/>
              </w:rPr>
              <w:t>Methods</w:t>
            </w:r>
          </w:p>
        </w:tc>
        <w:tc>
          <w:tcPr>
            <w:tcW w:w="120" w:type="dxa"/>
            <w:vAlign w:val="bottom"/>
          </w:tcPr>
          <w:p>
            <w:pPr>
              <w:spacing w:after="0"/>
              <w:rPr>
                <w:sz w:val="24"/>
                <w:szCs w:val="24"/>
                <w:color w:val="auto"/>
              </w:rPr>
            </w:pPr>
          </w:p>
        </w:tc>
        <w:tc>
          <w:tcPr>
            <w:tcW w:w="5460" w:type="dxa"/>
            <w:vAlign w:val="bottom"/>
            <w:shd w:val="clear" w:color="auto" w:fill="66ACDE"/>
          </w:tcPr>
          <w:p>
            <w:pPr>
              <w:spacing w:after="0"/>
              <w:rPr>
                <w:sz w:val="24"/>
                <w:szCs w:val="24"/>
                <w:color w:val="auto"/>
              </w:rPr>
            </w:pPr>
          </w:p>
        </w:tc>
      </w:tr>
      <w:tr>
        <w:trPr>
          <w:trHeight w:val="189"/>
        </w:trPr>
        <w:tc>
          <w:tcPr>
            <w:tcW w:w="1460" w:type="dxa"/>
            <w:vAlign w:val="bottom"/>
            <w:shd w:val="clear" w:color="auto" w:fill="66ACDE"/>
          </w:tcPr>
          <w:p>
            <w:pPr>
              <w:spacing w:after="0"/>
              <w:rPr>
                <w:sz w:val="16"/>
                <w:szCs w:val="16"/>
                <w:color w:val="auto"/>
              </w:rPr>
            </w:pPr>
          </w:p>
        </w:tc>
        <w:tc>
          <w:tcPr>
            <w:tcW w:w="1600" w:type="dxa"/>
            <w:vAlign w:val="bottom"/>
            <w:shd w:val="clear" w:color="auto" w:fill="66ACDE"/>
          </w:tcPr>
          <w:p>
            <w:pPr>
              <w:spacing w:after="0"/>
              <w:rPr>
                <w:sz w:val="16"/>
                <w:szCs w:val="16"/>
                <w:color w:val="auto"/>
              </w:rPr>
            </w:pPr>
          </w:p>
        </w:tc>
        <w:tc>
          <w:tcPr>
            <w:tcW w:w="2380" w:type="dxa"/>
            <w:vAlign w:val="bottom"/>
            <w:shd w:val="clear" w:color="auto" w:fill="66ACDE"/>
          </w:tcPr>
          <w:p>
            <w:pPr>
              <w:spacing w:after="0"/>
              <w:rPr>
                <w:sz w:val="16"/>
                <w:szCs w:val="16"/>
                <w:color w:val="auto"/>
              </w:rPr>
            </w:pPr>
          </w:p>
        </w:tc>
        <w:tc>
          <w:tcPr>
            <w:tcW w:w="120" w:type="dxa"/>
            <w:vAlign w:val="bottom"/>
          </w:tcPr>
          <w:p>
            <w:pPr>
              <w:spacing w:after="0"/>
              <w:rPr>
                <w:sz w:val="16"/>
                <w:szCs w:val="16"/>
                <w:color w:val="auto"/>
              </w:rPr>
            </w:pPr>
          </w:p>
        </w:tc>
        <w:tc>
          <w:tcPr>
            <w:tcW w:w="5460" w:type="dxa"/>
            <w:vAlign w:val="bottom"/>
            <w:shd w:val="clear" w:color="auto" w:fill="66ACDE"/>
          </w:tcPr>
          <w:p>
            <w:pPr>
              <w:spacing w:after="0"/>
              <w:rPr>
                <w:sz w:val="16"/>
                <w:szCs w:val="16"/>
                <w:color w:val="auto"/>
              </w:rPr>
            </w:pPr>
          </w:p>
        </w:tc>
      </w:tr>
      <w:tr>
        <w:trPr>
          <w:trHeight w:val="278"/>
        </w:trPr>
        <w:tc>
          <w:tcPr>
            <w:tcW w:w="5560" w:type="dxa"/>
            <w:vAlign w:val="bottom"/>
            <w:gridSpan w:val="4"/>
          </w:tcPr>
          <w:p>
            <w:pPr>
              <w:ind w:left="960"/>
              <w:spacing w:after="0"/>
              <w:rPr>
                <w:sz w:val="20"/>
                <w:szCs w:val="20"/>
                <w:color w:val="auto"/>
              </w:rPr>
            </w:pPr>
            <w:r>
              <w:rPr>
                <w:rFonts w:ascii="Arial" w:cs="Arial" w:eastAsia="Arial" w:hAnsi="Arial"/>
                <w:sz w:val="18"/>
                <w:szCs w:val="18"/>
                <w:b w:val="1"/>
                <w:bCs w:val="1"/>
                <w:color w:val="0075C9"/>
              </w:rPr>
              <w:t>Vote by Internet Using Your Computer</w:t>
            </w:r>
          </w:p>
        </w:tc>
        <w:tc>
          <w:tcPr>
            <w:tcW w:w="5460" w:type="dxa"/>
            <w:vAlign w:val="bottom"/>
          </w:tcPr>
          <w:p>
            <w:pPr>
              <w:ind w:left="760"/>
              <w:spacing w:after="0"/>
              <w:rPr>
                <w:sz w:val="20"/>
                <w:szCs w:val="20"/>
                <w:color w:val="auto"/>
              </w:rPr>
            </w:pPr>
            <w:r>
              <w:rPr>
                <w:rFonts w:ascii="Arial" w:cs="Arial" w:eastAsia="Arial" w:hAnsi="Arial"/>
                <w:sz w:val="18"/>
                <w:szCs w:val="18"/>
                <w:b w:val="1"/>
                <w:bCs w:val="1"/>
                <w:color w:val="0075C9"/>
              </w:rPr>
              <w:t>Vote During the Meeting</w:t>
            </w:r>
          </w:p>
        </w:tc>
      </w:tr>
      <w:tr>
        <w:trPr>
          <w:trHeight w:val="194"/>
        </w:trPr>
        <w:tc>
          <w:tcPr>
            <w:tcW w:w="5560" w:type="dxa"/>
            <w:vAlign w:val="bottom"/>
            <w:gridSpan w:val="4"/>
          </w:tcPr>
          <w:p>
            <w:pPr>
              <w:ind w:left="960"/>
              <w:spacing w:after="0" w:line="195" w:lineRule="exact"/>
              <w:rPr>
                <w:sz w:val="20"/>
                <w:szCs w:val="20"/>
                <w:color w:val="auto"/>
              </w:rPr>
            </w:pPr>
            <w:r>
              <w:rPr>
                <w:rFonts w:ascii="Arial" w:cs="Arial" w:eastAsia="Arial" w:hAnsi="Arial"/>
                <w:sz w:val="18"/>
                <w:szCs w:val="18"/>
                <w:color w:val="0075C9"/>
              </w:rPr>
              <w:t>Go to www.proxyvote.com and enter the Control</w:t>
            </w:r>
          </w:p>
        </w:tc>
        <w:tc>
          <w:tcPr>
            <w:tcW w:w="5460" w:type="dxa"/>
            <w:vAlign w:val="bottom"/>
          </w:tcPr>
          <w:p>
            <w:pPr>
              <w:ind w:left="760"/>
              <w:spacing w:after="0" w:line="195" w:lineRule="exact"/>
              <w:rPr>
                <w:sz w:val="20"/>
                <w:szCs w:val="20"/>
                <w:color w:val="auto"/>
              </w:rPr>
            </w:pPr>
            <w:r>
              <w:rPr>
                <w:rFonts w:ascii="Arial" w:cs="Arial" w:eastAsia="Arial" w:hAnsi="Arial"/>
                <w:sz w:val="18"/>
                <w:szCs w:val="18"/>
                <w:color w:val="0075C9"/>
              </w:rPr>
              <w:t>See Part 1 –“General Information About the Meeting” for</w:t>
            </w:r>
          </w:p>
        </w:tc>
      </w:tr>
      <w:tr>
        <w:trPr>
          <w:trHeight w:val="209"/>
        </w:trPr>
        <w:tc>
          <w:tcPr>
            <w:tcW w:w="1460" w:type="dxa"/>
            <w:vAlign w:val="bottom"/>
          </w:tcPr>
          <w:p>
            <w:pPr>
              <w:ind w:left="960"/>
              <w:spacing w:after="0"/>
              <w:rPr>
                <w:sz w:val="20"/>
                <w:szCs w:val="20"/>
                <w:color w:val="auto"/>
              </w:rPr>
            </w:pPr>
            <w:r>
              <w:rPr>
                <w:rFonts w:ascii="Arial" w:cs="Arial" w:eastAsia="Arial" w:hAnsi="Arial"/>
                <w:sz w:val="18"/>
                <w:szCs w:val="18"/>
                <w:color w:val="0075C9"/>
                <w:w w:val="74"/>
              </w:rPr>
              <w:t>Number</w:t>
            </w:r>
          </w:p>
        </w:tc>
        <w:tc>
          <w:tcPr>
            <w:tcW w:w="1600" w:type="dxa"/>
            <w:vAlign w:val="bottom"/>
            <w:tcBorders>
              <w:top w:val="single" w:sz="8" w:color="0075C9"/>
            </w:tcBorders>
          </w:tcPr>
          <w:p>
            <w:pPr>
              <w:ind w:left="200"/>
              <w:spacing w:after="0"/>
              <w:rPr>
                <w:sz w:val="20"/>
                <w:szCs w:val="20"/>
                <w:color w:val="auto"/>
              </w:rPr>
            </w:pPr>
            <w:r>
              <w:rPr>
                <w:rFonts w:ascii="Arial" w:cs="Arial" w:eastAsia="Arial" w:hAnsi="Arial"/>
                <w:sz w:val="18"/>
                <w:szCs w:val="18"/>
                <w:color w:val="0075C9"/>
              </w:rPr>
              <w:t>provided in your</w:t>
            </w:r>
          </w:p>
        </w:tc>
        <w:tc>
          <w:tcPr>
            <w:tcW w:w="2500" w:type="dxa"/>
            <w:vAlign w:val="bottom"/>
            <w:gridSpan w:val="2"/>
          </w:tcPr>
          <w:p>
            <w:pPr>
              <w:spacing w:after="0"/>
              <w:rPr>
                <w:sz w:val="20"/>
                <w:szCs w:val="20"/>
                <w:color w:val="auto"/>
              </w:rPr>
            </w:pPr>
            <w:r>
              <w:rPr>
                <w:rFonts w:ascii="Arial" w:cs="Arial" w:eastAsia="Arial" w:hAnsi="Arial"/>
                <w:sz w:val="18"/>
                <w:szCs w:val="18"/>
                <w:color w:val="0075C9"/>
              </w:rPr>
              <w:t>Notice of Internet Availability</w:t>
            </w:r>
          </w:p>
        </w:tc>
        <w:tc>
          <w:tcPr>
            <w:tcW w:w="5460" w:type="dxa"/>
            <w:vAlign w:val="bottom"/>
          </w:tcPr>
          <w:p>
            <w:pPr>
              <w:ind w:left="760"/>
              <w:spacing w:after="0"/>
              <w:rPr>
                <w:sz w:val="20"/>
                <w:szCs w:val="20"/>
                <w:color w:val="auto"/>
              </w:rPr>
            </w:pPr>
            <w:r>
              <w:rPr>
                <w:rFonts w:ascii="Arial" w:cs="Arial" w:eastAsia="Arial" w:hAnsi="Arial"/>
                <w:sz w:val="18"/>
                <w:szCs w:val="18"/>
                <w:color w:val="0075C9"/>
              </w:rPr>
              <w:t>details on how to vote during the 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-401955</wp:posOffset>
            </wp:positionV>
            <wp:extent cx="6849110" cy="8401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49110" cy="840105"/>
                    </a:xfrm>
                    <a:prstGeom prst="rect">
                      <a:avLst/>
                    </a:prstGeom>
                    <a:noFill/>
                  </pic:spPr>
                </pic:pic>
              </a:graphicData>
            </a:graphic>
          </wp:anchor>
        </w:drawing>
      </w:r>
    </w:p>
    <w:tbl>
      <w:tblPr>
        <w:tblLayout w:type="fixed"/>
        <w:tblInd w:w="780" w:type="dxa"/>
        <w:tblCellMar>
          <w:top w:w="0" w:type="dxa"/>
          <w:left w:w="0" w:type="dxa"/>
          <w:bottom w:w="0" w:type="dxa"/>
          <w:right w:w="0" w:type="dxa"/>
        </w:tblCellMar>
      </w:tblPr>
      <w:tr>
        <w:trPr>
          <w:trHeight w:val="185"/>
        </w:trPr>
        <w:tc>
          <w:tcPr>
            <w:tcW w:w="200" w:type="dxa"/>
            <w:vAlign w:val="bottom"/>
          </w:tcPr>
          <w:p>
            <w:pPr>
              <w:spacing w:after="0"/>
              <w:rPr>
                <w:sz w:val="16"/>
                <w:szCs w:val="16"/>
                <w:color w:val="auto"/>
              </w:rPr>
            </w:pPr>
          </w:p>
        </w:tc>
        <w:tc>
          <w:tcPr>
            <w:tcW w:w="4580" w:type="dxa"/>
            <w:vAlign w:val="bottom"/>
          </w:tcPr>
          <w:p>
            <w:pPr>
              <w:ind w:left="100"/>
              <w:spacing w:after="0" w:line="184" w:lineRule="exact"/>
              <w:rPr>
                <w:sz w:val="20"/>
                <w:szCs w:val="20"/>
                <w:color w:val="auto"/>
              </w:rPr>
            </w:pPr>
            <w:r>
              <w:rPr>
                <w:rFonts w:ascii="Arial" w:cs="Arial" w:eastAsia="Arial" w:hAnsi="Arial"/>
                <w:sz w:val="18"/>
                <w:szCs w:val="18"/>
                <w:color w:val="0075C9"/>
              </w:rPr>
              <w:t>of Proxy Materials (Notice), or if you received a printed</w:t>
            </w:r>
          </w:p>
        </w:tc>
        <w:tc>
          <w:tcPr>
            <w:tcW w:w="5560" w:type="dxa"/>
            <w:vAlign w:val="bottom"/>
            <w:vMerge w:val="restart"/>
          </w:tcPr>
          <w:p>
            <w:pPr>
              <w:ind w:left="620"/>
              <w:spacing w:after="0"/>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4580" w:type="dxa"/>
            <w:vAlign w:val="bottom"/>
            <w:vMerge w:val="restart"/>
          </w:tcPr>
          <w:p>
            <w:pPr>
              <w:ind w:left="100"/>
              <w:spacing w:after="0" w:line="202" w:lineRule="exact"/>
              <w:rPr>
                <w:sz w:val="20"/>
                <w:szCs w:val="20"/>
                <w:color w:val="auto"/>
              </w:rPr>
            </w:pPr>
            <w:r>
              <w:rPr>
                <w:rFonts w:ascii="Arial" w:cs="Arial" w:eastAsia="Arial" w:hAnsi="Arial"/>
                <w:sz w:val="18"/>
                <w:szCs w:val="18"/>
                <w:color w:val="0075C9"/>
              </w:rPr>
              <w:t>copy of proxy materials, on your proxy card or voting</w:t>
            </w:r>
          </w:p>
        </w:tc>
        <w:tc>
          <w:tcPr>
            <w:tcW w:w="5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0" w:type="dxa"/>
            <w:vAlign w:val="bottom"/>
          </w:tcPr>
          <w:p>
            <w:pPr>
              <w:spacing w:after="0"/>
              <w:rPr>
                <w:sz w:val="6"/>
                <w:szCs w:val="6"/>
                <w:color w:val="auto"/>
              </w:rPr>
            </w:pPr>
          </w:p>
        </w:tc>
        <w:tc>
          <w:tcPr>
            <w:tcW w:w="4580" w:type="dxa"/>
            <w:vAlign w:val="bottom"/>
            <w:vMerge w:val="continue"/>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0075C9"/>
              </w:rPr>
              <w:t>instruction form.</w:t>
            </w:r>
          </w:p>
        </w:tc>
        <w:tc>
          <w:tcPr>
            <w:tcW w:w="5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580" w:type="dxa"/>
            <w:vAlign w:val="bottom"/>
            <w:shd w:val="clear" w:color="auto" w:fill="E5F1F9"/>
          </w:tcPr>
          <w:p>
            <w:pPr>
              <w:ind w:left="100"/>
              <w:spacing w:after="0"/>
              <w:rPr>
                <w:sz w:val="20"/>
                <w:szCs w:val="20"/>
                <w:color w:val="auto"/>
              </w:rPr>
            </w:pPr>
            <w:r>
              <w:rPr>
                <w:rFonts w:ascii="Arial" w:cs="Arial" w:eastAsia="Arial" w:hAnsi="Arial"/>
                <w:sz w:val="18"/>
                <w:szCs w:val="18"/>
                <w:b w:val="1"/>
                <w:bCs w:val="1"/>
                <w:color w:val="0075C9"/>
              </w:rPr>
              <w:t>Vote by Telephone</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E5F1F9"/>
          </w:tcPr>
          <w:p>
            <w:pPr>
              <w:ind w:left="100"/>
              <w:spacing w:after="0" w:line="202" w:lineRule="exact"/>
              <w:rPr>
                <w:sz w:val="20"/>
                <w:szCs w:val="20"/>
                <w:color w:val="auto"/>
              </w:rPr>
            </w:pPr>
            <w:r>
              <w:rPr>
                <w:rFonts w:ascii="Arial" w:cs="Arial" w:eastAsia="Arial" w:hAnsi="Arial"/>
                <w:sz w:val="18"/>
                <w:szCs w:val="18"/>
                <w:color w:val="0075C9"/>
              </w:rPr>
              <w:t>Call 800-690-6903 or the telephone number on your</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E5F1F9"/>
          </w:tcPr>
          <w:p>
            <w:pPr>
              <w:ind w:left="100"/>
              <w:spacing w:after="0" w:line="202" w:lineRule="exact"/>
              <w:rPr>
                <w:sz w:val="20"/>
                <w:szCs w:val="20"/>
                <w:color w:val="auto"/>
              </w:rPr>
            </w:pPr>
            <w:r>
              <w:rPr>
                <w:rFonts w:ascii="Arial" w:cs="Arial" w:eastAsia="Arial" w:hAnsi="Arial"/>
                <w:sz w:val="18"/>
                <w:szCs w:val="18"/>
                <w:color w:val="0075C9"/>
              </w:rPr>
              <w:t>Notice, proxy card or voting instruction form. You will</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E5F1F9"/>
          </w:tcPr>
          <w:p>
            <w:pPr>
              <w:ind w:left="100"/>
              <w:spacing w:after="0" w:line="202" w:lineRule="exact"/>
              <w:rPr>
                <w:sz w:val="20"/>
                <w:szCs w:val="20"/>
                <w:color w:val="auto"/>
              </w:rPr>
            </w:pPr>
            <w:r>
              <w:rPr>
                <w:rFonts w:ascii="Arial" w:cs="Arial" w:eastAsia="Arial" w:hAnsi="Arial"/>
                <w:sz w:val="18"/>
                <w:szCs w:val="18"/>
                <w:color w:val="0075C9"/>
              </w:rPr>
              <w:t>need the Control Number provided on your Notice, or if</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E5F1F9"/>
          </w:tcPr>
          <w:p>
            <w:pPr>
              <w:ind w:left="100"/>
              <w:spacing w:after="0" w:line="202" w:lineRule="exact"/>
              <w:rPr>
                <w:sz w:val="20"/>
                <w:szCs w:val="20"/>
                <w:color w:val="auto"/>
              </w:rPr>
            </w:pPr>
            <w:r>
              <w:rPr>
                <w:rFonts w:ascii="Arial" w:cs="Arial" w:eastAsia="Arial" w:hAnsi="Arial"/>
                <w:sz w:val="18"/>
                <w:szCs w:val="18"/>
                <w:color w:val="0075C9"/>
              </w:rPr>
              <w:t>you received a printed copy of the proxy materials, on</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4580" w:type="dxa"/>
            <w:vAlign w:val="bottom"/>
            <w:shd w:val="clear" w:color="auto" w:fill="E5F1F9"/>
          </w:tcPr>
          <w:p>
            <w:pPr>
              <w:ind w:left="100"/>
              <w:spacing w:after="0"/>
              <w:rPr>
                <w:sz w:val="20"/>
                <w:szCs w:val="20"/>
                <w:color w:val="auto"/>
              </w:rPr>
            </w:pPr>
            <w:r>
              <w:rPr>
                <w:rFonts w:ascii="Arial" w:cs="Arial" w:eastAsia="Arial" w:hAnsi="Arial"/>
                <w:sz w:val="18"/>
                <w:szCs w:val="18"/>
                <w:color w:val="0075C9"/>
              </w:rPr>
              <w:t>your proxy card or voting instruction form.</w:t>
            </w:r>
          </w:p>
        </w:tc>
        <w:tc>
          <w:tcPr>
            <w:tcW w:w="5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0" w:type="dxa"/>
            <w:vAlign w:val="bottom"/>
          </w:tcPr>
          <w:p>
            <w:pPr>
              <w:spacing w:after="0"/>
              <w:rPr>
                <w:sz w:val="5"/>
                <w:szCs w:val="5"/>
                <w:color w:val="auto"/>
              </w:rPr>
            </w:pPr>
          </w:p>
        </w:tc>
        <w:tc>
          <w:tcPr>
            <w:tcW w:w="4580" w:type="dxa"/>
            <w:vAlign w:val="bottom"/>
            <w:shd w:val="clear" w:color="auto" w:fill="E5F1F9"/>
          </w:tcPr>
          <w:p>
            <w:pPr>
              <w:spacing w:after="0"/>
              <w:rPr>
                <w:sz w:val="5"/>
                <w:szCs w:val="5"/>
                <w:color w:val="auto"/>
              </w:rPr>
            </w:pPr>
          </w:p>
        </w:tc>
        <w:tc>
          <w:tcPr>
            <w:tcW w:w="5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4580" w:type="dxa"/>
            <w:vAlign w:val="bottom"/>
          </w:tcPr>
          <w:p>
            <w:pPr>
              <w:spacing w:after="0"/>
              <w:rPr>
                <w:sz w:val="5"/>
                <w:szCs w:val="5"/>
                <w:color w:val="auto"/>
              </w:rPr>
            </w:pPr>
          </w:p>
        </w:tc>
        <w:tc>
          <w:tcPr>
            <w:tcW w:w="5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580" w:type="dxa"/>
            <w:vAlign w:val="bottom"/>
            <w:shd w:val="clear" w:color="auto" w:fill="E5F1F9"/>
          </w:tcPr>
          <w:p>
            <w:pPr>
              <w:ind w:left="100"/>
              <w:spacing w:after="0"/>
              <w:rPr>
                <w:sz w:val="20"/>
                <w:szCs w:val="20"/>
                <w:color w:val="auto"/>
              </w:rPr>
            </w:pPr>
            <w:r>
              <w:rPr>
                <w:rFonts w:ascii="Arial" w:cs="Arial" w:eastAsia="Arial" w:hAnsi="Arial"/>
                <w:sz w:val="18"/>
                <w:szCs w:val="18"/>
                <w:b w:val="1"/>
                <w:bCs w:val="1"/>
                <w:color w:val="0075C9"/>
              </w:rPr>
              <w:t>Vote by Mail</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E5F1F9"/>
          </w:tcPr>
          <w:p>
            <w:pPr>
              <w:ind w:left="100"/>
              <w:spacing w:after="0" w:line="202" w:lineRule="exact"/>
              <w:rPr>
                <w:sz w:val="20"/>
                <w:szCs w:val="20"/>
                <w:color w:val="auto"/>
              </w:rPr>
            </w:pPr>
            <w:r>
              <w:rPr>
                <w:rFonts w:ascii="Arial" w:cs="Arial" w:eastAsia="Arial" w:hAnsi="Arial"/>
                <w:sz w:val="18"/>
                <w:szCs w:val="18"/>
                <w:color w:val="0075C9"/>
              </w:rPr>
              <w:t>Complete, sign and date the proxy card or voting</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vMerge w:val="restart"/>
          </w:tcPr>
          <w:p>
            <w:pPr>
              <w:spacing w:after="0"/>
              <w:rPr>
                <w:sz w:val="20"/>
                <w:szCs w:val="20"/>
                <w:color w:val="auto"/>
              </w:rPr>
            </w:pPr>
            <w:r>
              <w:rPr>
                <w:rFonts w:ascii="Arial" w:cs="Arial" w:eastAsia="Arial" w:hAnsi="Arial"/>
                <w:sz w:val="18"/>
                <w:szCs w:val="18"/>
                <w:color w:val="auto"/>
              </w:rPr>
              <w:t xml:space="preserve">  </w:t>
            </w:r>
          </w:p>
        </w:tc>
        <w:tc>
          <w:tcPr>
            <w:tcW w:w="4580" w:type="dxa"/>
            <w:vAlign w:val="bottom"/>
            <w:shd w:val="clear" w:color="auto" w:fill="E5F1F9"/>
          </w:tcPr>
          <w:p>
            <w:pPr>
              <w:ind w:left="100"/>
              <w:spacing w:after="0" w:line="202" w:lineRule="exact"/>
              <w:rPr>
                <w:sz w:val="20"/>
                <w:szCs w:val="20"/>
                <w:color w:val="auto"/>
              </w:rPr>
            </w:pPr>
            <w:r>
              <w:rPr>
                <w:rFonts w:ascii="Arial" w:cs="Arial" w:eastAsia="Arial" w:hAnsi="Arial"/>
                <w:sz w:val="18"/>
                <w:szCs w:val="18"/>
                <w:color w:val="0075C9"/>
              </w:rPr>
              <w:t>instruction form and mail it in the accompanying</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00" w:type="dxa"/>
            <w:vAlign w:val="bottom"/>
            <w:vMerge w:val="continue"/>
          </w:tcPr>
          <w:p>
            <w:pPr>
              <w:spacing w:after="0"/>
              <w:rPr>
                <w:sz w:val="10"/>
                <w:szCs w:val="10"/>
                <w:color w:val="auto"/>
              </w:rPr>
            </w:pPr>
          </w:p>
        </w:tc>
        <w:tc>
          <w:tcPr>
            <w:tcW w:w="4580" w:type="dxa"/>
            <w:vAlign w:val="bottom"/>
            <w:vMerge w:val="restart"/>
            <w:shd w:val="clear" w:color="auto" w:fill="E5F1F9"/>
          </w:tcPr>
          <w:p>
            <w:pPr>
              <w:ind w:left="100"/>
              <w:spacing w:after="0"/>
              <w:rPr>
                <w:sz w:val="20"/>
                <w:szCs w:val="20"/>
                <w:color w:val="auto"/>
              </w:rPr>
            </w:pPr>
            <w:r>
              <w:rPr>
                <w:rFonts w:ascii="Arial" w:cs="Arial" w:eastAsia="Arial" w:hAnsi="Arial"/>
                <w:sz w:val="18"/>
                <w:szCs w:val="18"/>
                <w:color w:val="0075C9"/>
              </w:rPr>
              <w:t>pre-addressed envelope.</w:t>
            </w:r>
          </w:p>
        </w:tc>
        <w:tc>
          <w:tcPr>
            <w:tcW w:w="5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4580" w:type="dxa"/>
            <w:vAlign w:val="bottom"/>
            <w:vMerge w:val="continue"/>
            <w:shd w:val="clear" w:color="auto" w:fill="E5F1F9"/>
          </w:tcPr>
          <w:p>
            <w:pPr>
              <w:spacing w:after="0"/>
              <w:rPr>
                <w:sz w:val="10"/>
                <w:szCs w:val="10"/>
                <w:color w:val="auto"/>
              </w:rPr>
            </w:pPr>
          </w:p>
        </w:tc>
        <w:tc>
          <w:tcPr>
            <w:tcW w:w="5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0" w:type="dxa"/>
            <w:vAlign w:val="bottom"/>
          </w:tcPr>
          <w:p>
            <w:pPr>
              <w:spacing w:after="0"/>
              <w:rPr>
                <w:sz w:val="5"/>
                <w:szCs w:val="5"/>
                <w:color w:val="auto"/>
              </w:rPr>
            </w:pPr>
          </w:p>
        </w:tc>
        <w:tc>
          <w:tcPr>
            <w:tcW w:w="4580" w:type="dxa"/>
            <w:vAlign w:val="bottom"/>
            <w:shd w:val="clear" w:color="auto" w:fill="E5F1F9"/>
          </w:tcPr>
          <w:p>
            <w:pPr>
              <w:spacing w:after="0"/>
              <w:rPr>
                <w:sz w:val="5"/>
                <w:szCs w:val="5"/>
                <w:color w:val="auto"/>
              </w:rPr>
            </w:pPr>
          </w:p>
        </w:tc>
        <w:tc>
          <w:tcPr>
            <w:tcW w:w="5560" w:type="dxa"/>
            <w:vAlign w:val="bottom"/>
            <w:vMerge w:val="restart"/>
          </w:tcPr>
          <w:p>
            <w:pPr>
              <w:ind w:left="3240"/>
              <w:spacing w:after="0"/>
              <w:rPr>
                <w:sz w:val="20"/>
                <w:szCs w:val="20"/>
                <w:color w:val="auto"/>
              </w:rPr>
            </w:pPr>
            <w:r>
              <w:rPr>
                <w:rFonts w:ascii="Arial" w:cs="Arial" w:eastAsia="Arial" w:hAnsi="Arial"/>
                <w:sz w:val="18"/>
                <w:szCs w:val="18"/>
                <w:color w:val="0075C9"/>
                <w:w w:val="97"/>
              </w:rPr>
              <w:t xml:space="preserve">   2026 Proxy Statement   </w:t>
            </w:r>
            <w:r>
              <w:rPr>
                <w:rFonts w:ascii="Arial" w:cs="Arial" w:eastAsia="Arial" w:hAnsi="Arial"/>
                <w:sz w:val="16"/>
                <w:szCs w:val="16"/>
                <w:color w:val="0075C9"/>
                <w:w w:val="97"/>
              </w:rPr>
              <w:t>-1-</w:t>
            </w:r>
          </w:p>
        </w:tc>
        <w:tc>
          <w:tcPr>
            <w:tcW w:w="0" w:type="dxa"/>
            <w:vAlign w:val="bottom"/>
          </w:tcPr>
          <w:p>
            <w:pPr>
              <w:spacing w:after="0"/>
              <w:rPr>
                <w:sz w:val="1"/>
                <w:szCs w:val="1"/>
                <w:color w:val="auto"/>
              </w:rPr>
            </w:pPr>
          </w:p>
        </w:tc>
      </w:tr>
      <w:tr>
        <w:trPr>
          <w:trHeight w:val="422"/>
        </w:trPr>
        <w:tc>
          <w:tcPr>
            <w:tcW w:w="2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-1459230</wp:posOffset>
            </wp:positionV>
            <wp:extent cx="30861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-704850</wp:posOffset>
            </wp:positionV>
            <wp:extent cx="402590" cy="282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2590" cy="28257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-173355</wp:posOffset>
            </wp:positionV>
            <wp:extent cx="42037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100"/>
        <w:spacing w:after="0"/>
        <w:rPr>
          <w:sz w:val="20"/>
          <w:szCs w:val="20"/>
          <w:color w:val="auto"/>
        </w:rPr>
      </w:pPr>
      <w:r>
        <w:rPr>
          <w:rFonts w:ascii="Arial" w:cs="Arial" w:eastAsia="Arial" w:hAnsi="Arial"/>
          <w:sz w:val="19"/>
          <w:szCs w:val="19"/>
          <w:color w:val="0075C9"/>
        </w:rPr>
        <w:t>Proposal 1 — Election of Directors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Proposal 1 — Election of Directors</w:t>
      </w:r>
    </w:p>
    <w:p>
      <w:pPr>
        <w:spacing w:after="0" w:line="108"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We are asking our stockholders to elect the 10 director nominees listed below to each serve a one-year term extending until our 2027 annual meeting of stockholders and until he or she is duly elected and qualified, unless they resign or are removed:</w:t>
      </w:r>
    </w:p>
    <w:p>
      <w:pPr>
        <w:spacing w:after="0" w:line="61" w:lineRule="exact"/>
        <w:rPr>
          <w:sz w:val="20"/>
          <w:szCs w:val="20"/>
          <w:color w:val="auto"/>
        </w:rPr>
      </w:pPr>
    </w:p>
    <w:tbl>
      <w:tblPr>
        <w:tblLayout w:type="fixed"/>
        <w:tblInd w:w="1360" w:type="dxa"/>
        <w:tblCellMar>
          <w:top w:w="0" w:type="dxa"/>
          <w:left w:w="0" w:type="dxa"/>
          <w:bottom w:w="0" w:type="dxa"/>
          <w:right w:w="0" w:type="dxa"/>
        </w:tblCellMar>
      </w:tblPr>
      <w:tr>
        <w:trPr>
          <w:trHeight w:val="215"/>
        </w:trPr>
        <w:tc>
          <w:tcPr>
            <w:tcW w:w="2600" w:type="dxa"/>
            <w:vAlign w:val="bottom"/>
          </w:tcPr>
          <w:p>
            <w:pPr>
              <w:jc w:val="center"/>
              <w:ind w:right="1159"/>
              <w:spacing w:after="0"/>
              <w:rPr>
                <w:sz w:val="20"/>
                <w:szCs w:val="20"/>
                <w:color w:val="auto"/>
              </w:rPr>
            </w:pPr>
            <w:r>
              <w:rPr>
                <w:rFonts w:ascii="Arial" w:cs="Arial" w:eastAsia="Arial" w:hAnsi="Arial"/>
                <w:sz w:val="16"/>
                <w:szCs w:val="16"/>
                <w:color w:val="auto"/>
              </w:rPr>
              <w:t>Maria C. Freire</w:t>
            </w:r>
          </w:p>
        </w:tc>
        <w:tc>
          <w:tcPr>
            <w:tcW w:w="3560" w:type="dxa"/>
            <w:vAlign w:val="bottom"/>
          </w:tcPr>
          <w:p>
            <w:pPr>
              <w:jc w:val="center"/>
              <w:ind w:left="159"/>
              <w:spacing w:after="0"/>
              <w:rPr>
                <w:sz w:val="20"/>
                <w:szCs w:val="20"/>
                <w:color w:val="auto"/>
              </w:rPr>
            </w:pPr>
            <w:r>
              <w:rPr>
                <w:rFonts w:ascii="Arial" w:cs="Arial" w:eastAsia="Arial" w:hAnsi="Arial"/>
                <w:sz w:val="16"/>
                <w:szCs w:val="16"/>
                <w:color w:val="auto"/>
              </w:rPr>
              <w:t>Lloyd Minor</w:t>
            </w:r>
          </w:p>
        </w:tc>
        <w:tc>
          <w:tcPr>
            <w:tcW w:w="2860" w:type="dxa"/>
            <w:vAlign w:val="bottom"/>
          </w:tcPr>
          <w:p>
            <w:pPr>
              <w:jc w:val="center"/>
              <w:ind w:left="879"/>
              <w:spacing w:after="0"/>
              <w:rPr>
                <w:sz w:val="20"/>
                <w:szCs w:val="20"/>
                <w:color w:val="auto"/>
              </w:rPr>
            </w:pPr>
            <w:r>
              <w:rPr>
                <w:rFonts w:ascii="Arial" w:cs="Arial" w:eastAsia="Arial" w:hAnsi="Arial"/>
                <w:sz w:val="16"/>
                <w:szCs w:val="16"/>
                <w:color w:val="auto"/>
              </w:rPr>
              <w:t>Eric K. Rowinsky</w:t>
            </w:r>
          </w:p>
        </w:tc>
      </w:tr>
      <w:tr>
        <w:trPr>
          <w:trHeight w:val="297"/>
        </w:trPr>
        <w:tc>
          <w:tcPr>
            <w:tcW w:w="2600" w:type="dxa"/>
            <w:vAlign w:val="bottom"/>
          </w:tcPr>
          <w:p>
            <w:pPr>
              <w:jc w:val="center"/>
              <w:ind w:right="1139"/>
              <w:spacing w:after="0"/>
              <w:rPr>
                <w:sz w:val="20"/>
                <w:szCs w:val="20"/>
                <w:color w:val="auto"/>
              </w:rPr>
            </w:pPr>
            <w:r>
              <w:rPr>
                <w:rFonts w:ascii="Arial" w:cs="Arial" w:eastAsia="Arial" w:hAnsi="Arial"/>
                <w:sz w:val="16"/>
                <w:szCs w:val="16"/>
                <w:color w:val="auto"/>
              </w:rPr>
              <w:t>William A. Hawkins</w:t>
            </w:r>
          </w:p>
        </w:tc>
        <w:tc>
          <w:tcPr>
            <w:tcW w:w="3560" w:type="dxa"/>
            <w:vAlign w:val="bottom"/>
          </w:tcPr>
          <w:p>
            <w:pPr>
              <w:jc w:val="center"/>
              <w:ind w:left="159"/>
              <w:spacing w:after="0"/>
              <w:rPr>
                <w:sz w:val="20"/>
                <w:szCs w:val="20"/>
                <w:color w:val="auto"/>
              </w:rPr>
            </w:pPr>
            <w:r>
              <w:rPr>
                <w:rFonts w:ascii="Arial" w:cs="Arial" w:eastAsia="Arial" w:hAnsi="Arial"/>
                <w:sz w:val="16"/>
                <w:szCs w:val="16"/>
                <w:color w:val="auto"/>
              </w:rPr>
              <w:t>Menelas Pangalos</w:t>
            </w:r>
          </w:p>
        </w:tc>
        <w:tc>
          <w:tcPr>
            <w:tcW w:w="2860" w:type="dxa"/>
            <w:vAlign w:val="bottom"/>
          </w:tcPr>
          <w:p>
            <w:pPr>
              <w:jc w:val="center"/>
              <w:ind w:left="879"/>
              <w:spacing w:after="0"/>
              <w:rPr>
                <w:sz w:val="20"/>
                <w:szCs w:val="20"/>
                <w:color w:val="auto"/>
              </w:rPr>
            </w:pPr>
            <w:r>
              <w:rPr>
                <w:rFonts w:ascii="Arial" w:cs="Arial" w:eastAsia="Arial" w:hAnsi="Arial"/>
                <w:sz w:val="16"/>
                <w:szCs w:val="16"/>
                <w:color w:val="auto"/>
              </w:rPr>
              <w:t>Stephen A. Sherwin</w:t>
            </w:r>
          </w:p>
        </w:tc>
      </w:tr>
      <w:tr>
        <w:trPr>
          <w:trHeight w:val="297"/>
        </w:trPr>
        <w:tc>
          <w:tcPr>
            <w:tcW w:w="2600" w:type="dxa"/>
            <w:vAlign w:val="bottom"/>
          </w:tcPr>
          <w:p>
            <w:pPr>
              <w:jc w:val="center"/>
              <w:ind w:right="1159"/>
              <w:spacing w:after="0"/>
              <w:rPr>
                <w:sz w:val="20"/>
                <w:szCs w:val="20"/>
                <w:color w:val="auto"/>
              </w:rPr>
            </w:pPr>
            <w:r>
              <w:rPr>
                <w:rFonts w:ascii="Arial" w:cs="Arial" w:eastAsia="Arial" w:hAnsi="Arial"/>
                <w:sz w:val="16"/>
                <w:szCs w:val="16"/>
                <w:color w:val="auto"/>
              </w:rPr>
              <w:t>Susan K. Langer</w:t>
            </w:r>
          </w:p>
        </w:tc>
        <w:tc>
          <w:tcPr>
            <w:tcW w:w="3560" w:type="dxa"/>
            <w:vAlign w:val="bottom"/>
          </w:tcPr>
          <w:p>
            <w:pPr>
              <w:jc w:val="center"/>
              <w:ind w:left="159"/>
              <w:spacing w:after="0"/>
              <w:rPr>
                <w:sz w:val="20"/>
                <w:szCs w:val="20"/>
                <w:color w:val="auto"/>
              </w:rPr>
            </w:pPr>
            <w:r>
              <w:rPr>
                <w:rFonts w:ascii="Arial" w:cs="Arial" w:eastAsia="Arial" w:hAnsi="Arial"/>
                <w:sz w:val="16"/>
                <w:szCs w:val="16"/>
                <w:color w:val="auto"/>
              </w:rPr>
              <w:t>Monish Patolawala</w:t>
            </w:r>
          </w:p>
        </w:tc>
        <w:tc>
          <w:tcPr>
            <w:tcW w:w="2860" w:type="dxa"/>
            <w:vAlign w:val="bottom"/>
          </w:tcPr>
          <w:p>
            <w:pPr>
              <w:jc w:val="center"/>
              <w:ind w:left="879"/>
              <w:spacing w:after="0"/>
              <w:rPr>
                <w:sz w:val="20"/>
                <w:szCs w:val="20"/>
                <w:color w:val="auto"/>
              </w:rPr>
            </w:pPr>
            <w:r>
              <w:rPr>
                <w:rFonts w:ascii="Arial" w:cs="Arial" w:eastAsia="Arial" w:hAnsi="Arial"/>
                <w:sz w:val="16"/>
                <w:szCs w:val="16"/>
                <w:color w:val="auto"/>
              </w:rPr>
              <w:t>Christopher A. Viehbacher</w:t>
            </w:r>
          </w:p>
        </w:tc>
      </w:tr>
      <w:tr>
        <w:trPr>
          <w:trHeight w:val="297"/>
        </w:trPr>
        <w:tc>
          <w:tcPr>
            <w:tcW w:w="2600" w:type="dxa"/>
            <w:vAlign w:val="bottom"/>
          </w:tcPr>
          <w:p>
            <w:pPr>
              <w:jc w:val="center"/>
              <w:ind w:right="1159"/>
              <w:spacing w:after="0"/>
              <w:rPr>
                <w:sz w:val="20"/>
                <w:szCs w:val="20"/>
                <w:color w:val="auto"/>
              </w:rPr>
            </w:pPr>
            <w:r>
              <w:rPr>
                <w:rFonts w:ascii="Arial" w:cs="Arial" w:eastAsia="Arial" w:hAnsi="Arial"/>
                <w:sz w:val="16"/>
                <w:szCs w:val="16"/>
                <w:color w:val="auto"/>
              </w:rPr>
              <w:t>Jesus B. Mantas</w:t>
            </w:r>
          </w:p>
        </w:tc>
        <w:tc>
          <w:tcPr>
            <w:tcW w:w="356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82"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Our Board has nominated these 10 individuals based on its carefully considered judgment that the skills, contributions, backgrounds, perspectives and experiences of our nominees qualify them to serve on our Board. As described in detail below, our nominees have considerable professional and business expertise. We know of no reason why any nominee would be unable to accept nomination or election. All nominees have consented to being named in this Proxy Statement and to serve if elected.</w:t>
      </w:r>
    </w:p>
    <w:p>
      <w:pPr>
        <w:spacing w:after="0" w:line="70"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To be elected, a director nominee must receive the affirmative vote of a majority of the votes cast. Abstentions and broker non-votes, if any, are not considered votes cast under our bylaws and will have no effect on the results of this vote. For additional information please see also “What vote is required to approve each proposal and how are votes counted?” on page 68. If any nominee is unable to serve on our Board, the stock represented by your proxy will be voted for the election of such other person as may be nominated by our Board or alternatively, the number of directors may be reduced accordingly by our Board. In addition, in compliance with all applicable state and federal laws and regulations, we will file an amended proxy statement and proxy card that, as applicable, (1) identifies the alternate nominee(s) and (2) discloses that such nominee(s) has consented to being named in the revised proxy statement and to serve if elected.</w:t>
      </w:r>
    </w:p>
    <w:p>
      <w:pPr>
        <w:spacing w:after="0" w:line="202" w:lineRule="exact"/>
        <w:rPr>
          <w:sz w:val="20"/>
          <w:szCs w:val="20"/>
          <w:color w:val="auto"/>
        </w:rPr>
      </w:pPr>
    </w:p>
    <w:tbl>
      <w:tblPr>
        <w:tblLayout w:type="fixed"/>
        <w:tblInd w:w="130" w:type="dxa"/>
        <w:tblCellMar>
          <w:top w:w="0" w:type="dxa"/>
          <w:left w:w="0" w:type="dxa"/>
          <w:bottom w:w="0" w:type="dxa"/>
          <w:right w:w="0" w:type="dxa"/>
        </w:tblCellMar>
      </w:tblPr>
      <w:tr>
        <w:trPr>
          <w:trHeight w:val="166"/>
        </w:trPr>
        <w:tc>
          <w:tcPr>
            <w:tcW w:w="4000" w:type="dxa"/>
            <w:vAlign w:val="bottom"/>
            <w:tcBorders>
              <w:top w:val="single" w:sz="8" w:color="auto"/>
              <w:left w:val="single" w:sz="8" w:color="auto"/>
              <w:right w:val="single" w:sz="8" w:color="auto"/>
            </w:tcBorders>
            <w:shd w:val="clear" w:color="auto" w:fill="0075C9"/>
          </w:tcPr>
          <w:p>
            <w:pPr>
              <w:spacing w:after="0"/>
              <w:rPr>
                <w:sz w:val="14"/>
                <w:szCs w:val="14"/>
                <w:color w:val="auto"/>
              </w:rPr>
            </w:pPr>
          </w:p>
        </w:tc>
        <w:tc>
          <w:tcPr>
            <w:tcW w:w="1060" w:type="dxa"/>
            <w:vAlign w:val="bottom"/>
            <w:tcBorders>
              <w:top w:val="single" w:sz="8" w:color="auto"/>
              <w:right w:val="single" w:sz="8" w:color="auto"/>
            </w:tcBorders>
            <w:shd w:val="clear" w:color="auto" w:fill="0075C9"/>
          </w:tcPr>
          <w:p>
            <w:pPr>
              <w:spacing w:after="0"/>
              <w:rPr>
                <w:sz w:val="14"/>
                <w:szCs w:val="14"/>
                <w:color w:val="auto"/>
              </w:rPr>
            </w:pPr>
          </w:p>
        </w:tc>
        <w:tc>
          <w:tcPr>
            <w:tcW w:w="540" w:type="dxa"/>
            <w:vAlign w:val="bottom"/>
            <w:tcBorders>
              <w:top w:val="single" w:sz="8" w:color="auto"/>
              <w:right w:val="single" w:sz="8" w:color="auto"/>
            </w:tcBorders>
            <w:shd w:val="clear" w:color="auto" w:fill="0075C9"/>
          </w:tcPr>
          <w:p>
            <w:pPr>
              <w:spacing w:after="0"/>
              <w:rPr>
                <w:sz w:val="14"/>
                <w:szCs w:val="14"/>
                <w:color w:val="auto"/>
              </w:rPr>
            </w:pPr>
          </w:p>
        </w:tc>
        <w:tc>
          <w:tcPr>
            <w:tcW w:w="1180" w:type="dxa"/>
            <w:vAlign w:val="bottom"/>
            <w:tcBorders>
              <w:top w:val="single" w:sz="8" w:color="auto"/>
              <w:right w:val="single" w:sz="8" w:color="auto"/>
            </w:tcBorders>
            <w:shd w:val="clear" w:color="auto" w:fill="0075C9"/>
          </w:tcPr>
          <w:p>
            <w:pPr>
              <w:spacing w:after="0"/>
              <w:rPr>
                <w:sz w:val="14"/>
                <w:szCs w:val="14"/>
                <w:color w:val="auto"/>
              </w:rPr>
            </w:pPr>
          </w:p>
        </w:tc>
        <w:tc>
          <w:tcPr>
            <w:tcW w:w="940" w:type="dxa"/>
            <w:vAlign w:val="bottom"/>
            <w:tcBorders>
              <w:top w:val="single" w:sz="8" w:color="auto"/>
              <w:right w:val="single" w:sz="8" w:color="auto"/>
            </w:tcBorders>
            <w:shd w:val="clear" w:color="auto" w:fill="0075C9"/>
          </w:tcPr>
          <w:p>
            <w:pPr>
              <w:spacing w:after="0"/>
              <w:rPr>
                <w:sz w:val="14"/>
                <w:szCs w:val="14"/>
                <w:color w:val="auto"/>
              </w:rPr>
            </w:pPr>
          </w:p>
        </w:tc>
        <w:tc>
          <w:tcPr>
            <w:tcW w:w="1040" w:type="dxa"/>
            <w:vAlign w:val="bottom"/>
            <w:tcBorders>
              <w:top w:val="single" w:sz="8" w:color="auto"/>
              <w:right w:val="single" w:sz="8" w:color="auto"/>
            </w:tcBorders>
            <w:shd w:val="clear" w:color="auto" w:fill="0075C9"/>
          </w:tcPr>
          <w:p>
            <w:pPr>
              <w:spacing w:after="0"/>
              <w:rPr>
                <w:sz w:val="14"/>
                <w:szCs w:val="14"/>
                <w:color w:val="auto"/>
              </w:rPr>
            </w:pPr>
          </w:p>
        </w:tc>
        <w:tc>
          <w:tcPr>
            <w:tcW w:w="1200" w:type="dxa"/>
            <w:vAlign w:val="bottom"/>
            <w:tcBorders>
              <w:top w:val="single" w:sz="8" w:color="auto"/>
              <w:right w:val="single" w:sz="8" w:color="auto"/>
            </w:tcBorders>
            <w:shd w:val="clear" w:color="auto" w:fill="0075C9"/>
          </w:tcPr>
          <w:p>
            <w:pPr>
              <w:ind w:left="20"/>
              <w:spacing w:after="0"/>
              <w:rPr>
                <w:sz w:val="20"/>
                <w:szCs w:val="20"/>
                <w:color w:val="auto"/>
              </w:rPr>
            </w:pPr>
            <w:r>
              <w:rPr>
                <w:rFonts w:ascii="Arial" w:cs="Arial" w:eastAsia="Arial" w:hAnsi="Arial"/>
                <w:sz w:val="14"/>
                <w:szCs w:val="14"/>
                <w:b w:val="1"/>
                <w:bCs w:val="1"/>
                <w:color w:val="FFFFFF"/>
              </w:rPr>
              <w:t>  Compensation</w:t>
            </w:r>
          </w:p>
        </w:tc>
        <w:tc>
          <w:tcPr>
            <w:tcW w:w="1080" w:type="dxa"/>
            <w:vAlign w:val="bottom"/>
            <w:tcBorders>
              <w:top w:val="single" w:sz="8" w:color="auto"/>
              <w:right w:val="single" w:sz="8" w:color="auto"/>
            </w:tcBorders>
            <w:shd w:val="clear" w:color="auto" w:fill="0075C9"/>
          </w:tcPr>
          <w:p>
            <w:pPr>
              <w:spacing w:after="0"/>
              <w:rPr>
                <w:sz w:val="14"/>
                <w:szCs w:val="14"/>
                <w:color w:val="auto"/>
              </w:rPr>
            </w:pPr>
          </w:p>
        </w:tc>
      </w:tr>
      <w:tr>
        <w:trPr>
          <w:trHeight w:val="162"/>
        </w:trPr>
        <w:tc>
          <w:tcPr>
            <w:tcW w:w="4000" w:type="dxa"/>
            <w:vAlign w:val="bottom"/>
            <w:tcBorders>
              <w:left w:val="single" w:sz="8" w:color="auto"/>
              <w:right w:val="single" w:sz="8" w:color="auto"/>
            </w:tcBorders>
            <w:shd w:val="clear" w:color="auto" w:fill="0075C9"/>
          </w:tcPr>
          <w:p>
            <w:pPr>
              <w:spacing w:after="0"/>
              <w:rPr>
                <w:sz w:val="14"/>
                <w:szCs w:val="14"/>
                <w:color w:val="auto"/>
              </w:rPr>
            </w:pPr>
          </w:p>
        </w:tc>
        <w:tc>
          <w:tcPr>
            <w:tcW w:w="1060" w:type="dxa"/>
            <w:vAlign w:val="bottom"/>
            <w:tcBorders>
              <w:right w:val="single" w:sz="8" w:color="auto"/>
            </w:tcBorders>
            <w:shd w:val="clear" w:color="auto" w:fill="0075C9"/>
          </w:tcPr>
          <w:p>
            <w:pPr>
              <w:spacing w:after="0"/>
              <w:rPr>
                <w:sz w:val="14"/>
                <w:szCs w:val="14"/>
                <w:color w:val="auto"/>
              </w:rPr>
            </w:pPr>
          </w:p>
        </w:tc>
        <w:tc>
          <w:tcPr>
            <w:tcW w:w="540" w:type="dxa"/>
            <w:vAlign w:val="bottom"/>
            <w:tcBorders>
              <w:right w:val="single" w:sz="8" w:color="auto"/>
            </w:tcBorders>
            <w:shd w:val="clear" w:color="auto" w:fill="0075C9"/>
          </w:tcPr>
          <w:p>
            <w:pPr>
              <w:spacing w:after="0"/>
              <w:rPr>
                <w:sz w:val="14"/>
                <w:szCs w:val="14"/>
                <w:color w:val="auto"/>
              </w:rPr>
            </w:pPr>
          </w:p>
        </w:tc>
        <w:tc>
          <w:tcPr>
            <w:tcW w:w="1180" w:type="dxa"/>
            <w:vAlign w:val="bottom"/>
            <w:tcBorders>
              <w:right w:val="single" w:sz="8" w:color="auto"/>
            </w:tcBorders>
            <w:shd w:val="clear" w:color="auto" w:fill="0075C9"/>
          </w:tcPr>
          <w:p>
            <w:pPr>
              <w:spacing w:after="0"/>
              <w:rPr>
                <w:sz w:val="14"/>
                <w:szCs w:val="14"/>
                <w:color w:val="auto"/>
              </w:rPr>
            </w:pPr>
          </w:p>
        </w:tc>
        <w:tc>
          <w:tcPr>
            <w:tcW w:w="940" w:type="dxa"/>
            <w:vAlign w:val="bottom"/>
            <w:tcBorders>
              <w:right w:val="single" w:sz="8" w:color="auto"/>
            </w:tcBorders>
            <w:shd w:val="clear" w:color="auto" w:fill="0075C9"/>
          </w:tcPr>
          <w:p>
            <w:pPr>
              <w:spacing w:after="0"/>
              <w:rPr>
                <w:sz w:val="14"/>
                <w:szCs w:val="14"/>
                <w:color w:val="auto"/>
              </w:rPr>
            </w:pPr>
          </w:p>
        </w:tc>
        <w:tc>
          <w:tcPr>
            <w:tcW w:w="1040" w:type="dxa"/>
            <w:vAlign w:val="bottom"/>
            <w:tcBorders>
              <w:right w:val="single" w:sz="8" w:color="auto"/>
            </w:tcBorders>
            <w:shd w:val="clear" w:color="auto" w:fill="0075C9"/>
          </w:tcPr>
          <w:p>
            <w:pPr>
              <w:spacing w:after="0"/>
              <w:rPr>
                <w:sz w:val="14"/>
                <w:szCs w:val="14"/>
                <w:color w:val="auto"/>
              </w:rPr>
            </w:pPr>
          </w:p>
        </w:tc>
        <w:tc>
          <w:tcPr>
            <w:tcW w:w="120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4"/>
                <w:szCs w:val="14"/>
                <w:b w:val="1"/>
                <w:bCs w:val="1"/>
                <w:color w:val="FFFFFF"/>
              </w:rPr>
              <w:t>and</w:t>
            </w:r>
          </w:p>
        </w:tc>
        <w:tc>
          <w:tcPr>
            <w:tcW w:w="1080" w:type="dxa"/>
            <w:vAlign w:val="bottom"/>
            <w:tcBorders>
              <w:right w:val="single" w:sz="8" w:color="auto"/>
            </w:tcBorders>
            <w:shd w:val="clear" w:color="auto" w:fill="0075C9"/>
          </w:tcPr>
          <w:p>
            <w:pPr>
              <w:spacing w:after="0"/>
              <w:rPr>
                <w:sz w:val="14"/>
                <w:szCs w:val="14"/>
                <w:color w:val="auto"/>
              </w:rPr>
            </w:pPr>
          </w:p>
        </w:tc>
      </w:tr>
      <w:tr>
        <w:trPr>
          <w:trHeight w:val="162"/>
        </w:trPr>
        <w:tc>
          <w:tcPr>
            <w:tcW w:w="4000" w:type="dxa"/>
            <w:vAlign w:val="bottom"/>
            <w:tcBorders>
              <w:left w:val="single" w:sz="8" w:color="auto"/>
              <w:right w:val="single" w:sz="8" w:color="auto"/>
            </w:tcBorders>
            <w:shd w:val="clear" w:color="auto" w:fill="0075C9"/>
          </w:tcPr>
          <w:p>
            <w:pPr>
              <w:spacing w:after="0"/>
              <w:rPr>
                <w:sz w:val="14"/>
                <w:szCs w:val="14"/>
                <w:color w:val="auto"/>
              </w:rPr>
            </w:pPr>
          </w:p>
        </w:tc>
        <w:tc>
          <w:tcPr>
            <w:tcW w:w="1060" w:type="dxa"/>
            <w:vAlign w:val="bottom"/>
            <w:tcBorders>
              <w:right w:val="single" w:sz="8" w:color="auto"/>
            </w:tcBorders>
            <w:shd w:val="clear" w:color="auto" w:fill="0075C9"/>
          </w:tcPr>
          <w:p>
            <w:pPr>
              <w:spacing w:after="0"/>
              <w:rPr>
                <w:sz w:val="14"/>
                <w:szCs w:val="14"/>
                <w:color w:val="auto"/>
              </w:rPr>
            </w:pPr>
          </w:p>
        </w:tc>
        <w:tc>
          <w:tcPr>
            <w:tcW w:w="540" w:type="dxa"/>
            <w:vAlign w:val="bottom"/>
            <w:tcBorders>
              <w:right w:val="single" w:sz="8" w:color="auto"/>
            </w:tcBorders>
            <w:shd w:val="clear" w:color="auto" w:fill="0075C9"/>
          </w:tcPr>
          <w:p>
            <w:pPr>
              <w:spacing w:after="0"/>
              <w:rPr>
                <w:sz w:val="14"/>
                <w:szCs w:val="14"/>
                <w:color w:val="auto"/>
              </w:rPr>
            </w:pPr>
          </w:p>
        </w:tc>
        <w:tc>
          <w:tcPr>
            <w:tcW w:w="1180" w:type="dxa"/>
            <w:vAlign w:val="bottom"/>
            <w:tcBorders>
              <w:right w:val="single" w:sz="8" w:color="auto"/>
            </w:tcBorders>
            <w:shd w:val="clear" w:color="auto" w:fill="0075C9"/>
          </w:tcPr>
          <w:p>
            <w:pPr>
              <w:spacing w:after="0"/>
              <w:rPr>
                <w:sz w:val="14"/>
                <w:szCs w:val="14"/>
                <w:color w:val="auto"/>
              </w:rPr>
            </w:pPr>
          </w:p>
        </w:tc>
        <w:tc>
          <w:tcPr>
            <w:tcW w:w="940" w:type="dxa"/>
            <w:vAlign w:val="bottom"/>
            <w:tcBorders>
              <w:right w:val="single" w:sz="8" w:color="auto"/>
            </w:tcBorders>
            <w:shd w:val="clear" w:color="auto" w:fill="0075C9"/>
          </w:tcPr>
          <w:p>
            <w:pPr>
              <w:spacing w:after="0"/>
              <w:rPr>
                <w:sz w:val="14"/>
                <w:szCs w:val="14"/>
                <w:color w:val="auto"/>
              </w:rPr>
            </w:pPr>
          </w:p>
        </w:tc>
        <w:tc>
          <w:tcPr>
            <w:tcW w:w="104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4"/>
                <w:szCs w:val="14"/>
                <w:b w:val="1"/>
                <w:bCs w:val="1"/>
                <w:color w:val="FFFFFF"/>
              </w:rPr>
              <w:t>Corporate</w:t>
            </w:r>
          </w:p>
        </w:tc>
        <w:tc>
          <w:tcPr>
            <w:tcW w:w="120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4"/>
                <w:szCs w:val="14"/>
                <w:b w:val="1"/>
                <w:bCs w:val="1"/>
                <w:color w:val="FFFFFF"/>
              </w:rPr>
              <w:t>Management</w:t>
            </w:r>
          </w:p>
        </w:tc>
        <w:tc>
          <w:tcPr>
            <w:tcW w:w="1080" w:type="dxa"/>
            <w:vAlign w:val="bottom"/>
            <w:tcBorders>
              <w:right w:val="single" w:sz="8" w:color="auto"/>
            </w:tcBorders>
            <w:shd w:val="clear" w:color="auto" w:fill="0075C9"/>
          </w:tcPr>
          <w:p>
            <w:pPr>
              <w:ind w:left="40"/>
              <w:spacing w:after="0"/>
              <w:rPr>
                <w:sz w:val="20"/>
                <w:szCs w:val="20"/>
                <w:color w:val="auto"/>
              </w:rPr>
            </w:pPr>
            <w:r>
              <w:rPr>
                <w:rFonts w:ascii="Arial" w:cs="Arial" w:eastAsia="Arial" w:hAnsi="Arial"/>
                <w:sz w:val="14"/>
                <w:szCs w:val="14"/>
                <w:b w:val="1"/>
                <w:bCs w:val="1"/>
                <w:color w:val="FFFFFF"/>
              </w:rPr>
              <w:t>  Other Public</w:t>
            </w:r>
          </w:p>
        </w:tc>
      </w:tr>
      <w:tr>
        <w:trPr>
          <w:trHeight w:val="162"/>
        </w:trPr>
        <w:tc>
          <w:tcPr>
            <w:tcW w:w="4000" w:type="dxa"/>
            <w:vAlign w:val="bottom"/>
            <w:tcBorders>
              <w:left w:val="single" w:sz="8" w:color="auto"/>
              <w:right w:val="single" w:sz="8" w:color="auto"/>
            </w:tcBorders>
            <w:shd w:val="clear" w:color="auto" w:fill="0075C9"/>
          </w:tcPr>
          <w:p>
            <w:pPr>
              <w:spacing w:after="0"/>
              <w:rPr>
                <w:sz w:val="14"/>
                <w:szCs w:val="14"/>
                <w:color w:val="auto"/>
              </w:rPr>
            </w:pPr>
          </w:p>
        </w:tc>
        <w:tc>
          <w:tcPr>
            <w:tcW w:w="1060" w:type="dxa"/>
            <w:vAlign w:val="bottom"/>
            <w:tcBorders>
              <w:right w:val="single" w:sz="8" w:color="auto"/>
            </w:tcBorders>
            <w:shd w:val="clear" w:color="auto" w:fill="0075C9"/>
          </w:tcPr>
          <w:p>
            <w:pPr>
              <w:spacing w:after="0"/>
              <w:rPr>
                <w:sz w:val="14"/>
                <w:szCs w:val="14"/>
                <w:color w:val="auto"/>
              </w:rPr>
            </w:pPr>
          </w:p>
        </w:tc>
        <w:tc>
          <w:tcPr>
            <w:tcW w:w="540" w:type="dxa"/>
            <w:vAlign w:val="bottom"/>
            <w:tcBorders>
              <w:right w:val="single" w:sz="8" w:color="auto"/>
            </w:tcBorders>
            <w:shd w:val="clear" w:color="auto" w:fill="0075C9"/>
          </w:tcPr>
          <w:p>
            <w:pPr>
              <w:spacing w:after="0"/>
              <w:rPr>
                <w:sz w:val="14"/>
                <w:szCs w:val="14"/>
                <w:color w:val="auto"/>
              </w:rPr>
            </w:pPr>
          </w:p>
        </w:tc>
        <w:tc>
          <w:tcPr>
            <w:tcW w:w="1180" w:type="dxa"/>
            <w:vAlign w:val="bottom"/>
            <w:tcBorders>
              <w:right w:val="single" w:sz="8" w:color="auto"/>
            </w:tcBorders>
            <w:shd w:val="clear" w:color="auto" w:fill="0075C9"/>
          </w:tcPr>
          <w:p>
            <w:pPr>
              <w:spacing w:after="0"/>
              <w:rPr>
                <w:sz w:val="14"/>
                <w:szCs w:val="14"/>
                <w:color w:val="auto"/>
              </w:rPr>
            </w:pPr>
          </w:p>
        </w:tc>
        <w:tc>
          <w:tcPr>
            <w:tcW w:w="94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4"/>
                <w:szCs w:val="14"/>
                <w:b w:val="1"/>
                <w:bCs w:val="1"/>
                <w:color w:val="FFFFFF"/>
              </w:rPr>
              <w:t>Audit</w:t>
            </w:r>
          </w:p>
        </w:tc>
        <w:tc>
          <w:tcPr>
            <w:tcW w:w="1040" w:type="dxa"/>
            <w:vAlign w:val="bottom"/>
            <w:tcBorders>
              <w:right w:val="single" w:sz="8" w:color="auto"/>
            </w:tcBorders>
            <w:shd w:val="clear" w:color="auto" w:fill="0075C9"/>
          </w:tcPr>
          <w:p>
            <w:pPr>
              <w:ind w:left="20"/>
              <w:spacing w:after="0"/>
              <w:rPr>
                <w:sz w:val="20"/>
                <w:szCs w:val="20"/>
                <w:color w:val="auto"/>
              </w:rPr>
            </w:pPr>
            <w:r>
              <w:rPr>
                <w:rFonts w:ascii="Arial" w:cs="Arial" w:eastAsia="Arial" w:hAnsi="Arial"/>
                <w:sz w:val="14"/>
                <w:szCs w:val="14"/>
                <w:b w:val="1"/>
                <w:bCs w:val="1"/>
                <w:color w:val="FFFFFF"/>
              </w:rPr>
              <w:t>  Governance</w:t>
            </w:r>
          </w:p>
        </w:tc>
        <w:tc>
          <w:tcPr>
            <w:tcW w:w="120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4"/>
                <w:szCs w:val="14"/>
                <w:b w:val="1"/>
                <w:bCs w:val="1"/>
                <w:color w:val="FFFFFF"/>
              </w:rPr>
              <w:t>Development</w:t>
            </w:r>
          </w:p>
        </w:tc>
        <w:tc>
          <w:tcPr>
            <w:tcW w:w="108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4"/>
                <w:szCs w:val="14"/>
                <w:b w:val="1"/>
                <w:bCs w:val="1"/>
                <w:color w:val="FFFFFF"/>
              </w:rPr>
              <w:t>Company</w:t>
            </w:r>
          </w:p>
        </w:tc>
      </w:tr>
      <w:tr>
        <w:trPr>
          <w:trHeight w:val="185"/>
        </w:trPr>
        <w:tc>
          <w:tcPr>
            <w:tcW w:w="4000" w:type="dxa"/>
            <w:vAlign w:val="bottom"/>
            <w:tcBorders>
              <w:left w:val="single" w:sz="8" w:color="auto"/>
              <w:bottom w:val="single" w:sz="8" w:color="auto"/>
              <w:right w:val="single" w:sz="8" w:color="auto"/>
            </w:tcBorders>
            <w:shd w:val="clear" w:color="auto" w:fill="0075C9"/>
          </w:tcPr>
          <w:p>
            <w:pPr>
              <w:ind w:left="920"/>
              <w:spacing w:after="0"/>
              <w:rPr>
                <w:sz w:val="20"/>
                <w:szCs w:val="20"/>
                <w:color w:val="auto"/>
              </w:rPr>
            </w:pPr>
            <w:r>
              <w:rPr>
                <w:rFonts w:ascii="Arial" w:cs="Arial" w:eastAsia="Arial" w:hAnsi="Arial"/>
                <w:sz w:val="14"/>
                <w:szCs w:val="14"/>
                <w:b w:val="1"/>
                <w:bCs w:val="1"/>
                <w:color w:val="FFFFFF"/>
              </w:rPr>
              <w:t>Nominees to the Board                </w:t>
            </w:r>
          </w:p>
        </w:tc>
        <w:tc>
          <w:tcPr>
            <w:tcW w:w="1060" w:type="dxa"/>
            <w:vAlign w:val="bottom"/>
            <w:tcBorders>
              <w:bottom w:val="single" w:sz="8" w:color="auto"/>
              <w:right w:val="single" w:sz="8" w:color="auto"/>
            </w:tcBorders>
            <w:shd w:val="clear" w:color="auto" w:fill="0075C9"/>
          </w:tcPr>
          <w:p>
            <w:pPr>
              <w:ind w:left="20"/>
              <w:spacing w:after="0"/>
              <w:rPr>
                <w:sz w:val="20"/>
                <w:szCs w:val="20"/>
                <w:color w:val="auto"/>
              </w:rPr>
            </w:pPr>
            <w:r>
              <w:rPr>
                <w:rFonts w:ascii="Arial" w:cs="Arial" w:eastAsia="Arial" w:hAnsi="Arial"/>
                <w:sz w:val="14"/>
                <w:szCs w:val="14"/>
                <w:b w:val="1"/>
                <w:bCs w:val="1"/>
                <w:color w:val="FFFFFF"/>
                <w:w w:val="97"/>
              </w:rPr>
              <w:t>  Independent </w:t>
            </w:r>
          </w:p>
        </w:tc>
        <w:tc>
          <w:tcPr>
            <w:tcW w:w="540" w:type="dxa"/>
            <w:vAlign w:val="bottom"/>
            <w:tcBorders>
              <w:bottom w:val="single" w:sz="8" w:color="auto"/>
              <w:right w:val="single" w:sz="8" w:color="auto"/>
            </w:tcBorders>
            <w:shd w:val="clear" w:color="auto" w:fill="0075C9"/>
          </w:tcPr>
          <w:p>
            <w:pPr>
              <w:jc w:val="right"/>
              <w:ind w:right="8"/>
              <w:spacing w:after="0"/>
              <w:rPr>
                <w:sz w:val="20"/>
                <w:szCs w:val="20"/>
                <w:color w:val="auto"/>
              </w:rPr>
            </w:pPr>
            <w:r>
              <w:rPr>
                <w:rFonts w:ascii="Arial" w:cs="Arial" w:eastAsia="Arial" w:hAnsi="Arial"/>
                <w:sz w:val="14"/>
                <w:szCs w:val="14"/>
                <w:b w:val="1"/>
                <w:bCs w:val="1"/>
                <w:color w:val="FFFFFF"/>
              </w:rPr>
              <w:t xml:space="preserve">  Age* </w:t>
            </w:r>
          </w:p>
        </w:tc>
        <w:tc>
          <w:tcPr>
            <w:tcW w:w="1180" w:type="dxa"/>
            <w:vAlign w:val="bottom"/>
            <w:tcBorders>
              <w:bottom w:val="single" w:sz="8" w:color="auto"/>
              <w:right w:val="single" w:sz="8" w:color="auto"/>
            </w:tcBorders>
            <w:shd w:val="clear" w:color="auto" w:fill="0075C9"/>
          </w:tcPr>
          <w:p>
            <w:pPr>
              <w:jc w:val="right"/>
              <w:ind w:right="28"/>
              <w:spacing w:after="0"/>
              <w:rPr>
                <w:sz w:val="20"/>
                <w:szCs w:val="20"/>
                <w:color w:val="auto"/>
              </w:rPr>
            </w:pPr>
            <w:r>
              <w:rPr>
                <w:rFonts w:ascii="Arial" w:cs="Arial" w:eastAsia="Arial" w:hAnsi="Arial"/>
                <w:sz w:val="14"/>
                <w:szCs w:val="14"/>
                <w:b w:val="1"/>
                <w:bCs w:val="1"/>
                <w:color w:val="FFFFFF"/>
                <w:w w:val="99"/>
              </w:rPr>
              <w:t>  Director Since</w:t>
            </w:r>
          </w:p>
        </w:tc>
        <w:tc>
          <w:tcPr>
            <w:tcW w:w="940" w:type="dxa"/>
            <w:vAlign w:val="bottom"/>
            <w:tcBorders>
              <w:bottom w:val="single" w:sz="8" w:color="auto"/>
              <w:right w:val="single" w:sz="8" w:color="auto"/>
            </w:tcBorders>
            <w:shd w:val="clear" w:color="auto" w:fill="0075C9"/>
          </w:tcPr>
          <w:p>
            <w:pPr>
              <w:ind w:left="20"/>
              <w:spacing w:after="0"/>
              <w:rPr>
                <w:sz w:val="20"/>
                <w:szCs w:val="20"/>
                <w:color w:val="auto"/>
              </w:rPr>
            </w:pPr>
            <w:r>
              <w:rPr>
                <w:rFonts w:ascii="Arial" w:cs="Arial" w:eastAsia="Arial" w:hAnsi="Arial"/>
                <w:sz w:val="14"/>
                <w:szCs w:val="14"/>
                <w:b w:val="1"/>
                <w:bCs w:val="1"/>
                <w:color w:val="FFFFFF"/>
              </w:rPr>
              <w:t>  Committee</w:t>
            </w:r>
          </w:p>
        </w:tc>
        <w:tc>
          <w:tcPr>
            <w:tcW w:w="1040" w:type="dxa"/>
            <w:vAlign w:val="bottom"/>
            <w:tcBorders>
              <w:bottom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4"/>
                <w:szCs w:val="14"/>
                <w:b w:val="1"/>
                <w:bCs w:val="1"/>
                <w:color w:val="FFFFFF"/>
              </w:rPr>
              <w:t>Committee</w:t>
            </w:r>
          </w:p>
        </w:tc>
        <w:tc>
          <w:tcPr>
            <w:tcW w:w="1200" w:type="dxa"/>
            <w:vAlign w:val="bottom"/>
            <w:tcBorders>
              <w:bottom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4"/>
                <w:szCs w:val="14"/>
                <w:b w:val="1"/>
                <w:bCs w:val="1"/>
                <w:color w:val="FFFFFF"/>
              </w:rPr>
              <w:t>Committee</w:t>
            </w:r>
          </w:p>
        </w:tc>
        <w:tc>
          <w:tcPr>
            <w:tcW w:w="1080" w:type="dxa"/>
            <w:vAlign w:val="bottom"/>
            <w:tcBorders>
              <w:bottom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4"/>
                <w:szCs w:val="14"/>
                <w:b w:val="1"/>
                <w:bCs w:val="1"/>
                <w:color w:val="FFFFFF"/>
                <w:w w:val="99"/>
              </w:rPr>
              <w:t>Boards</w:t>
            </w:r>
          </w:p>
        </w:tc>
      </w:tr>
      <w:tr>
        <w:trPr>
          <w:trHeight w:val="268"/>
        </w:trPr>
        <w:tc>
          <w:tcPr>
            <w:tcW w:w="4000" w:type="dxa"/>
            <w:vAlign w:val="bottom"/>
            <w:tcBorders>
              <w:left w:val="single" w:sz="8" w:color="auto"/>
              <w:bottom w:val="single" w:sz="8" w:color="B2D5EE"/>
              <w:right w:val="single" w:sz="8" w:color="auto"/>
            </w:tcBorders>
            <w:shd w:val="clear" w:color="auto" w:fill="B2D5EE"/>
          </w:tcPr>
          <w:p>
            <w:pPr>
              <w:ind w:left="160"/>
              <w:spacing w:after="0"/>
              <w:rPr>
                <w:sz w:val="20"/>
                <w:szCs w:val="20"/>
                <w:color w:val="auto"/>
              </w:rPr>
            </w:pPr>
            <w:r>
              <w:rPr>
                <w:rFonts w:ascii="Arial" w:cs="Arial" w:eastAsia="Arial" w:hAnsi="Arial"/>
                <w:sz w:val="14"/>
                <w:szCs w:val="14"/>
                <w:color w:val="auto"/>
              </w:rPr>
              <w:t>Maria C. Freire**</w:t>
            </w:r>
          </w:p>
        </w:tc>
        <w:tc>
          <w:tcPr>
            <w:tcW w:w="1060" w:type="dxa"/>
            <w:vAlign w:val="bottom"/>
            <w:tcBorders>
              <w:bottom w:val="single" w:sz="8" w:color="B2D5EE"/>
              <w:right w:val="single" w:sz="8" w:color="auto"/>
            </w:tcBorders>
            <w:shd w:val="clear" w:color="auto" w:fill="B2D5EE"/>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Borders>
              <w:bottom w:val="single" w:sz="8" w:color="B2D5EE"/>
              <w:right w:val="single" w:sz="8" w:color="auto"/>
            </w:tcBorders>
            <w:shd w:val="clear" w:color="auto" w:fill="B2D5EE"/>
          </w:tcPr>
          <w:p>
            <w:pPr>
              <w:jc w:val="right"/>
              <w:ind w:right="48"/>
              <w:spacing w:after="0"/>
              <w:rPr>
                <w:sz w:val="20"/>
                <w:szCs w:val="20"/>
                <w:color w:val="auto"/>
              </w:rPr>
            </w:pPr>
            <w:r>
              <w:rPr>
                <w:rFonts w:ascii="Arial" w:cs="Arial" w:eastAsia="Arial" w:hAnsi="Arial"/>
                <w:sz w:val="14"/>
                <w:szCs w:val="14"/>
                <w:color w:val="auto"/>
              </w:rPr>
              <w:t>71</w:t>
            </w:r>
          </w:p>
        </w:tc>
        <w:tc>
          <w:tcPr>
            <w:tcW w:w="1180" w:type="dxa"/>
            <w:vAlign w:val="bottom"/>
            <w:tcBorders>
              <w:bottom w:val="single" w:sz="8" w:color="B2D5EE"/>
              <w:right w:val="single" w:sz="8" w:color="auto"/>
            </w:tcBorders>
            <w:shd w:val="clear" w:color="auto" w:fill="B2D5EE"/>
          </w:tcPr>
          <w:p>
            <w:pPr>
              <w:jc w:val="right"/>
              <w:ind w:right="348"/>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B2D5EE"/>
              <w:right w:val="single" w:sz="8" w:color="auto"/>
            </w:tcBorders>
            <w:shd w:val="clear" w:color="auto" w:fill="B2D5EE"/>
          </w:tcPr>
          <w:p>
            <w:pPr>
              <w:spacing w:after="0"/>
              <w:rPr>
                <w:sz w:val="22"/>
                <w:szCs w:val="22"/>
                <w:color w:val="auto"/>
              </w:rPr>
            </w:pPr>
          </w:p>
        </w:tc>
        <w:tc>
          <w:tcPr>
            <w:tcW w:w="1040" w:type="dxa"/>
            <w:vAlign w:val="bottom"/>
            <w:tcBorders>
              <w:bottom w:val="single" w:sz="8" w:color="B2D5EE"/>
              <w:right w:val="single" w:sz="8" w:color="auto"/>
            </w:tcBorders>
            <w:shd w:val="clear" w:color="auto" w:fill="B2D5EE"/>
          </w:tcPr>
          <w:p>
            <w:pPr>
              <w:ind w:left="500"/>
              <w:spacing w:after="0"/>
              <w:rPr>
                <w:sz w:val="20"/>
                <w:szCs w:val="20"/>
                <w:color w:val="auto"/>
              </w:rPr>
            </w:pPr>
            <w:r>
              <w:rPr>
                <w:rFonts w:ascii="Arial" w:cs="Arial" w:eastAsia="Arial" w:hAnsi="Arial"/>
                <w:sz w:val="14"/>
                <w:szCs w:val="14"/>
                <w:color w:val="auto"/>
              </w:rPr>
              <w:t>M</w:t>
            </w:r>
          </w:p>
        </w:tc>
        <w:tc>
          <w:tcPr>
            <w:tcW w:w="1200" w:type="dxa"/>
            <w:vAlign w:val="bottom"/>
            <w:tcBorders>
              <w:bottom w:val="single" w:sz="8" w:color="B2D5EE"/>
              <w:right w:val="single" w:sz="8" w:color="auto"/>
            </w:tcBorders>
            <w:shd w:val="clear" w:color="auto" w:fill="B2D5EE"/>
          </w:tcPr>
          <w:p>
            <w:pPr>
              <w:ind w:left="600"/>
              <w:spacing w:after="0"/>
              <w:rPr>
                <w:sz w:val="20"/>
                <w:szCs w:val="20"/>
                <w:color w:val="auto"/>
              </w:rPr>
            </w:pPr>
            <w:r>
              <w:rPr>
                <w:rFonts w:ascii="Arial" w:cs="Arial" w:eastAsia="Arial" w:hAnsi="Arial"/>
                <w:sz w:val="14"/>
                <w:szCs w:val="14"/>
                <w:color w:val="auto"/>
              </w:rPr>
              <w:t>M</w:t>
            </w:r>
          </w:p>
        </w:tc>
        <w:tc>
          <w:tcPr>
            <w:tcW w:w="1080" w:type="dxa"/>
            <w:vAlign w:val="bottom"/>
            <w:tcBorders>
              <w:bottom w:val="single" w:sz="8" w:color="B2D5EE"/>
              <w:right w:val="single" w:sz="8" w:color="auto"/>
            </w:tcBorders>
            <w:shd w:val="clear" w:color="auto" w:fill="B2D5EE"/>
          </w:tcPr>
          <w:p>
            <w:pPr>
              <w:jc w:val="center"/>
              <w:ind w:left="8"/>
              <w:spacing w:after="0"/>
              <w:rPr>
                <w:sz w:val="20"/>
                <w:szCs w:val="20"/>
                <w:color w:val="auto"/>
              </w:rPr>
            </w:pPr>
            <w:r>
              <w:rPr>
                <w:rFonts w:ascii="Arial" w:cs="Arial" w:eastAsia="Arial" w:hAnsi="Arial"/>
                <w:sz w:val="14"/>
                <w:szCs w:val="14"/>
                <w:color w:val="auto"/>
              </w:rPr>
              <w:t>2</w:t>
            </w:r>
          </w:p>
        </w:tc>
      </w:tr>
      <w:tr>
        <w:trPr>
          <w:trHeight w:val="235"/>
        </w:trPr>
        <w:tc>
          <w:tcPr>
            <w:tcW w:w="40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William A. Hawkins</w:t>
            </w:r>
          </w:p>
        </w:tc>
        <w:tc>
          <w:tcPr>
            <w:tcW w:w="1060" w:type="dxa"/>
            <w:vAlign w:val="bottom"/>
            <w:tcBorders>
              <w:top w:val="single" w:sz="8" w:color="auto"/>
              <w:right w:val="single" w:sz="8" w:color="auto"/>
            </w:tcBorders>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Borders>
              <w:top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180" w:type="dxa"/>
            <w:vAlign w:val="bottom"/>
            <w:tcBorders>
              <w:top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2019</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w:t>
            </w:r>
          </w:p>
        </w:tc>
        <w:tc>
          <w:tcPr>
            <w:tcW w:w="10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auto"/>
              </w:rPr>
              <w:t>M</w:t>
            </w:r>
          </w:p>
        </w:tc>
        <w:tc>
          <w:tcPr>
            <w:tcW w:w="1200" w:type="dxa"/>
            <w:vAlign w:val="bottom"/>
            <w:tcBorders>
              <w:top w:val="single" w:sz="8" w:color="auto"/>
              <w:right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rPr>
              <w:t>2</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68"/>
        </w:trPr>
        <w:tc>
          <w:tcPr>
            <w:tcW w:w="4000" w:type="dxa"/>
            <w:vAlign w:val="bottom"/>
            <w:tcBorders>
              <w:left w:val="single" w:sz="8" w:color="auto"/>
              <w:bottom w:val="single" w:sz="8" w:color="B2D5EE"/>
              <w:right w:val="single" w:sz="8" w:color="auto"/>
            </w:tcBorders>
            <w:shd w:val="clear" w:color="auto" w:fill="B2D5EE"/>
          </w:tcPr>
          <w:p>
            <w:pPr>
              <w:ind w:left="160"/>
              <w:spacing w:after="0"/>
              <w:rPr>
                <w:sz w:val="20"/>
                <w:szCs w:val="20"/>
                <w:color w:val="auto"/>
              </w:rPr>
            </w:pPr>
            <w:r>
              <w:rPr>
                <w:rFonts w:ascii="Arial" w:cs="Arial" w:eastAsia="Arial" w:hAnsi="Arial"/>
                <w:sz w:val="14"/>
                <w:szCs w:val="14"/>
                <w:color w:val="auto"/>
              </w:rPr>
              <w:t>Susan K. Langer</w:t>
            </w:r>
          </w:p>
        </w:tc>
        <w:tc>
          <w:tcPr>
            <w:tcW w:w="1060" w:type="dxa"/>
            <w:vAlign w:val="bottom"/>
            <w:tcBorders>
              <w:bottom w:val="single" w:sz="8" w:color="B2D5EE"/>
              <w:right w:val="single" w:sz="8" w:color="auto"/>
            </w:tcBorders>
            <w:shd w:val="clear" w:color="auto" w:fill="B2D5EE"/>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Borders>
              <w:bottom w:val="single" w:sz="8" w:color="B2D5EE"/>
              <w:right w:val="single" w:sz="8" w:color="auto"/>
            </w:tcBorders>
            <w:shd w:val="clear" w:color="auto" w:fill="B2D5EE"/>
          </w:tcPr>
          <w:p>
            <w:pPr>
              <w:jc w:val="right"/>
              <w:ind w:right="48"/>
              <w:spacing w:after="0"/>
              <w:rPr>
                <w:sz w:val="20"/>
                <w:szCs w:val="20"/>
                <w:color w:val="auto"/>
              </w:rPr>
            </w:pPr>
            <w:r>
              <w:rPr>
                <w:rFonts w:ascii="Arial" w:cs="Arial" w:eastAsia="Arial" w:hAnsi="Arial"/>
                <w:sz w:val="14"/>
                <w:szCs w:val="14"/>
                <w:color w:val="auto"/>
              </w:rPr>
              <w:t>35</w:t>
            </w:r>
          </w:p>
        </w:tc>
        <w:tc>
          <w:tcPr>
            <w:tcW w:w="1180" w:type="dxa"/>
            <w:vAlign w:val="bottom"/>
            <w:tcBorders>
              <w:bottom w:val="single" w:sz="8" w:color="B2D5EE"/>
              <w:right w:val="single" w:sz="8" w:color="auto"/>
            </w:tcBorders>
            <w:shd w:val="clear" w:color="auto" w:fill="B2D5EE"/>
          </w:tcPr>
          <w:p>
            <w:pPr>
              <w:jc w:val="right"/>
              <w:ind w:right="348"/>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B2D5EE"/>
              <w:right w:val="single" w:sz="8" w:color="auto"/>
            </w:tcBorders>
            <w:shd w:val="clear" w:color="auto" w:fill="B2D5EE"/>
          </w:tcPr>
          <w:p>
            <w:pPr>
              <w:spacing w:after="0"/>
              <w:rPr>
                <w:sz w:val="22"/>
                <w:szCs w:val="22"/>
                <w:color w:val="auto"/>
              </w:rPr>
            </w:pPr>
          </w:p>
        </w:tc>
        <w:tc>
          <w:tcPr>
            <w:tcW w:w="1040" w:type="dxa"/>
            <w:vAlign w:val="bottom"/>
            <w:tcBorders>
              <w:bottom w:val="single" w:sz="8" w:color="B2D5EE"/>
              <w:right w:val="single" w:sz="8" w:color="auto"/>
            </w:tcBorders>
            <w:shd w:val="clear" w:color="auto" w:fill="B2D5EE"/>
          </w:tcPr>
          <w:p>
            <w:pPr>
              <w:spacing w:after="0"/>
              <w:rPr>
                <w:sz w:val="22"/>
                <w:szCs w:val="22"/>
                <w:color w:val="auto"/>
              </w:rPr>
            </w:pPr>
          </w:p>
        </w:tc>
        <w:tc>
          <w:tcPr>
            <w:tcW w:w="1200" w:type="dxa"/>
            <w:vAlign w:val="bottom"/>
            <w:tcBorders>
              <w:bottom w:val="single" w:sz="8" w:color="B2D5EE"/>
              <w:right w:val="single" w:sz="8" w:color="auto"/>
            </w:tcBorders>
            <w:shd w:val="clear" w:color="auto" w:fill="B2D5EE"/>
          </w:tcPr>
          <w:p>
            <w:pPr>
              <w:ind w:left="600"/>
              <w:spacing w:after="0"/>
              <w:rPr>
                <w:sz w:val="20"/>
                <w:szCs w:val="20"/>
                <w:color w:val="auto"/>
              </w:rPr>
            </w:pPr>
            <w:r>
              <w:rPr>
                <w:rFonts w:ascii="Arial" w:cs="Arial" w:eastAsia="Arial" w:hAnsi="Arial"/>
                <w:sz w:val="14"/>
                <w:szCs w:val="14"/>
                <w:color w:val="auto"/>
              </w:rPr>
              <w:t>M</w:t>
            </w:r>
          </w:p>
        </w:tc>
        <w:tc>
          <w:tcPr>
            <w:tcW w:w="1080" w:type="dxa"/>
            <w:vAlign w:val="bottom"/>
            <w:tcBorders>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4"/>
                <w:szCs w:val="14"/>
                <w:color w:val="auto"/>
                <w:w w:val="99"/>
              </w:rPr>
              <w:t>—</w:t>
            </w:r>
          </w:p>
        </w:tc>
      </w:tr>
      <w:tr>
        <w:trPr>
          <w:trHeight w:val="235"/>
        </w:trPr>
        <w:tc>
          <w:tcPr>
            <w:tcW w:w="40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Jesus B. Mantas</w:t>
            </w:r>
          </w:p>
        </w:tc>
        <w:tc>
          <w:tcPr>
            <w:tcW w:w="1060" w:type="dxa"/>
            <w:vAlign w:val="bottom"/>
            <w:tcBorders>
              <w:top w:val="single" w:sz="8" w:color="auto"/>
              <w:right w:val="single" w:sz="8" w:color="auto"/>
            </w:tcBorders>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Borders>
              <w:top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180" w:type="dxa"/>
            <w:vAlign w:val="bottom"/>
            <w:tcBorders>
              <w:top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2019</w:t>
            </w:r>
          </w:p>
        </w:tc>
        <w:tc>
          <w:tcPr>
            <w:tcW w:w="94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20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C</w:t>
            </w:r>
          </w:p>
        </w:tc>
        <w:tc>
          <w:tcPr>
            <w:tcW w:w="1080" w:type="dxa"/>
            <w:vAlign w:val="bottom"/>
            <w:tcBorders>
              <w:top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rPr>
              <w:t>1</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69"/>
        </w:trPr>
        <w:tc>
          <w:tcPr>
            <w:tcW w:w="4000" w:type="dxa"/>
            <w:vAlign w:val="bottom"/>
            <w:tcBorders>
              <w:left w:val="single" w:sz="8" w:color="auto"/>
              <w:bottom w:val="single" w:sz="8" w:color="B2D5EE"/>
              <w:right w:val="single" w:sz="8" w:color="auto"/>
            </w:tcBorders>
            <w:shd w:val="clear" w:color="auto" w:fill="B2D5EE"/>
          </w:tcPr>
          <w:p>
            <w:pPr>
              <w:ind w:left="160"/>
              <w:spacing w:after="0"/>
              <w:rPr>
                <w:sz w:val="20"/>
                <w:szCs w:val="20"/>
                <w:color w:val="auto"/>
              </w:rPr>
            </w:pPr>
            <w:r>
              <w:rPr>
                <w:rFonts w:ascii="Arial" w:cs="Arial" w:eastAsia="Arial" w:hAnsi="Arial"/>
                <w:sz w:val="14"/>
                <w:szCs w:val="14"/>
                <w:color w:val="auto"/>
              </w:rPr>
              <w:t>Lloyd Minor</w:t>
            </w:r>
          </w:p>
        </w:tc>
        <w:tc>
          <w:tcPr>
            <w:tcW w:w="1060" w:type="dxa"/>
            <w:vAlign w:val="bottom"/>
            <w:tcBorders>
              <w:bottom w:val="single" w:sz="8" w:color="B2D5EE"/>
              <w:right w:val="single" w:sz="8" w:color="auto"/>
            </w:tcBorders>
            <w:shd w:val="clear" w:color="auto" w:fill="B2D5EE"/>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Borders>
              <w:bottom w:val="single" w:sz="8" w:color="B2D5EE"/>
              <w:right w:val="single" w:sz="8" w:color="auto"/>
            </w:tcBorders>
            <w:shd w:val="clear" w:color="auto" w:fill="B2D5EE"/>
          </w:tcPr>
          <w:p>
            <w:pPr>
              <w:jc w:val="right"/>
              <w:ind w:right="48"/>
              <w:spacing w:after="0"/>
              <w:rPr>
                <w:sz w:val="20"/>
                <w:szCs w:val="20"/>
                <w:color w:val="auto"/>
              </w:rPr>
            </w:pPr>
            <w:r>
              <w:rPr>
                <w:rFonts w:ascii="Arial" w:cs="Arial" w:eastAsia="Arial" w:hAnsi="Arial"/>
                <w:sz w:val="14"/>
                <w:szCs w:val="14"/>
                <w:color w:val="auto"/>
              </w:rPr>
              <w:t>68</w:t>
            </w:r>
          </w:p>
        </w:tc>
        <w:tc>
          <w:tcPr>
            <w:tcW w:w="1180" w:type="dxa"/>
            <w:vAlign w:val="bottom"/>
            <w:tcBorders>
              <w:bottom w:val="single" w:sz="8" w:color="B2D5EE"/>
              <w:right w:val="single" w:sz="8" w:color="auto"/>
            </w:tcBorders>
            <w:shd w:val="clear" w:color="auto" w:fill="B2D5EE"/>
          </w:tcPr>
          <w:p>
            <w:pPr>
              <w:jc w:val="right"/>
              <w:ind w:right="348"/>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4"/>
                <w:szCs w:val="14"/>
                <w:color w:val="auto"/>
              </w:rPr>
              <w:t>M</w:t>
            </w:r>
          </w:p>
        </w:tc>
        <w:tc>
          <w:tcPr>
            <w:tcW w:w="1040" w:type="dxa"/>
            <w:vAlign w:val="bottom"/>
            <w:tcBorders>
              <w:bottom w:val="single" w:sz="8" w:color="B2D5EE"/>
              <w:right w:val="single" w:sz="8" w:color="auto"/>
            </w:tcBorders>
            <w:shd w:val="clear" w:color="auto" w:fill="B2D5EE"/>
          </w:tcPr>
          <w:p>
            <w:pPr>
              <w:spacing w:after="0"/>
              <w:rPr>
                <w:sz w:val="22"/>
                <w:szCs w:val="22"/>
                <w:color w:val="auto"/>
              </w:rPr>
            </w:pPr>
          </w:p>
        </w:tc>
        <w:tc>
          <w:tcPr>
            <w:tcW w:w="1200" w:type="dxa"/>
            <w:vAlign w:val="bottom"/>
            <w:tcBorders>
              <w:bottom w:val="single" w:sz="8" w:color="B2D5EE"/>
              <w:right w:val="single" w:sz="8" w:color="auto"/>
            </w:tcBorders>
            <w:shd w:val="clear" w:color="auto" w:fill="B2D5EE"/>
          </w:tcPr>
          <w:p>
            <w:pPr>
              <w:spacing w:after="0"/>
              <w:rPr>
                <w:sz w:val="22"/>
                <w:szCs w:val="22"/>
                <w:color w:val="auto"/>
              </w:rPr>
            </w:pPr>
          </w:p>
        </w:tc>
        <w:tc>
          <w:tcPr>
            <w:tcW w:w="1080" w:type="dxa"/>
            <w:vAlign w:val="bottom"/>
            <w:tcBorders>
              <w:bottom w:val="single" w:sz="8" w:color="B2D5EE"/>
              <w:right w:val="single" w:sz="8" w:color="auto"/>
            </w:tcBorders>
            <w:shd w:val="clear" w:color="auto" w:fill="B2D5EE"/>
          </w:tcPr>
          <w:p>
            <w:pPr>
              <w:jc w:val="center"/>
              <w:ind w:left="8"/>
              <w:spacing w:after="0"/>
              <w:rPr>
                <w:sz w:val="20"/>
                <w:szCs w:val="20"/>
                <w:color w:val="auto"/>
              </w:rPr>
            </w:pPr>
            <w:r>
              <w:rPr>
                <w:rFonts w:ascii="Arial" w:cs="Arial" w:eastAsia="Arial" w:hAnsi="Arial"/>
                <w:sz w:val="14"/>
                <w:szCs w:val="14"/>
                <w:color w:val="auto"/>
              </w:rPr>
              <w:t>1</w:t>
            </w:r>
          </w:p>
        </w:tc>
      </w:tr>
      <w:tr>
        <w:trPr>
          <w:trHeight w:val="235"/>
        </w:trPr>
        <w:tc>
          <w:tcPr>
            <w:tcW w:w="40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Menelas Pangalos</w:t>
            </w:r>
          </w:p>
        </w:tc>
        <w:tc>
          <w:tcPr>
            <w:tcW w:w="1060" w:type="dxa"/>
            <w:vAlign w:val="bottom"/>
            <w:tcBorders>
              <w:top w:val="single" w:sz="8" w:color="auto"/>
              <w:right w:val="single" w:sz="8" w:color="auto"/>
            </w:tcBorders>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Borders>
              <w:top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180" w:type="dxa"/>
            <w:vAlign w:val="bottom"/>
            <w:tcBorders>
              <w:top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2025</w:t>
            </w:r>
          </w:p>
        </w:tc>
        <w:tc>
          <w:tcPr>
            <w:tcW w:w="94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20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M</w:t>
            </w:r>
          </w:p>
        </w:tc>
        <w:tc>
          <w:tcPr>
            <w:tcW w:w="1080" w:type="dxa"/>
            <w:vAlign w:val="bottom"/>
            <w:tcBorders>
              <w:top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rPr>
              <w:t>1</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68"/>
        </w:trPr>
        <w:tc>
          <w:tcPr>
            <w:tcW w:w="4000" w:type="dxa"/>
            <w:vAlign w:val="bottom"/>
            <w:tcBorders>
              <w:left w:val="single" w:sz="8" w:color="auto"/>
              <w:bottom w:val="single" w:sz="8" w:color="B2D5EE"/>
              <w:right w:val="single" w:sz="8" w:color="auto"/>
            </w:tcBorders>
            <w:shd w:val="clear" w:color="auto" w:fill="B2D5EE"/>
          </w:tcPr>
          <w:p>
            <w:pPr>
              <w:ind w:left="160"/>
              <w:spacing w:after="0"/>
              <w:rPr>
                <w:sz w:val="20"/>
                <w:szCs w:val="20"/>
                <w:color w:val="auto"/>
              </w:rPr>
            </w:pPr>
            <w:r>
              <w:rPr>
                <w:rFonts w:ascii="Arial" w:cs="Arial" w:eastAsia="Arial" w:hAnsi="Arial"/>
                <w:sz w:val="14"/>
                <w:szCs w:val="14"/>
                <w:color w:val="auto"/>
              </w:rPr>
              <w:t>Monish Patolawala</w:t>
            </w:r>
          </w:p>
        </w:tc>
        <w:tc>
          <w:tcPr>
            <w:tcW w:w="1060" w:type="dxa"/>
            <w:vAlign w:val="bottom"/>
            <w:tcBorders>
              <w:bottom w:val="single" w:sz="8" w:color="B2D5EE"/>
              <w:right w:val="single" w:sz="8" w:color="auto"/>
            </w:tcBorders>
            <w:shd w:val="clear" w:color="auto" w:fill="B2D5EE"/>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Borders>
              <w:bottom w:val="single" w:sz="8" w:color="B2D5EE"/>
              <w:right w:val="single" w:sz="8" w:color="auto"/>
            </w:tcBorders>
            <w:shd w:val="clear" w:color="auto" w:fill="B2D5EE"/>
          </w:tcPr>
          <w:p>
            <w:pPr>
              <w:jc w:val="right"/>
              <w:ind w:right="48"/>
              <w:spacing w:after="0"/>
              <w:rPr>
                <w:sz w:val="20"/>
                <w:szCs w:val="20"/>
                <w:color w:val="auto"/>
              </w:rPr>
            </w:pPr>
            <w:r>
              <w:rPr>
                <w:rFonts w:ascii="Arial" w:cs="Arial" w:eastAsia="Arial" w:hAnsi="Arial"/>
                <w:sz w:val="14"/>
                <w:szCs w:val="14"/>
                <w:color w:val="auto"/>
              </w:rPr>
              <w:t>56</w:t>
            </w:r>
          </w:p>
        </w:tc>
        <w:tc>
          <w:tcPr>
            <w:tcW w:w="1180" w:type="dxa"/>
            <w:vAlign w:val="bottom"/>
            <w:tcBorders>
              <w:bottom w:val="single" w:sz="8" w:color="B2D5EE"/>
              <w:right w:val="single" w:sz="8" w:color="auto"/>
            </w:tcBorders>
            <w:shd w:val="clear" w:color="auto" w:fill="B2D5EE"/>
          </w:tcPr>
          <w:p>
            <w:pPr>
              <w:jc w:val="right"/>
              <w:ind w:right="348"/>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4"/>
                <w:szCs w:val="14"/>
                <w:color w:val="auto"/>
                <w:w w:val="98"/>
              </w:rPr>
              <w:t>C</w:t>
            </w:r>
          </w:p>
        </w:tc>
        <w:tc>
          <w:tcPr>
            <w:tcW w:w="1040" w:type="dxa"/>
            <w:vAlign w:val="bottom"/>
            <w:tcBorders>
              <w:bottom w:val="single" w:sz="8" w:color="B2D5EE"/>
              <w:right w:val="single" w:sz="8" w:color="auto"/>
            </w:tcBorders>
            <w:shd w:val="clear" w:color="auto" w:fill="B2D5EE"/>
          </w:tcPr>
          <w:p>
            <w:pPr>
              <w:spacing w:after="0"/>
              <w:rPr>
                <w:sz w:val="22"/>
                <w:szCs w:val="22"/>
                <w:color w:val="auto"/>
              </w:rPr>
            </w:pPr>
          </w:p>
        </w:tc>
        <w:tc>
          <w:tcPr>
            <w:tcW w:w="1200" w:type="dxa"/>
            <w:vAlign w:val="bottom"/>
            <w:tcBorders>
              <w:bottom w:val="single" w:sz="8" w:color="B2D5EE"/>
              <w:right w:val="single" w:sz="8" w:color="auto"/>
            </w:tcBorders>
            <w:shd w:val="clear" w:color="auto" w:fill="B2D5EE"/>
          </w:tcPr>
          <w:p>
            <w:pPr>
              <w:spacing w:after="0"/>
              <w:rPr>
                <w:sz w:val="22"/>
                <w:szCs w:val="22"/>
                <w:color w:val="auto"/>
              </w:rPr>
            </w:pPr>
          </w:p>
        </w:tc>
        <w:tc>
          <w:tcPr>
            <w:tcW w:w="1080" w:type="dxa"/>
            <w:vAlign w:val="bottom"/>
            <w:tcBorders>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4"/>
                <w:szCs w:val="14"/>
                <w:color w:val="auto"/>
                <w:w w:val="99"/>
              </w:rPr>
              <w:t>—</w:t>
            </w:r>
          </w:p>
        </w:tc>
      </w:tr>
      <w:tr>
        <w:trPr>
          <w:trHeight w:val="235"/>
        </w:trPr>
        <w:tc>
          <w:tcPr>
            <w:tcW w:w="40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Eric K. Rowinsky</w:t>
            </w:r>
          </w:p>
        </w:tc>
        <w:tc>
          <w:tcPr>
            <w:tcW w:w="1060" w:type="dxa"/>
            <w:vAlign w:val="bottom"/>
            <w:tcBorders>
              <w:top w:val="single" w:sz="8" w:color="auto"/>
              <w:right w:val="single" w:sz="8" w:color="auto"/>
            </w:tcBorders>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Borders>
              <w:top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180" w:type="dxa"/>
            <w:vAlign w:val="bottom"/>
            <w:tcBorders>
              <w:top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2010</w:t>
            </w:r>
          </w:p>
        </w:tc>
        <w:tc>
          <w:tcPr>
            <w:tcW w:w="94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auto"/>
              </w:rPr>
              <w:t>M</w:t>
            </w:r>
          </w:p>
        </w:tc>
        <w:tc>
          <w:tcPr>
            <w:tcW w:w="120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M</w:t>
            </w:r>
          </w:p>
        </w:tc>
        <w:tc>
          <w:tcPr>
            <w:tcW w:w="1080" w:type="dxa"/>
            <w:vAlign w:val="bottom"/>
            <w:tcBorders>
              <w:top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rPr>
              <w:t>2</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68"/>
        </w:trPr>
        <w:tc>
          <w:tcPr>
            <w:tcW w:w="4000" w:type="dxa"/>
            <w:vAlign w:val="bottom"/>
            <w:tcBorders>
              <w:left w:val="single" w:sz="8" w:color="auto"/>
              <w:bottom w:val="single" w:sz="8" w:color="B2D5EE"/>
              <w:right w:val="single" w:sz="8" w:color="auto"/>
            </w:tcBorders>
            <w:shd w:val="clear" w:color="auto" w:fill="B2D5EE"/>
          </w:tcPr>
          <w:p>
            <w:pPr>
              <w:ind w:left="160"/>
              <w:spacing w:after="0"/>
              <w:rPr>
                <w:sz w:val="20"/>
                <w:szCs w:val="20"/>
                <w:color w:val="auto"/>
              </w:rPr>
            </w:pPr>
            <w:r>
              <w:rPr>
                <w:rFonts w:ascii="Arial" w:cs="Arial" w:eastAsia="Arial" w:hAnsi="Arial"/>
                <w:sz w:val="14"/>
                <w:szCs w:val="14"/>
                <w:color w:val="auto"/>
              </w:rPr>
              <w:t>Stephen A. Sherwin</w:t>
            </w:r>
          </w:p>
        </w:tc>
        <w:tc>
          <w:tcPr>
            <w:tcW w:w="1060" w:type="dxa"/>
            <w:vAlign w:val="bottom"/>
            <w:tcBorders>
              <w:bottom w:val="single" w:sz="8" w:color="B2D5EE"/>
              <w:right w:val="single" w:sz="8" w:color="auto"/>
            </w:tcBorders>
            <w:shd w:val="clear" w:color="auto" w:fill="B2D5EE"/>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Borders>
              <w:bottom w:val="single" w:sz="8" w:color="B2D5EE"/>
              <w:right w:val="single" w:sz="8" w:color="auto"/>
            </w:tcBorders>
            <w:shd w:val="clear" w:color="auto" w:fill="B2D5EE"/>
          </w:tcPr>
          <w:p>
            <w:pPr>
              <w:jc w:val="right"/>
              <w:ind w:right="48"/>
              <w:spacing w:after="0"/>
              <w:rPr>
                <w:sz w:val="20"/>
                <w:szCs w:val="20"/>
                <w:color w:val="auto"/>
              </w:rPr>
            </w:pPr>
            <w:r>
              <w:rPr>
                <w:rFonts w:ascii="Arial" w:cs="Arial" w:eastAsia="Arial" w:hAnsi="Arial"/>
                <w:sz w:val="14"/>
                <w:szCs w:val="14"/>
                <w:color w:val="auto"/>
              </w:rPr>
              <w:t>77</w:t>
            </w:r>
          </w:p>
        </w:tc>
        <w:tc>
          <w:tcPr>
            <w:tcW w:w="1180" w:type="dxa"/>
            <w:vAlign w:val="bottom"/>
            <w:tcBorders>
              <w:bottom w:val="single" w:sz="8" w:color="B2D5EE"/>
              <w:right w:val="single" w:sz="8" w:color="auto"/>
            </w:tcBorders>
            <w:shd w:val="clear" w:color="auto" w:fill="B2D5EE"/>
          </w:tcPr>
          <w:p>
            <w:pPr>
              <w:jc w:val="right"/>
              <w:ind w:right="348"/>
              <w:spacing w:after="0"/>
              <w:rPr>
                <w:sz w:val="20"/>
                <w:szCs w:val="20"/>
                <w:color w:val="auto"/>
              </w:rPr>
            </w:pPr>
            <w:r>
              <w:rPr>
                <w:rFonts w:ascii="Arial" w:cs="Arial" w:eastAsia="Arial" w:hAnsi="Arial"/>
                <w:sz w:val="14"/>
                <w:szCs w:val="14"/>
                <w:color w:val="auto"/>
              </w:rPr>
              <w:t>2010</w:t>
            </w:r>
          </w:p>
        </w:tc>
        <w:tc>
          <w:tcPr>
            <w:tcW w:w="940" w:type="dxa"/>
            <w:vAlign w:val="bottom"/>
            <w:tcBorders>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4"/>
                <w:szCs w:val="14"/>
                <w:color w:val="auto"/>
              </w:rPr>
              <w:t>M</w:t>
            </w:r>
          </w:p>
        </w:tc>
        <w:tc>
          <w:tcPr>
            <w:tcW w:w="1040" w:type="dxa"/>
            <w:vAlign w:val="bottom"/>
            <w:tcBorders>
              <w:bottom w:val="single" w:sz="8" w:color="B2D5EE"/>
              <w:right w:val="single" w:sz="8" w:color="auto"/>
            </w:tcBorders>
            <w:shd w:val="clear" w:color="auto" w:fill="B2D5EE"/>
          </w:tcPr>
          <w:p>
            <w:pPr>
              <w:spacing w:after="0"/>
              <w:rPr>
                <w:sz w:val="22"/>
                <w:szCs w:val="22"/>
                <w:color w:val="auto"/>
              </w:rPr>
            </w:pPr>
          </w:p>
        </w:tc>
        <w:tc>
          <w:tcPr>
            <w:tcW w:w="1200" w:type="dxa"/>
            <w:vAlign w:val="bottom"/>
            <w:tcBorders>
              <w:bottom w:val="single" w:sz="8" w:color="B2D5EE"/>
              <w:right w:val="single" w:sz="8" w:color="auto"/>
            </w:tcBorders>
            <w:shd w:val="clear" w:color="auto" w:fill="B2D5EE"/>
          </w:tcPr>
          <w:p>
            <w:pPr>
              <w:spacing w:after="0"/>
              <w:rPr>
                <w:sz w:val="22"/>
                <w:szCs w:val="22"/>
                <w:color w:val="auto"/>
              </w:rPr>
            </w:pPr>
          </w:p>
        </w:tc>
        <w:tc>
          <w:tcPr>
            <w:tcW w:w="1080" w:type="dxa"/>
            <w:vAlign w:val="bottom"/>
            <w:tcBorders>
              <w:bottom w:val="single" w:sz="8" w:color="B2D5EE"/>
              <w:right w:val="single" w:sz="8" w:color="auto"/>
            </w:tcBorders>
            <w:shd w:val="clear" w:color="auto" w:fill="B2D5EE"/>
          </w:tcPr>
          <w:p>
            <w:pPr>
              <w:jc w:val="center"/>
              <w:ind w:left="8"/>
              <w:spacing w:after="0"/>
              <w:rPr>
                <w:sz w:val="20"/>
                <w:szCs w:val="20"/>
                <w:color w:val="auto"/>
              </w:rPr>
            </w:pPr>
            <w:r>
              <w:rPr>
                <w:rFonts w:ascii="Arial" w:cs="Arial" w:eastAsia="Arial" w:hAnsi="Arial"/>
                <w:sz w:val="14"/>
                <w:szCs w:val="14"/>
                <w:color w:val="auto"/>
              </w:rPr>
              <w:t>2</w:t>
            </w:r>
          </w:p>
        </w:tc>
      </w:tr>
      <w:tr>
        <w:trPr>
          <w:trHeight w:val="215"/>
        </w:trPr>
        <w:tc>
          <w:tcPr>
            <w:tcW w:w="40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Christopher A. Viehbacher</w:t>
            </w:r>
          </w:p>
        </w:tc>
        <w:tc>
          <w:tcPr>
            <w:tcW w:w="1060" w:type="dxa"/>
            <w:vAlign w:val="bottom"/>
            <w:tcBorders>
              <w:top w:val="single" w:sz="8" w:color="auto"/>
              <w:right w:val="single" w:sz="8" w:color="auto"/>
            </w:tcBorders>
          </w:tcPr>
          <w:p>
            <w:pPr>
              <w:spacing w:after="0"/>
              <w:rPr>
                <w:sz w:val="18"/>
                <w:szCs w:val="18"/>
                <w:color w:val="auto"/>
              </w:rPr>
            </w:pPr>
          </w:p>
        </w:tc>
        <w:tc>
          <w:tcPr>
            <w:tcW w:w="540" w:type="dxa"/>
            <w:vAlign w:val="bottom"/>
            <w:tcBorders>
              <w:top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1180" w:type="dxa"/>
            <w:vAlign w:val="bottom"/>
            <w:tcBorders>
              <w:top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2022</w:t>
            </w:r>
          </w:p>
        </w:tc>
        <w:tc>
          <w:tcPr>
            <w:tcW w:w="94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5"/>
        </w:trPr>
        <w:tc>
          <w:tcPr>
            <w:tcW w:w="4000" w:type="dxa"/>
            <w:vAlign w:val="bottom"/>
            <w:tcBorders>
              <w:left w:val="single" w:sz="8" w:color="auto"/>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Age and Committee memberships are as of April 21, 2026.</w:t>
      </w:r>
    </w:p>
    <w:p>
      <w:pPr>
        <w:spacing w:after="0" w:line="21" w:lineRule="exact"/>
        <w:rPr>
          <w:sz w:val="20"/>
          <w:szCs w:val="20"/>
          <w:color w:val="auto"/>
        </w:rPr>
      </w:pPr>
    </w:p>
    <w:p>
      <w:pPr>
        <w:ind w:left="120" w:right="560" w:hanging="4"/>
        <w:spacing w:after="0" w:line="246" w:lineRule="auto"/>
        <w:tabs>
          <w:tab w:leader="none" w:pos="2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Ms. Dorsa has notified the Board that she is not standing for reelection at the 2026 Annual Meeting. Effective immediately after the 2026 Annual Meeting, Dr. Freire will become Chair of the Board. The Board will appoint a new CGC Chair following the 2026 Annual Meeting.</w:t>
      </w:r>
    </w:p>
    <w:p>
      <w:pPr>
        <w:ind w:left="120"/>
        <w:spacing w:after="0"/>
        <w:rPr>
          <w:rFonts w:ascii="Arial" w:cs="Arial" w:eastAsia="Arial" w:hAnsi="Arial"/>
          <w:sz w:val="16"/>
          <w:szCs w:val="16"/>
          <w:color w:val="auto"/>
        </w:rPr>
      </w:pPr>
      <w:r>
        <w:rPr>
          <w:rFonts w:ascii="Arial" w:cs="Arial" w:eastAsia="Arial" w:hAnsi="Arial"/>
          <w:sz w:val="16"/>
          <w:szCs w:val="16"/>
          <w:color w:val="auto"/>
        </w:rPr>
        <w:t>C – Chair; M – Member</w:t>
      </w:r>
    </w:p>
    <w:p>
      <w:pPr>
        <w:spacing w:after="0" w:line="152" w:lineRule="exact"/>
        <w:rPr>
          <w:sz w:val="20"/>
          <w:szCs w:val="20"/>
          <w:color w:val="auto"/>
        </w:rPr>
      </w:pPr>
    </w:p>
    <w:p>
      <w:pPr>
        <w:ind w:left="8140"/>
        <w:spacing w:after="0"/>
        <w:rPr>
          <w:sz w:val="20"/>
          <w:szCs w:val="20"/>
          <w:color w:val="auto"/>
        </w:rPr>
      </w:pPr>
      <w:r>
        <w:rPr>
          <w:sz w:val="1"/>
          <w:szCs w:val="1"/>
          <w:color w:val="auto"/>
        </w:rPr>
        <w:drawing>
          <wp:inline distT="0" distB="0" distL="0" distR="0">
            <wp:extent cx="420370" cy="1371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100"/>
        <w:spacing w:after="0"/>
        <w:rPr>
          <w:sz w:val="20"/>
          <w:szCs w:val="20"/>
          <w:color w:val="auto"/>
        </w:rPr>
      </w:pPr>
      <w:r>
        <w:rPr>
          <w:rFonts w:ascii="Arial" w:cs="Arial" w:eastAsia="Arial" w:hAnsi="Arial"/>
          <w:sz w:val="19"/>
          <w:szCs w:val="19"/>
          <w:color w:val="0075C9"/>
        </w:rPr>
        <w:t>Proposal 1 — Election of Directors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color w:val="0075C9"/>
        </w:rPr>
        <w:t>Summary of Director Nominee Core Experiences and Skills</w:t>
      </w:r>
    </w:p>
    <w:p>
      <w:pPr>
        <w:spacing w:after="0" w:line="110"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Our Board is comprised of highly qualified leaders in their respective fields, and as a group possesses a deep and broad set of skills, contributions, backgrounds, perspectives and experiences that facilitate strong oversight and strategic direction for a pioneering biotechnology company. Our Board and our CGC believe the skills, contributions, backgrounds and experiences of our directors provide us not only with a wide range, but also the appropriate mix, of perspectives to effectively address our evolving needs and represent the best interests of our stockholders.</w:t>
      </w:r>
    </w:p>
    <w:p>
      <w:pPr>
        <w:spacing w:after="0" w:line="7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following chart summarizes the competencies and background of each director nominee. The details of each nominee’s competencies are included in each nominee’s biography.</w:t>
      </w:r>
    </w:p>
    <w:p>
      <w:pPr>
        <w:spacing w:after="0" w:line="177" w:lineRule="exact"/>
        <w:rPr>
          <w:sz w:val="20"/>
          <w:szCs w:val="20"/>
          <w:color w:val="auto"/>
        </w:rPr>
      </w:pPr>
    </w:p>
    <w:tbl>
      <w:tblPr>
        <w:tblLayout w:type="fixed"/>
        <w:tblInd w:w="130" w:type="dxa"/>
        <w:tblCellMar>
          <w:top w:w="0" w:type="dxa"/>
          <w:left w:w="0" w:type="dxa"/>
          <w:bottom w:w="0" w:type="dxa"/>
          <w:right w:w="0" w:type="dxa"/>
        </w:tblCellMar>
      </w:tblPr>
      <w:tr>
        <w:trPr>
          <w:trHeight w:val="68"/>
        </w:trPr>
        <w:tc>
          <w:tcPr>
            <w:tcW w:w="5500" w:type="dxa"/>
            <w:vAlign w:val="bottom"/>
            <w:tcBorders>
              <w:top w:val="single" w:sz="8" w:color="auto"/>
              <w:left w:val="single" w:sz="8" w:color="auto"/>
            </w:tcBorders>
            <w:vMerge w:val="restart"/>
            <w:shd w:val="clear" w:color="auto" w:fill="0075C9"/>
          </w:tcPr>
          <w:p>
            <w:pPr>
              <w:ind w:left="160"/>
              <w:spacing w:after="0"/>
              <w:rPr>
                <w:sz w:val="20"/>
                <w:szCs w:val="20"/>
                <w:color w:val="auto"/>
              </w:rPr>
            </w:pPr>
            <w:r>
              <w:rPr>
                <w:rFonts w:ascii="Arial" w:cs="Arial" w:eastAsia="Arial" w:hAnsi="Arial"/>
                <w:sz w:val="16"/>
                <w:szCs w:val="16"/>
                <w:b w:val="1"/>
                <w:bCs w:val="1"/>
                <w:color w:val="FFFFFF"/>
              </w:rPr>
              <w:t>Key Skills and Experience</w:t>
            </w:r>
          </w:p>
        </w:tc>
        <w:tc>
          <w:tcPr>
            <w:tcW w:w="220" w:type="dxa"/>
            <w:vAlign w:val="bottom"/>
            <w:tcBorders>
              <w:top w:val="single" w:sz="8" w:color="0075C9"/>
              <w:left w:val="single" w:sz="8" w:color="0075C9"/>
            </w:tcBorders>
            <w:shd w:val="clear" w:color="auto" w:fill="0075C9"/>
          </w:tcPr>
          <w:p>
            <w:pPr>
              <w:spacing w:after="0"/>
              <w:rPr>
                <w:sz w:val="5"/>
                <w:szCs w:val="5"/>
                <w:color w:val="auto"/>
              </w:rPr>
            </w:pPr>
          </w:p>
        </w:tc>
        <w:tc>
          <w:tcPr>
            <w:tcW w:w="34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4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40" w:type="dxa"/>
            <w:vAlign w:val="bottom"/>
            <w:tcBorders>
              <w:top w:val="single" w:sz="8" w:color="0075C9"/>
              <w:right w:val="single" w:sz="8" w:color="0075C9"/>
            </w:tcBorders>
            <w:shd w:val="clear" w:color="auto" w:fill="0075C9"/>
          </w:tcPr>
          <w:p>
            <w:pPr>
              <w:spacing w:after="0"/>
              <w:rPr>
                <w:sz w:val="5"/>
                <w:szCs w:val="5"/>
                <w:color w:val="auto"/>
              </w:rPr>
            </w:pPr>
          </w:p>
        </w:tc>
        <w:tc>
          <w:tcPr>
            <w:tcW w:w="54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4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6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60" w:type="dxa"/>
            <w:vAlign w:val="bottom"/>
            <w:tcBorders>
              <w:top w:val="single" w:sz="8" w:color="0075C9"/>
              <w:right w:val="single" w:sz="8" w:color="0075C9"/>
            </w:tcBorders>
            <w:shd w:val="clear" w:color="auto" w:fill="0075C9"/>
          </w:tcPr>
          <w:p>
            <w:pPr>
              <w:spacing w:after="0"/>
              <w:rPr>
                <w:sz w:val="5"/>
                <w:szCs w:val="5"/>
                <w:color w:val="auto"/>
              </w:rPr>
            </w:pPr>
          </w:p>
        </w:tc>
        <w:tc>
          <w:tcPr>
            <w:tcW w:w="540" w:type="dxa"/>
            <w:vAlign w:val="bottom"/>
            <w:tcBorders>
              <w:top w:val="single" w:sz="8" w:color="0075C9"/>
              <w:right w:val="single" w:sz="8" w:color="0075C9"/>
            </w:tcBorders>
            <w:shd w:val="clear" w:color="auto" w:fill="0075C9"/>
          </w:tcPr>
          <w:p>
            <w:pPr>
              <w:spacing w:after="0"/>
              <w:rPr>
                <w:sz w:val="5"/>
                <w:szCs w:val="5"/>
                <w:color w:val="auto"/>
              </w:rPr>
            </w:pPr>
          </w:p>
        </w:tc>
        <w:tc>
          <w:tcPr>
            <w:tcW w:w="560" w:type="dxa"/>
            <w:vAlign w:val="bottom"/>
            <w:tcBorders>
              <w:top w:val="single" w:sz="8" w:color="0075C9"/>
              <w:right w:val="single" w:sz="8" w:color="0075C9"/>
            </w:tcBorders>
            <w:shd w:val="clear" w:color="auto" w:fill="0075C9"/>
          </w:tcPr>
          <w:p>
            <w:pPr>
              <w:spacing w:after="0"/>
              <w:rPr>
                <w:sz w:val="5"/>
                <w:szCs w:val="5"/>
                <w:color w:val="auto"/>
              </w:rPr>
            </w:pPr>
          </w:p>
        </w:tc>
        <w:tc>
          <w:tcPr>
            <w:tcW w:w="220" w:type="dxa"/>
            <w:vAlign w:val="bottom"/>
            <w:tcBorders>
              <w:top w:val="single" w:sz="8" w:color="0075C9"/>
            </w:tcBorders>
            <w:shd w:val="clear" w:color="auto" w:fill="0075C9"/>
          </w:tcPr>
          <w:p>
            <w:pPr>
              <w:spacing w:after="0"/>
              <w:rPr>
                <w:sz w:val="5"/>
                <w:szCs w:val="5"/>
                <w:color w:val="auto"/>
              </w:rPr>
            </w:pPr>
          </w:p>
        </w:tc>
        <w:tc>
          <w:tcPr>
            <w:tcW w:w="380" w:type="dxa"/>
            <w:vAlign w:val="bottom"/>
            <w:tcBorders>
              <w:top w:val="single" w:sz="8" w:color="0075C9"/>
              <w:right w:val="single" w:sz="8" w:color="auto"/>
            </w:tcBorders>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559"/>
        </w:trPr>
        <w:tc>
          <w:tcPr>
            <w:tcW w:w="5500" w:type="dxa"/>
            <w:vAlign w:val="bottom"/>
            <w:tcBorders>
              <w:left w:val="single" w:sz="8" w:color="auto"/>
            </w:tcBorders>
            <w:vMerge w:val="continue"/>
            <w:shd w:val="clear" w:color="auto" w:fill="0075C9"/>
          </w:tcPr>
          <w:p>
            <w:pPr>
              <w:spacing w:after="0"/>
              <w:rPr>
                <w:sz w:val="24"/>
                <w:szCs w:val="24"/>
                <w:color w:val="auto"/>
              </w:rPr>
            </w:pPr>
          </w:p>
        </w:tc>
        <w:tc>
          <w:tcPr>
            <w:tcW w:w="220" w:type="dxa"/>
            <w:vAlign w:val="bottom"/>
            <w:tcBorders>
              <w:left w:val="single" w:sz="8" w:color="auto"/>
            </w:tcBorders>
            <w:shd w:val="clear" w:color="auto" w:fill="0075C9"/>
          </w:tcPr>
          <w:p>
            <w:pPr>
              <w:spacing w:after="0"/>
              <w:rPr>
                <w:sz w:val="24"/>
                <w:szCs w:val="24"/>
                <w:color w:val="auto"/>
              </w:rPr>
            </w:pPr>
          </w:p>
        </w:tc>
        <w:tc>
          <w:tcPr>
            <w:tcW w:w="34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4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40" w:type="dxa"/>
            <w:vAlign w:val="bottom"/>
            <w:tcBorders>
              <w:right w:val="single" w:sz="8" w:color="auto"/>
            </w:tcBorders>
            <w:shd w:val="clear" w:color="auto" w:fill="0075C9"/>
          </w:tcPr>
          <w:p>
            <w:pPr>
              <w:spacing w:after="0"/>
              <w:rPr>
                <w:sz w:val="24"/>
                <w:szCs w:val="24"/>
                <w:color w:val="auto"/>
              </w:rPr>
            </w:pPr>
          </w:p>
        </w:tc>
        <w:tc>
          <w:tcPr>
            <w:tcW w:w="54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4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6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60" w:type="dxa"/>
            <w:vAlign w:val="bottom"/>
            <w:tcBorders>
              <w:right w:val="single" w:sz="8" w:color="auto"/>
            </w:tcBorders>
            <w:shd w:val="clear" w:color="auto" w:fill="0075C9"/>
          </w:tcPr>
          <w:p>
            <w:pPr>
              <w:spacing w:after="0"/>
              <w:rPr>
                <w:sz w:val="24"/>
                <w:szCs w:val="24"/>
                <w:color w:val="auto"/>
              </w:rPr>
            </w:pPr>
          </w:p>
        </w:tc>
        <w:tc>
          <w:tcPr>
            <w:tcW w:w="540" w:type="dxa"/>
            <w:vAlign w:val="bottom"/>
            <w:tcBorders>
              <w:right w:val="single" w:sz="8" w:color="auto"/>
            </w:tcBorders>
            <w:shd w:val="clear" w:color="auto" w:fill="0075C9"/>
          </w:tcPr>
          <w:p>
            <w:pPr>
              <w:spacing w:after="0"/>
              <w:rPr>
                <w:sz w:val="24"/>
                <w:szCs w:val="24"/>
                <w:color w:val="auto"/>
              </w:rPr>
            </w:pPr>
          </w:p>
        </w:tc>
        <w:tc>
          <w:tcPr>
            <w:tcW w:w="560" w:type="dxa"/>
            <w:vAlign w:val="bottom"/>
            <w:tcBorders>
              <w:right w:val="single" w:sz="8" w:color="auto"/>
            </w:tcBorders>
            <w:shd w:val="clear" w:color="auto" w:fill="0075C9"/>
          </w:tcPr>
          <w:p>
            <w:pPr>
              <w:spacing w:after="0"/>
              <w:rPr>
                <w:sz w:val="24"/>
                <w:szCs w:val="24"/>
                <w:color w:val="auto"/>
              </w:rPr>
            </w:pPr>
          </w:p>
        </w:tc>
        <w:tc>
          <w:tcPr>
            <w:tcW w:w="220" w:type="dxa"/>
            <w:vAlign w:val="bottom"/>
            <w:shd w:val="clear" w:color="auto" w:fill="0075C9"/>
          </w:tcPr>
          <w:p>
            <w:pPr>
              <w:spacing w:after="0"/>
              <w:rPr>
                <w:sz w:val="24"/>
                <w:szCs w:val="24"/>
                <w:color w:val="auto"/>
              </w:rPr>
            </w:pPr>
          </w:p>
        </w:tc>
        <w:tc>
          <w:tcPr>
            <w:tcW w:w="380" w:type="dxa"/>
            <w:vAlign w:val="bottom"/>
            <w:tcBorders>
              <w:right w:val="single" w:sz="8" w:color="auto"/>
            </w:tcBorders>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500" w:type="dxa"/>
            <w:vAlign w:val="bottom"/>
            <w:tcBorders>
              <w:left w:val="single" w:sz="8" w:color="auto"/>
              <w:bottom w:val="single" w:sz="8" w:color="auto"/>
            </w:tcBorders>
            <w:shd w:val="clear" w:color="auto" w:fill="0075C9"/>
          </w:tcPr>
          <w:p>
            <w:pPr>
              <w:spacing w:after="0"/>
              <w:rPr>
                <w:sz w:val="24"/>
                <w:szCs w:val="24"/>
                <w:color w:val="auto"/>
              </w:rPr>
            </w:pPr>
          </w:p>
        </w:tc>
        <w:tc>
          <w:tcPr>
            <w:tcW w:w="220" w:type="dxa"/>
            <w:vAlign w:val="bottom"/>
            <w:tcBorders>
              <w:left w:val="single" w:sz="8" w:color="auto"/>
              <w:bottom w:val="single" w:sz="8" w:color="auto"/>
            </w:tcBorders>
            <w:shd w:val="clear" w:color="auto" w:fill="0075C9"/>
          </w:tcPr>
          <w:p>
            <w:pPr>
              <w:ind w:left="120"/>
              <w:spacing w:after="0"/>
              <w:rPr>
                <w:sz w:val="20"/>
                <w:szCs w:val="20"/>
                <w:color w:val="auto"/>
              </w:rPr>
            </w:pPr>
            <w:r>
              <w:rPr>
                <w:rFonts w:ascii="Arial" w:cs="Arial" w:eastAsia="Arial" w:hAnsi="Arial"/>
                <w:sz w:val="16"/>
                <w:szCs w:val="16"/>
                <w:color w:val="auto"/>
                <w:w w:val="99"/>
              </w:rPr>
              <w:t> </w:t>
            </w:r>
          </w:p>
        </w:tc>
        <w:tc>
          <w:tcPr>
            <w:tcW w:w="34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79"/>
              </w:rPr>
              <w:t xml:space="preserve">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4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79"/>
              </w:rPr>
              <w:t xml:space="preserve">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4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79"/>
              </w:rPr>
              <w:t xml:space="preserve">  </w:t>
            </w:r>
          </w:p>
        </w:tc>
        <w:tc>
          <w:tcPr>
            <w:tcW w:w="540" w:type="dxa"/>
            <w:vAlign w:val="bottom"/>
            <w:tcBorders>
              <w:bottom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4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79"/>
              </w:rPr>
              <w:t xml:space="preserve">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6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95"/>
              </w:rPr>
              <w:t xml:space="preserve">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6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95"/>
              </w:rPr>
              <w:t xml:space="preserve">  </w:t>
            </w:r>
          </w:p>
        </w:tc>
        <w:tc>
          <w:tcPr>
            <w:tcW w:w="540" w:type="dxa"/>
            <w:vAlign w:val="bottom"/>
            <w:tcBorders>
              <w:bottom w:val="single" w:sz="8" w:color="auto"/>
              <w:right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rPr>
              <w:t>      </w:t>
            </w:r>
          </w:p>
        </w:tc>
        <w:tc>
          <w:tcPr>
            <w:tcW w:w="560" w:type="dxa"/>
            <w:vAlign w:val="bottom"/>
            <w:tcBorders>
              <w:bottom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auto"/>
              <w:right w:val="single" w:sz="8" w:color="auto"/>
            </w:tcBorders>
            <w:shd w:val="clear" w:color="auto" w:fill="0075C9"/>
          </w:tcPr>
          <w:p>
            <w:pPr>
              <w:ind w:left="18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9"/>
        </w:trPr>
        <w:tc>
          <w:tcPr>
            <w:tcW w:w="5500" w:type="dxa"/>
            <w:vAlign w:val="bottom"/>
            <w:tcBorders>
              <w:left w:val="single" w:sz="8" w:color="auto"/>
            </w:tcBorders>
            <w:shd w:val="clear" w:color="auto" w:fill="E5F1F9"/>
          </w:tcPr>
          <w:p>
            <w:pPr>
              <w:ind w:left="160"/>
              <w:spacing w:after="0" w:line="169" w:lineRule="exact"/>
              <w:rPr>
                <w:sz w:val="20"/>
                <w:szCs w:val="20"/>
                <w:color w:val="auto"/>
              </w:rPr>
            </w:pPr>
            <w:r>
              <w:rPr>
                <w:rFonts w:ascii="Arial" w:cs="Arial" w:eastAsia="Arial" w:hAnsi="Arial"/>
                <w:sz w:val="16"/>
                <w:szCs w:val="16"/>
                <w:b w:val="1"/>
                <w:bCs w:val="1"/>
                <w:color w:val="auto"/>
              </w:rPr>
              <w:t>Executive Leadership &amp; Business Operations</w:t>
            </w:r>
          </w:p>
        </w:tc>
        <w:tc>
          <w:tcPr>
            <w:tcW w:w="220" w:type="dxa"/>
            <w:vAlign w:val="bottom"/>
            <w:tcBorders>
              <w:left w:val="single" w:sz="8" w:color="auto"/>
            </w:tcBorders>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5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6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60" w:type="dxa"/>
            <w:vAlign w:val="bottom"/>
            <w:tcBorders>
              <w:right w:val="single" w:sz="8" w:color="auto"/>
            </w:tcBorders>
            <w:shd w:val="clear" w:color="auto" w:fill="E5F1F9"/>
          </w:tcPr>
          <w:p>
            <w:pPr>
              <w:spacing w:after="0"/>
              <w:rPr>
                <w:sz w:val="14"/>
                <w:szCs w:val="14"/>
                <w:color w:val="auto"/>
              </w:rPr>
            </w:pPr>
          </w:p>
        </w:tc>
        <w:tc>
          <w:tcPr>
            <w:tcW w:w="540" w:type="dxa"/>
            <w:vAlign w:val="bottom"/>
            <w:tcBorders>
              <w:right w:val="single" w:sz="8" w:color="auto"/>
            </w:tcBorders>
            <w:shd w:val="clear" w:color="auto" w:fill="E5F1F9"/>
          </w:tcPr>
          <w:p>
            <w:pPr>
              <w:spacing w:after="0"/>
              <w:rPr>
                <w:sz w:val="14"/>
                <w:szCs w:val="14"/>
                <w:color w:val="auto"/>
              </w:rPr>
            </w:pPr>
          </w:p>
        </w:tc>
        <w:tc>
          <w:tcPr>
            <w:tcW w:w="560" w:type="dxa"/>
            <w:vAlign w:val="bottom"/>
            <w:tcBorders>
              <w:right w:val="single" w:sz="8" w:color="auto"/>
            </w:tcBorders>
            <w:shd w:val="clear" w:color="auto" w:fill="E5F1F9"/>
          </w:tcPr>
          <w:p>
            <w:pPr>
              <w:spacing w:after="0"/>
              <w:rPr>
                <w:sz w:val="14"/>
                <w:szCs w:val="14"/>
                <w:color w:val="auto"/>
              </w:rPr>
            </w:pPr>
          </w:p>
        </w:tc>
        <w:tc>
          <w:tcPr>
            <w:tcW w:w="220" w:type="dxa"/>
            <w:vAlign w:val="bottom"/>
            <w:shd w:val="clear" w:color="auto" w:fill="E5F1F9"/>
          </w:tcPr>
          <w:p>
            <w:pPr>
              <w:spacing w:after="0"/>
              <w:rPr>
                <w:sz w:val="14"/>
                <w:szCs w:val="14"/>
                <w:color w:val="auto"/>
              </w:rPr>
            </w:pPr>
          </w:p>
        </w:tc>
        <w:tc>
          <w:tcPr>
            <w:tcW w:w="380" w:type="dxa"/>
            <w:vAlign w:val="bottom"/>
            <w:tcBorders>
              <w:right w:val="single" w:sz="8" w:color="auto"/>
            </w:tcBorders>
            <w:shd w:val="clear" w:color="auto" w:fill="E5F1F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Experience serving in a senior leadership role develops skills in core</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560" w:type="dxa"/>
            <w:vAlign w:val="bottom"/>
            <w:tcBorders>
              <w:right w:val="single" w:sz="8" w:color="auto"/>
            </w:tcBorders>
            <w:shd w:val="clear" w:color="auto" w:fill="E5F1F9"/>
          </w:tcPr>
          <w:p>
            <w:pPr>
              <w:spacing w:after="0"/>
              <w:rPr>
                <w:sz w:val="16"/>
                <w:szCs w:val="16"/>
                <w:color w:val="auto"/>
              </w:rPr>
            </w:pP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management areas and provides a valuable practical understanding of the</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vMerge w:val="restart"/>
            <w:shd w:val="clear" w:color="auto" w:fill="E5F1F9"/>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vMerge w:val="restart"/>
            <w:shd w:val="clear" w:color="auto" w:fill="E5F1F9"/>
          </w:tcPr>
          <w:p>
            <w:pPr>
              <w:ind w:left="6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vMerge w:val="restart"/>
            <w:shd w:val="clear" w:color="auto" w:fill="E5F1F9"/>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560" w:type="dxa"/>
            <w:vAlign w:val="bottom"/>
            <w:tcBorders>
              <w:right w:val="single" w:sz="8" w:color="auto"/>
            </w:tcBorders>
            <w:vMerge w:val="restart"/>
            <w:shd w:val="clear" w:color="auto" w:fill="E5F1F9"/>
          </w:tcPr>
          <w:p>
            <w:pPr>
              <w:jc w:val="center"/>
              <w:ind w:left="19"/>
              <w:spacing w:after="0" w:line="161" w:lineRule="exact"/>
              <w:rPr>
                <w:sz w:val="20"/>
                <w:szCs w:val="20"/>
                <w:color w:val="auto"/>
              </w:rPr>
            </w:pPr>
            <w:r>
              <w:rPr>
                <w:rFonts w:ascii="MS PGothic" w:cs="MS PGothic" w:eastAsia="MS PGothic" w:hAnsi="MS PGothic"/>
                <w:sz w:val="16"/>
                <w:szCs w:val="16"/>
                <w:color w:val="0075C9"/>
                <w:w w:val="87"/>
              </w:rPr>
              <w:t>✓</w:t>
            </w: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operations of complex organizations</w:t>
            </w:r>
          </w:p>
        </w:tc>
        <w:tc>
          <w:tcPr>
            <w:tcW w:w="220" w:type="dxa"/>
            <w:vAlign w:val="bottom"/>
            <w:tcBorders>
              <w:left w:val="single" w:sz="8" w:color="auto"/>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5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5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5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20" w:type="dxa"/>
            <w:vAlign w:val="bottom"/>
            <w:tcBorders>
              <w:bottom w:val="single" w:sz="8" w:color="auto"/>
            </w:tcBorders>
            <w:shd w:val="clear" w:color="auto" w:fill="E5F1F9"/>
          </w:tcPr>
          <w:p>
            <w:pPr>
              <w:spacing w:after="0"/>
              <w:rPr>
                <w:sz w:val="20"/>
                <w:szCs w:val="20"/>
                <w:color w:val="auto"/>
              </w:rPr>
            </w:pPr>
          </w:p>
        </w:tc>
        <w:tc>
          <w:tcPr>
            <w:tcW w:w="38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left w:val="single" w:sz="8" w:color="auto"/>
            </w:tcBorders>
          </w:tcPr>
          <w:p>
            <w:pPr>
              <w:ind w:left="160"/>
              <w:spacing w:after="0" w:line="172" w:lineRule="exact"/>
              <w:rPr>
                <w:sz w:val="20"/>
                <w:szCs w:val="20"/>
                <w:color w:val="auto"/>
              </w:rPr>
            </w:pPr>
            <w:r>
              <w:rPr>
                <w:rFonts w:ascii="Arial" w:cs="Arial" w:eastAsia="Arial" w:hAnsi="Arial"/>
                <w:sz w:val="16"/>
                <w:szCs w:val="16"/>
                <w:b w:val="1"/>
                <w:bCs w:val="1"/>
                <w:color w:val="auto"/>
              </w:rPr>
              <w:t>Commercial</w:t>
            </w:r>
          </w:p>
        </w:tc>
        <w:tc>
          <w:tcPr>
            <w:tcW w:w="22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Knowledge of creating and sustaining revenue streams facilitates</w:t>
            </w:r>
          </w:p>
        </w:tc>
        <w:tc>
          <w:tcPr>
            <w:tcW w:w="220" w:type="dxa"/>
            <w:vAlign w:val="bottom"/>
            <w:tcBorders>
              <w:left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vMerge w:val="restart"/>
          </w:tcPr>
          <w:p>
            <w:pPr>
              <w:ind w:left="6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6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oversight of efficient and robust revenue generation</w:t>
            </w:r>
          </w:p>
        </w:tc>
        <w:tc>
          <w:tcPr>
            <w:tcW w:w="22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5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vMerge w:val="continue"/>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left w:val="single" w:sz="8" w:color="auto"/>
            </w:tcBorders>
            <w:shd w:val="clear" w:color="auto" w:fill="E5F1F9"/>
          </w:tcPr>
          <w:p>
            <w:pPr>
              <w:ind w:left="160"/>
              <w:spacing w:after="0" w:line="172" w:lineRule="exact"/>
              <w:rPr>
                <w:sz w:val="20"/>
                <w:szCs w:val="20"/>
                <w:color w:val="auto"/>
              </w:rPr>
            </w:pPr>
            <w:r>
              <w:rPr>
                <w:rFonts w:ascii="Arial" w:cs="Arial" w:eastAsia="Arial" w:hAnsi="Arial"/>
                <w:sz w:val="16"/>
                <w:szCs w:val="16"/>
                <w:b w:val="1"/>
                <w:bCs w:val="1"/>
                <w:color w:val="auto"/>
              </w:rPr>
              <w:t>Cybersecurity/Information Technology/AI</w:t>
            </w:r>
          </w:p>
        </w:tc>
        <w:tc>
          <w:tcPr>
            <w:tcW w:w="220" w:type="dxa"/>
            <w:vAlign w:val="bottom"/>
            <w:tcBorders>
              <w:left w:val="single" w:sz="8" w:color="auto"/>
            </w:tcBorders>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5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6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60" w:type="dxa"/>
            <w:vAlign w:val="bottom"/>
            <w:tcBorders>
              <w:right w:val="single" w:sz="8" w:color="auto"/>
            </w:tcBorders>
            <w:shd w:val="clear" w:color="auto" w:fill="E5F1F9"/>
          </w:tcPr>
          <w:p>
            <w:pPr>
              <w:spacing w:after="0"/>
              <w:rPr>
                <w:sz w:val="14"/>
                <w:szCs w:val="14"/>
                <w:color w:val="auto"/>
              </w:rPr>
            </w:pPr>
          </w:p>
        </w:tc>
        <w:tc>
          <w:tcPr>
            <w:tcW w:w="540" w:type="dxa"/>
            <w:vAlign w:val="bottom"/>
            <w:tcBorders>
              <w:right w:val="single" w:sz="8" w:color="auto"/>
            </w:tcBorders>
            <w:shd w:val="clear" w:color="auto" w:fill="E5F1F9"/>
          </w:tcPr>
          <w:p>
            <w:pPr>
              <w:spacing w:after="0"/>
              <w:rPr>
                <w:sz w:val="14"/>
                <w:szCs w:val="14"/>
                <w:color w:val="auto"/>
              </w:rPr>
            </w:pPr>
          </w:p>
        </w:tc>
        <w:tc>
          <w:tcPr>
            <w:tcW w:w="560" w:type="dxa"/>
            <w:vAlign w:val="bottom"/>
            <w:tcBorders>
              <w:right w:val="single" w:sz="8" w:color="auto"/>
            </w:tcBorders>
            <w:shd w:val="clear" w:color="auto" w:fill="E5F1F9"/>
          </w:tcPr>
          <w:p>
            <w:pPr>
              <w:spacing w:after="0"/>
              <w:rPr>
                <w:sz w:val="14"/>
                <w:szCs w:val="14"/>
                <w:color w:val="auto"/>
              </w:rPr>
            </w:pPr>
          </w:p>
        </w:tc>
        <w:tc>
          <w:tcPr>
            <w:tcW w:w="220" w:type="dxa"/>
            <w:vAlign w:val="bottom"/>
            <w:shd w:val="clear" w:color="auto" w:fill="E5F1F9"/>
          </w:tcPr>
          <w:p>
            <w:pPr>
              <w:spacing w:after="0"/>
              <w:rPr>
                <w:sz w:val="14"/>
                <w:szCs w:val="14"/>
                <w:color w:val="auto"/>
              </w:rPr>
            </w:pPr>
          </w:p>
        </w:tc>
        <w:tc>
          <w:tcPr>
            <w:tcW w:w="380" w:type="dxa"/>
            <w:vAlign w:val="bottom"/>
            <w:tcBorders>
              <w:right w:val="single" w:sz="8" w:color="auto"/>
            </w:tcBorders>
            <w:shd w:val="clear" w:color="auto" w:fill="E5F1F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Experience understanding and overseeing information technology and</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560" w:type="dxa"/>
            <w:vAlign w:val="bottom"/>
            <w:tcBorders>
              <w:right w:val="single" w:sz="8" w:color="auto"/>
            </w:tcBorders>
            <w:shd w:val="clear" w:color="auto" w:fill="E5F1F9"/>
          </w:tcPr>
          <w:p>
            <w:pPr>
              <w:spacing w:after="0"/>
              <w:rPr>
                <w:sz w:val="16"/>
                <w:szCs w:val="16"/>
                <w:color w:val="auto"/>
              </w:rPr>
            </w:pP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cybersecurity matters is critical to mitigating risks to our business and to</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560" w:type="dxa"/>
            <w:vAlign w:val="bottom"/>
            <w:tcBorders>
              <w:right w:val="single" w:sz="8" w:color="auto"/>
            </w:tcBorders>
            <w:shd w:val="clear" w:color="auto" w:fill="E5F1F9"/>
          </w:tcPr>
          <w:p>
            <w:pPr>
              <w:spacing w:after="0"/>
              <w:rPr>
                <w:sz w:val="16"/>
                <w:szCs w:val="16"/>
                <w:color w:val="auto"/>
              </w:rPr>
            </w:pP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Board oversight of Biogen’s actions to address innovation and</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vMerge w:val="restart"/>
            <w:shd w:val="clear" w:color="auto" w:fill="E5F1F9"/>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shd w:val="clear" w:color="auto" w:fill="E5F1F9"/>
          </w:tcPr>
          <w:p>
            <w:pPr>
              <w:spacing w:after="0"/>
              <w:rPr>
                <w:sz w:val="16"/>
                <w:szCs w:val="16"/>
                <w:color w:val="auto"/>
              </w:rPr>
            </w:pPr>
          </w:p>
        </w:tc>
        <w:tc>
          <w:tcPr>
            <w:tcW w:w="560" w:type="dxa"/>
            <w:vAlign w:val="bottom"/>
            <w:tcBorders>
              <w:right w:val="single" w:sz="8" w:color="auto"/>
            </w:tcBorders>
            <w:shd w:val="clear" w:color="auto" w:fill="E5F1F9"/>
          </w:tcPr>
          <w:p>
            <w:pPr>
              <w:spacing w:after="0"/>
              <w:rPr>
                <w:sz w:val="16"/>
                <w:szCs w:val="16"/>
                <w:color w:val="auto"/>
              </w:rPr>
            </w:pP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competitiveness in a rapidly evolving technological age</w:t>
            </w:r>
          </w:p>
        </w:tc>
        <w:tc>
          <w:tcPr>
            <w:tcW w:w="220" w:type="dxa"/>
            <w:vAlign w:val="bottom"/>
            <w:tcBorders>
              <w:left w:val="single" w:sz="8" w:color="auto"/>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shd w:val="clear" w:color="auto" w:fill="E5F1F9"/>
          </w:tcPr>
          <w:p>
            <w:pPr>
              <w:spacing w:after="0"/>
              <w:rPr>
                <w:sz w:val="20"/>
                <w:szCs w:val="20"/>
                <w:color w:val="auto"/>
              </w:rPr>
            </w:pPr>
          </w:p>
        </w:tc>
        <w:tc>
          <w:tcPr>
            <w:tcW w:w="5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60" w:type="dxa"/>
            <w:vAlign w:val="bottom"/>
            <w:tcBorders>
              <w:bottom w:val="single" w:sz="8" w:color="auto"/>
              <w:right w:val="single" w:sz="8" w:color="auto"/>
            </w:tcBorders>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540" w:type="dxa"/>
            <w:vAlign w:val="bottom"/>
            <w:tcBorders>
              <w:bottom w:val="single" w:sz="8" w:color="auto"/>
              <w:right w:val="single" w:sz="8" w:color="auto"/>
            </w:tcBorders>
            <w:shd w:val="clear" w:color="auto" w:fill="E5F1F9"/>
          </w:tcPr>
          <w:p>
            <w:pPr>
              <w:spacing w:after="0"/>
              <w:rPr>
                <w:sz w:val="20"/>
                <w:szCs w:val="20"/>
                <w:color w:val="auto"/>
              </w:rPr>
            </w:pPr>
          </w:p>
        </w:tc>
        <w:tc>
          <w:tcPr>
            <w:tcW w:w="560" w:type="dxa"/>
            <w:vAlign w:val="bottom"/>
            <w:tcBorders>
              <w:bottom w:val="single" w:sz="8" w:color="auto"/>
              <w:right w:val="single" w:sz="8" w:color="auto"/>
            </w:tcBorders>
            <w:shd w:val="clear" w:color="auto" w:fill="E5F1F9"/>
          </w:tcPr>
          <w:p>
            <w:pPr>
              <w:spacing w:after="0"/>
              <w:rPr>
                <w:sz w:val="20"/>
                <w:szCs w:val="20"/>
                <w:color w:val="auto"/>
              </w:rPr>
            </w:pPr>
          </w:p>
        </w:tc>
        <w:tc>
          <w:tcPr>
            <w:tcW w:w="220" w:type="dxa"/>
            <w:vAlign w:val="bottom"/>
            <w:tcBorders>
              <w:bottom w:val="single" w:sz="8" w:color="auto"/>
            </w:tcBorders>
            <w:shd w:val="clear" w:color="auto" w:fill="E5F1F9"/>
          </w:tcPr>
          <w:p>
            <w:pPr>
              <w:spacing w:after="0"/>
              <w:rPr>
                <w:sz w:val="20"/>
                <w:szCs w:val="20"/>
                <w:color w:val="auto"/>
              </w:rPr>
            </w:pPr>
          </w:p>
        </w:tc>
        <w:tc>
          <w:tcPr>
            <w:tcW w:w="380" w:type="dxa"/>
            <w:vAlign w:val="bottom"/>
            <w:tcBorders>
              <w:bottom w:val="single" w:sz="8" w:color="auto"/>
              <w:right w:val="single" w:sz="8" w:color="auto"/>
            </w:tcBorders>
            <w:shd w:val="clear" w:color="auto" w:fill="E5F1F9"/>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left w:val="single" w:sz="8" w:color="auto"/>
            </w:tcBorders>
          </w:tcPr>
          <w:p>
            <w:pPr>
              <w:ind w:left="160"/>
              <w:spacing w:after="0" w:line="172" w:lineRule="exact"/>
              <w:rPr>
                <w:sz w:val="20"/>
                <w:szCs w:val="20"/>
                <w:color w:val="auto"/>
              </w:rPr>
            </w:pPr>
            <w:r>
              <w:rPr>
                <w:rFonts w:ascii="Arial" w:cs="Arial" w:eastAsia="Arial" w:hAnsi="Arial"/>
                <w:sz w:val="16"/>
                <w:szCs w:val="16"/>
                <w:b w:val="1"/>
                <w:bCs w:val="1"/>
                <w:color w:val="auto"/>
              </w:rPr>
              <w:t>Drug Development</w:t>
            </w:r>
          </w:p>
        </w:tc>
        <w:tc>
          <w:tcPr>
            <w:tcW w:w="22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Expertise of drug development increases successful navigation of the</w:t>
            </w:r>
          </w:p>
        </w:tc>
        <w:tc>
          <w:tcPr>
            <w:tcW w:w="220" w:type="dxa"/>
            <w:vAlign w:val="bottom"/>
            <w:tcBorders>
              <w:left w:val="single" w:sz="8" w:color="auto"/>
            </w:tcBorders>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60" w:type="dxa"/>
            <w:vAlign w:val="bottom"/>
            <w:tcBorders>
              <w:right w:val="single" w:sz="8" w:color="auto"/>
            </w:tcBorders>
            <w:vMerge w:val="restart"/>
          </w:tcPr>
          <w:p>
            <w:pPr>
              <w:ind w:left="6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560" w:type="dxa"/>
            <w:vAlign w:val="bottom"/>
            <w:tcBorders>
              <w:right w:val="single" w:sz="8" w:color="auto"/>
            </w:tcBorders>
            <w:vMerge w:val="restart"/>
          </w:tcPr>
          <w:p>
            <w:pPr>
              <w:jc w:val="center"/>
              <w:ind w:left="19"/>
              <w:spacing w:after="0" w:line="161" w:lineRule="exact"/>
              <w:rPr>
                <w:sz w:val="20"/>
                <w:szCs w:val="20"/>
                <w:color w:val="auto"/>
              </w:rPr>
            </w:pPr>
            <w:r>
              <w:rPr>
                <w:rFonts w:ascii="MS PGothic" w:cs="MS PGothic" w:eastAsia="MS PGothic" w:hAnsi="MS PGothic"/>
                <w:sz w:val="16"/>
                <w:szCs w:val="16"/>
                <w:color w:val="0075C9"/>
                <w:w w:val="87"/>
              </w:rPr>
              <w:t>✓</w:t>
            </w:r>
          </w:p>
        </w:tc>
        <w:tc>
          <w:tcPr>
            <w:tcW w:w="220" w:type="dxa"/>
            <w:vAlign w:val="bottom"/>
          </w:tcPr>
          <w:p>
            <w:pPr>
              <w:spacing w:after="0"/>
              <w:rPr>
                <w:sz w:val="16"/>
                <w:szCs w:val="16"/>
                <w:color w:val="auto"/>
              </w:rPr>
            </w:pPr>
          </w:p>
        </w:tc>
        <w:tc>
          <w:tcPr>
            <w:tcW w:w="38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highly regulated life sciences market</w:t>
            </w:r>
          </w:p>
        </w:tc>
        <w:tc>
          <w:tcPr>
            <w:tcW w:w="22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vMerge w:val="continue"/>
          </w:tcPr>
          <w:p>
            <w:pPr>
              <w:spacing w:after="0"/>
              <w:rPr>
                <w:sz w:val="20"/>
                <w:szCs w:val="20"/>
                <w:color w:val="auto"/>
              </w:rPr>
            </w:pP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left w:val="single" w:sz="8" w:color="auto"/>
            </w:tcBorders>
            <w:shd w:val="clear" w:color="auto" w:fill="E5F1F9"/>
          </w:tcPr>
          <w:p>
            <w:pPr>
              <w:ind w:left="160"/>
              <w:spacing w:after="0" w:line="172" w:lineRule="exact"/>
              <w:rPr>
                <w:sz w:val="20"/>
                <w:szCs w:val="20"/>
                <w:color w:val="auto"/>
              </w:rPr>
            </w:pPr>
            <w:r>
              <w:rPr>
                <w:rFonts w:ascii="Arial" w:cs="Arial" w:eastAsia="Arial" w:hAnsi="Arial"/>
                <w:sz w:val="16"/>
                <w:szCs w:val="16"/>
                <w:b w:val="1"/>
                <w:bCs w:val="1"/>
                <w:color w:val="auto"/>
              </w:rPr>
              <w:t>Healthcare &amp; Pharma Leadership</w:t>
            </w:r>
          </w:p>
        </w:tc>
        <w:tc>
          <w:tcPr>
            <w:tcW w:w="220" w:type="dxa"/>
            <w:vAlign w:val="bottom"/>
            <w:tcBorders>
              <w:left w:val="single" w:sz="8" w:color="auto"/>
            </w:tcBorders>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5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6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60" w:type="dxa"/>
            <w:vAlign w:val="bottom"/>
            <w:tcBorders>
              <w:right w:val="single" w:sz="8" w:color="auto"/>
            </w:tcBorders>
            <w:shd w:val="clear" w:color="auto" w:fill="E5F1F9"/>
          </w:tcPr>
          <w:p>
            <w:pPr>
              <w:spacing w:after="0"/>
              <w:rPr>
                <w:sz w:val="14"/>
                <w:szCs w:val="14"/>
                <w:color w:val="auto"/>
              </w:rPr>
            </w:pPr>
          </w:p>
        </w:tc>
        <w:tc>
          <w:tcPr>
            <w:tcW w:w="540" w:type="dxa"/>
            <w:vAlign w:val="bottom"/>
            <w:tcBorders>
              <w:right w:val="single" w:sz="8" w:color="auto"/>
            </w:tcBorders>
            <w:shd w:val="clear" w:color="auto" w:fill="E5F1F9"/>
          </w:tcPr>
          <w:p>
            <w:pPr>
              <w:spacing w:after="0"/>
              <w:rPr>
                <w:sz w:val="14"/>
                <w:szCs w:val="14"/>
                <w:color w:val="auto"/>
              </w:rPr>
            </w:pPr>
          </w:p>
        </w:tc>
        <w:tc>
          <w:tcPr>
            <w:tcW w:w="560" w:type="dxa"/>
            <w:vAlign w:val="bottom"/>
            <w:tcBorders>
              <w:right w:val="single" w:sz="8" w:color="auto"/>
            </w:tcBorders>
            <w:shd w:val="clear" w:color="auto" w:fill="E5F1F9"/>
          </w:tcPr>
          <w:p>
            <w:pPr>
              <w:spacing w:after="0"/>
              <w:rPr>
                <w:sz w:val="14"/>
                <w:szCs w:val="14"/>
                <w:color w:val="auto"/>
              </w:rPr>
            </w:pPr>
          </w:p>
        </w:tc>
        <w:tc>
          <w:tcPr>
            <w:tcW w:w="220" w:type="dxa"/>
            <w:vAlign w:val="bottom"/>
            <w:shd w:val="clear" w:color="auto" w:fill="E5F1F9"/>
          </w:tcPr>
          <w:p>
            <w:pPr>
              <w:spacing w:after="0"/>
              <w:rPr>
                <w:sz w:val="14"/>
                <w:szCs w:val="14"/>
                <w:color w:val="auto"/>
              </w:rPr>
            </w:pPr>
          </w:p>
        </w:tc>
        <w:tc>
          <w:tcPr>
            <w:tcW w:w="380" w:type="dxa"/>
            <w:vAlign w:val="bottom"/>
            <w:tcBorders>
              <w:right w:val="single" w:sz="8" w:color="auto"/>
            </w:tcBorders>
            <w:shd w:val="clear" w:color="auto" w:fill="E5F1F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Experience as an executive and/or in an operational role at a</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560" w:type="dxa"/>
            <w:vAlign w:val="bottom"/>
            <w:tcBorders>
              <w:right w:val="single" w:sz="8" w:color="auto"/>
            </w:tcBorders>
            <w:shd w:val="clear" w:color="auto" w:fill="E5F1F9"/>
          </w:tcPr>
          <w:p>
            <w:pPr>
              <w:spacing w:after="0"/>
              <w:rPr>
                <w:sz w:val="16"/>
                <w:szCs w:val="16"/>
                <w:color w:val="auto"/>
              </w:rPr>
            </w:pP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pharmaceutical or biotechnology focused organization or company</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560" w:type="dxa"/>
            <w:vAlign w:val="bottom"/>
            <w:tcBorders>
              <w:right w:val="single" w:sz="8" w:color="auto"/>
            </w:tcBorders>
            <w:shd w:val="clear" w:color="auto" w:fill="E5F1F9"/>
          </w:tcPr>
          <w:p>
            <w:pPr>
              <w:spacing w:after="0"/>
              <w:rPr>
                <w:sz w:val="16"/>
                <w:szCs w:val="16"/>
                <w:color w:val="auto"/>
              </w:rPr>
            </w:pP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provides directors with a deep understanding of Biogen’s business and</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vMerge w:val="restart"/>
            <w:shd w:val="clear" w:color="auto" w:fill="E5F1F9"/>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vMerge w:val="restart"/>
            <w:shd w:val="clear" w:color="auto" w:fill="E5F1F9"/>
          </w:tcPr>
          <w:p>
            <w:pPr>
              <w:ind w:left="6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vMerge w:val="restart"/>
            <w:shd w:val="clear" w:color="auto" w:fill="E5F1F9"/>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560" w:type="dxa"/>
            <w:vAlign w:val="bottom"/>
            <w:tcBorders>
              <w:right w:val="single" w:sz="8" w:color="auto"/>
            </w:tcBorders>
            <w:vMerge w:val="restart"/>
            <w:shd w:val="clear" w:color="auto" w:fill="E5F1F9"/>
          </w:tcPr>
          <w:p>
            <w:pPr>
              <w:jc w:val="center"/>
              <w:ind w:left="19"/>
              <w:spacing w:after="0" w:line="161" w:lineRule="exact"/>
              <w:rPr>
                <w:sz w:val="20"/>
                <w:szCs w:val="20"/>
                <w:color w:val="auto"/>
              </w:rPr>
            </w:pPr>
            <w:r>
              <w:rPr>
                <w:rFonts w:ascii="MS PGothic" w:cs="MS PGothic" w:eastAsia="MS PGothic" w:hAnsi="MS PGothic"/>
                <w:sz w:val="16"/>
                <w:szCs w:val="16"/>
                <w:color w:val="0075C9"/>
                <w:w w:val="87"/>
              </w:rPr>
              <w:t>✓</w:t>
            </w: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key strategic and operational considerations</w:t>
            </w:r>
          </w:p>
        </w:tc>
        <w:tc>
          <w:tcPr>
            <w:tcW w:w="220" w:type="dxa"/>
            <w:vAlign w:val="bottom"/>
            <w:tcBorders>
              <w:left w:val="single" w:sz="8" w:color="auto"/>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5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5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5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20" w:type="dxa"/>
            <w:vAlign w:val="bottom"/>
            <w:tcBorders>
              <w:bottom w:val="single" w:sz="8" w:color="auto"/>
            </w:tcBorders>
            <w:shd w:val="clear" w:color="auto" w:fill="E5F1F9"/>
          </w:tcPr>
          <w:p>
            <w:pPr>
              <w:spacing w:after="0"/>
              <w:rPr>
                <w:sz w:val="20"/>
                <w:szCs w:val="20"/>
                <w:color w:val="auto"/>
              </w:rPr>
            </w:pPr>
          </w:p>
        </w:tc>
        <w:tc>
          <w:tcPr>
            <w:tcW w:w="38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left w:val="single" w:sz="8" w:color="auto"/>
            </w:tcBorders>
          </w:tcPr>
          <w:p>
            <w:pPr>
              <w:ind w:left="160"/>
              <w:spacing w:after="0" w:line="172" w:lineRule="exact"/>
              <w:rPr>
                <w:sz w:val="20"/>
                <w:szCs w:val="20"/>
                <w:color w:val="auto"/>
              </w:rPr>
            </w:pPr>
            <w:r>
              <w:rPr>
                <w:rFonts w:ascii="Arial" w:cs="Arial" w:eastAsia="Arial" w:hAnsi="Arial"/>
                <w:sz w:val="16"/>
                <w:szCs w:val="16"/>
                <w:b w:val="1"/>
                <w:bCs w:val="1"/>
                <w:color w:val="auto"/>
              </w:rPr>
              <w:t>Finance and Accounting</w:t>
            </w:r>
          </w:p>
        </w:tc>
        <w:tc>
          <w:tcPr>
            <w:tcW w:w="22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Expertise in finance, capital markets, mergers and acquisitions,</w:t>
            </w:r>
          </w:p>
        </w:tc>
        <w:tc>
          <w:tcPr>
            <w:tcW w:w="220" w:type="dxa"/>
            <w:vAlign w:val="bottom"/>
            <w:tcBorders>
              <w:left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investment management and financial reporting processes enables</w:t>
            </w:r>
          </w:p>
        </w:tc>
        <w:tc>
          <w:tcPr>
            <w:tcW w:w="220" w:type="dxa"/>
            <w:vAlign w:val="bottom"/>
            <w:tcBorders>
              <w:left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directors to effectively monitor and assess Biogen’s operating and</w:t>
            </w:r>
          </w:p>
        </w:tc>
        <w:tc>
          <w:tcPr>
            <w:tcW w:w="220" w:type="dxa"/>
            <w:vAlign w:val="bottom"/>
            <w:tcBorders>
              <w:left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strategic performance and capital allocation decisions, and oversee</w:t>
            </w:r>
          </w:p>
        </w:tc>
        <w:tc>
          <w:tcPr>
            <w:tcW w:w="220" w:type="dxa"/>
            <w:vAlign w:val="bottom"/>
            <w:tcBorders>
              <w:left w:val="single" w:sz="8" w:color="auto"/>
            </w:tcBorders>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vMerge w:val="restart"/>
          </w:tcPr>
          <w:p>
            <w:pPr>
              <w:jc w:val="center"/>
              <w:ind w:left="19"/>
              <w:spacing w:after="0" w:line="161" w:lineRule="exact"/>
              <w:rPr>
                <w:sz w:val="20"/>
                <w:szCs w:val="20"/>
                <w:color w:val="auto"/>
              </w:rPr>
            </w:pPr>
            <w:r>
              <w:rPr>
                <w:rFonts w:ascii="MS PGothic" w:cs="MS PGothic" w:eastAsia="MS PGothic" w:hAnsi="MS PGothic"/>
                <w:sz w:val="16"/>
                <w:szCs w:val="16"/>
                <w:color w:val="0075C9"/>
                <w:w w:val="87"/>
              </w:rPr>
              <w:t>✓</w:t>
            </w:r>
          </w:p>
        </w:tc>
        <w:tc>
          <w:tcPr>
            <w:tcW w:w="220" w:type="dxa"/>
            <w:vAlign w:val="bottom"/>
          </w:tcPr>
          <w:p>
            <w:pPr>
              <w:spacing w:after="0"/>
              <w:rPr>
                <w:sz w:val="16"/>
                <w:szCs w:val="16"/>
                <w:color w:val="auto"/>
              </w:rPr>
            </w:pPr>
          </w:p>
        </w:tc>
        <w:tc>
          <w:tcPr>
            <w:tcW w:w="38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accurate financial reporting and robust controls</w:t>
            </w:r>
          </w:p>
        </w:tc>
        <w:tc>
          <w:tcPr>
            <w:tcW w:w="22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vMerge w:val="continue"/>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left w:val="single" w:sz="8" w:color="auto"/>
            </w:tcBorders>
            <w:shd w:val="clear" w:color="auto" w:fill="E5F1F9"/>
          </w:tcPr>
          <w:p>
            <w:pPr>
              <w:ind w:left="160"/>
              <w:spacing w:after="0" w:line="172" w:lineRule="exact"/>
              <w:rPr>
                <w:sz w:val="20"/>
                <w:szCs w:val="20"/>
                <w:color w:val="auto"/>
              </w:rPr>
            </w:pPr>
            <w:r>
              <w:rPr>
                <w:rFonts w:ascii="Arial" w:cs="Arial" w:eastAsia="Arial" w:hAnsi="Arial"/>
                <w:sz w:val="16"/>
                <w:szCs w:val="16"/>
                <w:b w:val="1"/>
                <w:bCs w:val="1"/>
                <w:color w:val="auto"/>
              </w:rPr>
              <w:t>International Business</w:t>
            </w:r>
          </w:p>
        </w:tc>
        <w:tc>
          <w:tcPr>
            <w:tcW w:w="220" w:type="dxa"/>
            <w:vAlign w:val="bottom"/>
            <w:tcBorders>
              <w:left w:val="single" w:sz="8" w:color="auto"/>
            </w:tcBorders>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5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6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60" w:type="dxa"/>
            <w:vAlign w:val="bottom"/>
            <w:tcBorders>
              <w:right w:val="single" w:sz="8" w:color="auto"/>
            </w:tcBorders>
            <w:shd w:val="clear" w:color="auto" w:fill="E5F1F9"/>
          </w:tcPr>
          <w:p>
            <w:pPr>
              <w:spacing w:after="0"/>
              <w:rPr>
                <w:sz w:val="14"/>
                <w:szCs w:val="14"/>
                <w:color w:val="auto"/>
              </w:rPr>
            </w:pPr>
          </w:p>
        </w:tc>
        <w:tc>
          <w:tcPr>
            <w:tcW w:w="540" w:type="dxa"/>
            <w:vAlign w:val="bottom"/>
            <w:tcBorders>
              <w:right w:val="single" w:sz="8" w:color="auto"/>
            </w:tcBorders>
            <w:shd w:val="clear" w:color="auto" w:fill="E5F1F9"/>
          </w:tcPr>
          <w:p>
            <w:pPr>
              <w:spacing w:after="0"/>
              <w:rPr>
                <w:sz w:val="14"/>
                <w:szCs w:val="14"/>
                <w:color w:val="auto"/>
              </w:rPr>
            </w:pPr>
          </w:p>
        </w:tc>
        <w:tc>
          <w:tcPr>
            <w:tcW w:w="560" w:type="dxa"/>
            <w:vAlign w:val="bottom"/>
            <w:tcBorders>
              <w:right w:val="single" w:sz="8" w:color="auto"/>
            </w:tcBorders>
            <w:shd w:val="clear" w:color="auto" w:fill="E5F1F9"/>
          </w:tcPr>
          <w:p>
            <w:pPr>
              <w:spacing w:after="0"/>
              <w:rPr>
                <w:sz w:val="14"/>
                <w:szCs w:val="14"/>
                <w:color w:val="auto"/>
              </w:rPr>
            </w:pPr>
          </w:p>
        </w:tc>
        <w:tc>
          <w:tcPr>
            <w:tcW w:w="220" w:type="dxa"/>
            <w:vAlign w:val="bottom"/>
            <w:shd w:val="clear" w:color="auto" w:fill="E5F1F9"/>
          </w:tcPr>
          <w:p>
            <w:pPr>
              <w:spacing w:after="0"/>
              <w:rPr>
                <w:sz w:val="14"/>
                <w:szCs w:val="14"/>
                <w:color w:val="auto"/>
              </w:rPr>
            </w:pPr>
          </w:p>
        </w:tc>
        <w:tc>
          <w:tcPr>
            <w:tcW w:w="380" w:type="dxa"/>
            <w:vAlign w:val="bottom"/>
            <w:tcBorders>
              <w:right w:val="single" w:sz="8" w:color="auto"/>
            </w:tcBorders>
            <w:shd w:val="clear" w:color="auto" w:fill="E5F1F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Global market expertise enhances oversight of strategy development and</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vMerge w:val="restart"/>
            <w:shd w:val="clear" w:color="auto" w:fill="E5F1F9"/>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vMerge w:val="restart"/>
            <w:shd w:val="clear" w:color="auto" w:fill="E5F1F9"/>
          </w:tcPr>
          <w:p>
            <w:pPr>
              <w:ind w:left="6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shd w:val="clear" w:color="auto" w:fill="E5F1F9"/>
          </w:tcPr>
          <w:p>
            <w:pPr>
              <w:spacing w:after="0"/>
              <w:rPr>
                <w:sz w:val="16"/>
                <w:szCs w:val="16"/>
                <w:color w:val="auto"/>
              </w:rPr>
            </w:pPr>
          </w:p>
        </w:tc>
        <w:tc>
          <w:tcPr>
            <w:tcW w:w="560" w:type="dxa"/>
            <w:vAlign w:val="bottom"/>
            <w:tcBorders>
              <w:right w:val="single" w:sz="8" w:color="auto"/>
            </w:tcBorders>
            <w:shd w:val="clear" w:color="auto" w:fill="E5F1F9"/>
          </w:tcPr>
          <w:p>
            <w:pPr>
              <w:spacing w:after="0"/>
              <w:rPr>
                <w:sz w:val="16"/>
                <w:szCs w:val="16"/>
                <w:color w:val="auto"/>
              </w:rPr>
            </w:pP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execution, supply chain and compliance across markets</w:t>
            </w:r>
          </w:p>
        </w:tc>
        <w:tc>
          <w:tcPr>
            <w:tcW w:w="220" w:type="dxa"/>
            <w:vAlign w:val="bottom"/>
            <w:tcBorders>
              <w:left w:val="single" w:sz="8" w:color="auto"/>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shd w:val="clear" w:color="auto" w:fill="E5F1F9"/>
          </w:tcPr>
          <w:p>
            <w:pPr>
              <w:spacing w:after="0"/>
              <w:rPr>
                <w:sz w:val="20"/>
                <w:szCs w:val="20"/>
                <w:color w:val="auto"/>
              </w:rPr>
            </w:pPr>
          </w:p>
        </w:tc>
        <w:tc>
          <w:tcPr>
            <w:tcW w:w="5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540" w:type="dxa"/>
            <w:vAlign w:val="bottom"/>
            <w:tcBorders>
              <w:bottom w:val="single" w:sz="8" w:color="auto"/>
              <w:right w:val="single" w:sz="8" w:color="auto"/>
            </w:tcBorders>
            <w:shd w:val="clear" w:color="auto" w:fill="E5F1F9"/>
          </w:tcPr>
          <w:p>
            <w:pPr>
              <w:spacing w:after="0"/>
              <w:rPr>
                <w:sz w:val="20"/>
                <w:szCs w:val="20"/>
                <w:color w:val="auto"/>
              </w:rPr>
            </w:pPr>
          </w:p>
        </w:tc>
        <w:tc>
          <w:tcPr>
            <w:tcW w:w="560" w:type="dxa"/>
            <w:vAlign w:val="bottom"/>
            <w:tcBorders>
              <w:bottom w:val="single" w:sz="8" w:color="auto"/>
              <w:right w:val="single" w:sz="8" w:color="auto"/>
            </w:tcBorders>
            <w:shd w:val="clear" w:color="auto" w:fill="E5F1F9"/>
          </w:tcPr>
          <w:p>
            <w:pPr>
              <w:spacing w:after="0"/>
              <w:rPr>
                <w:sz w:val="20"/>
                <w:szCs w:val="20"/>
                <w:color w:val="auto"/>
              </w:rPr>
            </w:pPr>
          </w:p>
        </w:tc>
        <w:tc>
          <w:tcPr>
            <w:tcW w:w="220" w:type="dxa"/>
            <w:vAlign w:val="bottom"/>
            <w:tcBorders>
              <w:bottom w:val="single" w:sz="8" w:color="auto"/>
            </w:tcBorders>
            <w:shd w:val="clear" w:color="auto" w:fill="E5F1F9"/>
          </w:tcPr>
          <w:p>
            <w:pPr>
              <w:spacing w:after="0"/>
              <w:rPr>
                <w:sz w:val="20"/>
                <w:szCs w:val="20"/>
                <w:color w:val="auto"/>
              </w:rPr>
            </w:pPr>
          </w:p>
        </w:tc>
        <w:tc>
          <w:tcPr>
            <w:tcW w:w="38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left w:val="single" w:sz="8" w:color="auto"/>
            </w:tcBorders>
          </w:tcPr>
          <w:p>
            <w:pPr>
              <w:ind w:left="160"/>
              <w:spacing w:after="0" w:line="172" w:lineRule="exact"/>
              <w:rPr>
                <w:sz w:val="20"/>
                <w:szCs w:val="20"/>
                <w:color w:val="auto"/>
              </w:rPr>
            </w:pPr>
            <w:r>
              <w:rPr>
                <w:rFonts w:ascii="Arial" w:cs="Arial" w:eastAsia="Arial" w:hAnsi="Arial"/>
                <w:sz w:val="16"/>
                <w:szCs w:val="16"/>
                <w:b w:val="1"/>
                <w:bCs w:val="1"/>
                <w:color w:val="auto"/>
              </w:rPr>
              <w:t>Public Board Service</w:t>
            </w:r>
          </w:p>
        </w:tc>
        <w:tc>
          <w:tcPr>
            <w:tcW w:w="22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Corporate governance fluency ensures stockholder interests serve as</w:t>
            </w:r>
          </w:p>
        </w:tc>
        <w:tc>
          <w:tcPr>
            <w:tcW w:w="220" w:type="dxa"/>
            <w:vAlign w:val="bottom"/>
            <w:tcBorders>
              <w:left w:val="single" w:sz="8" w:color="auto"/>
            </w:tcBorders>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60" w:type="dxa"/>
            <w:vAlign w:val="bottom"/>
            <w:tcBorders>
              <w:right w:val="single" w:sz="8" w:color="auto"/>
            </w:tcBorders>
            <w:vMerge w:val="restart"/>
          </w:tcPr>
          <w:p>
            <w:pPr>
              <w:ind w:left="6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560" w:type="dxa"/>
            <w:vAlign w:val="bottom"/>
            <w:tcBorders>
              <w:right w:val="single" w:sz="8" w:color="auto"/>
            </w:tcBorders>
            <w:vMerge w:val="restart"/>
          </w:tcPr>
          <w:p>
            <w:pPr>
              <w:jc w:val="center"/>
              <w:ind w:left="19"/>
              <w:spacing w:after="0" w:line="161" w:lineRule="exact"/>
              <w:rPr>
                <w:sz w:val="20"/>
                <w:szCs w:val="20"/>
                <w:color w:val="auto"/>
              </w:rPr>
            </w:pPr>
            <w:r>
              <w:rPr>
                <w:rFonts w:ascii="MS PGothic" w:cs="MS PGothic" w:eastAsia="MS PGothic" w:hAnsi="MS PGothic"/>
                <w:sz w:val="16"/>
                <w:szCs w:val="16"/>
                <w:color w:val="0075C9"/>
                <w:w w:val="87"/>
              </w:rPr>
              <w:t>✓</w:t>
            </w:r>
          </w:p>
        </w:tc>
        <w:tc>
          <w:tcPr>
            <w:tcW w:w="220" w:type="dxa"/>
            <w:vAlign w:val="bottom"/>
          </w:tcPr>
          <w:p>
            <w:pPr>
              <w:spacing w:after="0"/>
              <w:rPr>
                <w:sz w:val="16"/>
                <w:szCs w:val="16"/>
                <w:color w:val="auto"/>
              </w:rPr>
            </w:pPr>
          </w:p>
        </w:tc>
        <w:tc>
          <w:tcPr>
            <w:tcW w:w="38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input to discussions and informs Board decisions</w:t>
            </w:r>
          </w:p>
        </w:tc>
        <w:tc>
          <w:tcPr>
            <w:tcW w:w="22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vMerge w:val="continue"/>
          </w:tcPr>
          <w:p>
            <w:pPr>
              <w:spacing w:after="0"/>
              <w:rPr>
                <w:sz w:val="20"/>
                <w:szCs w:val="20"/>
                <w:color w:val="auto"/>
              </w:rPr>
            </w:pP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left w:val="single" w:sz="8" w:color="auto"/>
            </w:tcBorders>
            <w:shd w:val="clear" w:color="auto" w:fill="E5F1F9"/>
          </w:tcPr>
          <w:p>
            <w:pPr>
              <w:ind w:left="160"/>
              <w:spacing w:after="0" w:line="172" w:lineRule="exact"/>
              <w:rPr>
                <w:sz w:val="20"/>
                <w:szCs w:val="20"/>
                <w:color w:val="auto"/>
              </w:rPr>
            </w:pPr>
            <w:r>
              <w:rPr>
                <w:rFonts w:ascii="Arial" w:cs="Arial" w:eastAsia="Arial" w:hAnsi="Arial"/>
                <w:sz w:val="16"/>
                <w:szCs w:val="16"/>
                <w:b w:val="1"/>
                <w:bCs w:val="1"/>
                <w:color w:val="auto"/>
              </w:rPr>
              <w:t>Government and Public Policy</w:t>
            </w:r>
          </w:p>
        </w:tc>
        <w:tc>
          <w:tcPr>
            <w:tcW w:w="220" w:type="dxa"/>
            <w:vAlign w:val="bottom"/>
            <w:tcBorders>
              <w:left w:val="single" w:sz="8" w:color="auto"/>
            </w:tcBorders>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5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4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60" w:type="dxa"/>
            <w:vAlign w:val="bottom"/>
            <w:tcBorders>
              <w:right w:val="single" w:sz="8" w:color="auto"/>
            </w:tcBorders>
            <w:shd w:val="clear" w:color="auto" w:fill="E5F1F9"/>
          </w:tcPr>
          <w:p>
            <w:pPr>
              <w:spacing w:after="0"/>
              <w:rPr>
                <w:sz w:val="14"/>
                <w:szCs w:val="14"/>
                <w:color w:val="auto"/>
              </w:rPr>
            </w:pPr>
          </w:p>
        </w:tc>
        <w:tc>
          <w:tcPr>
            <w:tcW w:w="200" w:type="dxa"/>
            <w:vAlign w:val="bottom"/>
            <w:shd w:val="clear" w:color="auto" w:fill="E5F1F9"/>
          </w:tcPr>
          <w:p>
            <w:pPr>
              <w:spacing w:after="0"/>
              <w:rPr>
                <w:sz w:val="14"/>
                <w:szCs w:val="14"/>
                <w:color w:val="auto"/>
              </w:rPr>
            </w:pPr>
          </w:p>
        </w:tc>
        <w:tc>
          <w:tcPr>
            <w:tcW w:w="360" w:type="dxa"/>
            <w:vAlign w:val="bottom"/>
            <w:tcBorders>
              <w:right w:val="single" w:sz="8" w:color="auto"/>
            </w:tcBorders>
            <w:shd w:val="clear" w:color="auto" w:fill="E5F1F9"/>
          </w:tcPr>
          <w:p>
            <w:pPr>
              <w:spacing w:after="0"/>
              <w:rPr>
                <w:sz w:val="14"/>
                <w:szCs w:val="14"/>
                <w:color w:val="auto"/>
              </w:rPr>
            </w:pPr>
          </w:p>
        </w:tc>
        <w:tc>
          <w:tcPr>
            <w:tcW w:w="540" w:type="dxa"/>
            <w:vAlign w:val="bottom"/>
            <w:tcBorders>
              <w:right w:val="single" w:sz="8" w:color="auto"/>
            </w:tcBorders>
            <w:shd w:val="clear" w:color="auto" w:fill="E5F1F9"/>
          </w:tcPr>
          <w:p>
            <w:pPr>
              <w:spacing w:after="0"/>
              <w:rPr>
                <w:sz w:val="14"/>
                <w:szCs w:val="14"/>
                <w:color w:val="auto"/>
              </w:rPr>
            </w:pPr>
          </w:p>
        </w:tc>
        <w:tc>
          <w:tcPr>
            <w:tcW w:w="560" w:type="dxa"/>
            <w:vAlign w:val="bottom"/>
            <w:tcBorders>
              <w:right w:val="single" w:sz="8" w:color="auto"/>
            </w:tcBorders>
            <w:shd w:val="clear" w:color="auto" w:fill="E5F1F9"/>
          </w:tcPr>
          <w:p>
            <w:pPr>
              <w:spacing w:after="0"/>
              <w:rPr>
                <w:sz w:val="14"/>
                <w:szCs w:val="14"/>
                <w:color w:val="auto"/>
              </w:rPr>
            </w:pPr>
          </w:p>
        </w:tc>
        <w:tc>
          <w:tcPr>
            <w:tcW w:w="220" w:type="dxa"/>
            <w:vAlign w:val="bottom"/>
            <w:shd w:val="clear" w:color="auto" w:fill="E5F1F9"/>
          </w:tcPr>
          <w:p>
            <w:pPr>
              <w:spacing w:after="0"/>
              <w:rPr>
                <w:sz w:val="14"/>
                <w:szCs w:val="14"/>
                <w:color w:val="auto"/>
              </w:rPr>
            </w:pPr>
          </w:p>
        </w:tc>
        <w:tc>
          <w:tcPr>
            <w:tcW w:w="380" w:type="dxa"/>
            <w:vAlign w:val="bottom"/>
            <w:tcBorders>
              <w:right w:val="single" w:sz="8" w:color="auto"/>
            </w:tcBorders>
            <w:shd w:val="clear" w:color="auto" w:fill="E5F1F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Understanding of the complex regulatory and governmental environment</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560" w:type="dxa"/>
            <w:vAlign w:val="bottom"/>
            <w:tcBorders>
              <w:right w:val="single" w:sz="8" w:color="auto"/>
            </w:tcBorders>
            <w:shd w:val="clear" w:color="auto" w:fill="E5F1F9"/>
          </w:tcPr>
          <w:p>
            <w:pPr>
              <w:spacing w:after="0"/>
              <w:rPr>
                <w:sz w:val="16"/>
                <w:szCs w:val="16"/>
                <w:color w:val="auto"/>
              </w:rPr>
            </w:pP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in which Biogen operates allows the Board to oversee the company’s long-</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shd w:val="clear" w:color="auto" w:fill="E5F1F9"/>
          </w:tcPr>
          <w:p>
            <w:pPr>
              <w:spacing w:after="0"/>
              <w:rPr>
                <w:sz w:val="16"/>
                <w:szCs w:val="16"/>
                <w:color w:val="auto"/>
              </w:rPr>
            </w:pPr>
          </w:p>
        </w:tc>
        <w:tc>
          <w:tcPr>
            <w:tcW w:w="560" w:type="dxa"/>
            <w:vAlign w:val="bottom"/>
            <w:tcBorders>
              <w:right w:val="single" w:sz="8" w:color="auto"/>
            </w:tcBorders>
            <w:shd w:val="clear" w:color="auto" w:fill="E5F1F9"/>
          </w:tcPr>
          <w:p>
            <w:pPr>
              <w:spacing w:after="0"/>
              <w:rPr>
                <w:sz w:val="16"/>
                <w:szCs w:val="16"/>
                <w:color w:val="auto"/>
              </w:rPr>
            </w:pP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term strategy by incorporating current and potential changes in public</w:t>
            </w:r>
          </w:p>
        </w:tc>
        <w:tc>
          <w:tcPr>
            <w:tcW w:w="220" w:type="dxa"/>
            <w:vAlign w:val="bottom"/>
            <w:tcBorders>
              <w:left w:val="single" w:sz="8" w:color="auto"/>
            </w:tcBorders>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shd w:val="clear" w:color="auto" w:fill="E5F1F9"/>
          </w:tcPr>
          <w:p>
            <w:pPr>
              <w:spacing w:after="0"/>
              <w:rPr>
                <w:sz w:val="16"/>
                <w:szCs w:val="16"/>
                <w:color w:val="auto"/>
              </w:rPr>
            </w:pPr>
          </w:p>
        </w:tc>
        <w:tc>
          <w:tcPr>
            <w:tcW w:w="540" w:type="dxa"/>
            <w:vAlign w:val="bottom"/>
            <w:tcBorders>
              <w:right w:val="single" w:sz="8" w:color="auto"/>
            </w:tcBorders>
            <w:vMerge w:val="restart"/>
            <w:shd w:val="clear" w:color="auto" w:fill="E5F1F9"/>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200" w:type="dxa"/>
            <w:vAlign w:val="bottom"/>
            <w:shd w:val="clear" w:color="auto" w:fill="E5F1F9"/>
          </w:tcPr>
          <w:p>
            <w:pPr>
              <w:spacing w:after="0"/>
              <w:rPr>
                <w:sz w:val="16"/>
                <w:szCs w:val="16"/>
                <w:color w:val="auto"/>
              </w:rPr>
            </w:pPr>
          </w:p>
        </w:tc>
        <w:tc>
          <w:tcPr>
            <w:tcW w:w="34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vMerge w:val="restart"/>
            <w:shd w:val="clear" w:color="auto" w:fill="E5F1F9"/>
          </w:tcPr>
          <w:p>
            <w:pPr>
              <w:ind w:left="6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shd w:val="clear" w:color="auto" w:fill="E5F1F9"/>
          </w:tcPr>
          <w:p>
            <w:pPr>
              <w:spacing w:after="0"/>
              <w:rPr>
                <w:sz w:val="16"/>
                <w:szCs w:val="16"/>
                <w:color w:val="auto"/>
              </w:rPr>
            </w:pPr>
          </w:p>
        </w:tc>
        <w:tc>
          <w:tcPr>
            <w:tcW w:w="36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540" w:type="dxa"/>
            <w:vAlign w:val="bottom"/>
            <w:tcBorders>
              <w:right w:val="single" w:sz="8" w:color="auto"/>
            </w:tcBorders>
            <w:shd w:val="clear" w:color="auto" w:fill="E5F1F9"/>
          </w:tcPr>
          <w:p>
            <w:pPr>
              <w:spacing w:after="0"/>
              <w:rPr>
                <w:sz w:val="16"/>
                <w:szCs w:val="16"/>
                <w:color w:val="auto"/>
              </w:rPr>
            </w:pPr>
          </w:p>
        </w:tc>
        <w:tc>
          <w:tcPr>
            <w:tcW w:w="560" w:type="dxa"/>
            <w:vAlign w:val="bottom"/>
            <w:tcBorders>
              <w:right w:val="single" w:sz="8" w:color="auto"/>
            </w:tcBorders>
            <w:vMerge w:val="restart"/>
            <w:shd w:val="clear" w:color="auto" w:fill="E5F1F9"/>
          </w:tcPr>
          <w:p>
            <w:pPr>
              <w:jc w:val="center"/>
              <w:ind w:left="19"/>
              <w:spacing w:after="0" w:line="161" w:lineRule="exact"/>
              <w:rPr>
                <w:sz w:val="20"/>
                <w:szCs w:val="20"/>
                <w:color w:val="auto"/>
              </w:rPr>
            </w:pPr>
            <w:r>
              <w:rPr>
                <w:rFonts w:ascii="MS PGothic" w:cs="MS PGothic" w:eastAsia="MS PGothic" w:hAnsi="MS PGothic"/>
                <w:sz w:val="16"/>
                <w:szCs w:val="16"/>
                <w:color w:val="0075C9"/>
                <w:w w:val="87"/>
              </w:rPr>
              <w:t>✓</w:t>
            </w:r>
          </w:p>
        </w:tc>
        <w:tc>
          <w:tcPr>
            <w:tcW w:w="220" w:type="dxa"/>
            <w:vAlign w:val="bottom"/>
            <w:shd w:val="clear" w:color="auto" w:fill="E5F1F9"/>
          </w:tcPr>
          <w:p>
            <w:pPr>
              <w:spacing w:after="0"/>
              <w:rPr>
                <w:sz w:val="16"/>
                <w:szCs w:val="16"/>
                <w:color w:val="auto"/>
              </w:rPr>
            </w:pPr>
          </w:p>
        </w:tc>
        <w:tc>
          <w:tcPr>
            <w:tcW w:w="380" w:type="dxa"/>
            <w:vAlign w:val="bottom"/>
            <w:tcBorders>
              <w:right w:val="single" w:sz="8" w:color="auto"/>
            </w:tcBorders>
            <w:vMerge w:val="restart"/>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policy and regulation</w:t>
            </w:r>
          </w:p>
        </w:tc>
        <w:tc>
          <w:tcPr>
            <w:tcW w:w="220" w:type="dxa"/>
            <w:vAlign w:val="bottom"/>
            <w:tcBorders>
              <w:left w:val="single" w:sz="8" w:color="auto"/>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shd w:val="clear" w:color="auto" w:fill="E5F1F9"/>
          </w:tcPr>
          <w:p>
            <w:pPr>
              <w:spacing w:after="0"/>
              <w:rPr>
                <w:sz w:val="20"/>
                <w:szCs w:val="20"/>
                <w:color w:val="auto"/>
              </w:rPr>
            </w:pPr>
          </w:p>
        </w:tc>
        <w:tc>
          <w:tcPr>
            <w:tcW w:w="5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4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00" w:type="dxa"/>
            <w:vAlign w:val="bottom"/>
            <w:tcBorders>
              <w:bottom w:val="single" w:sz="8" w:color="auto"/>
            </w:tcBorders>
            <w:shd w:val="clear" w:color="auto" w:fill="E5F1F9"/>
          </w:tcPr>
          <w:p>
            <w:pPr>
              <w:spacing w:after="0"/>
              <w:rPr>
                <w:sz w:val="20"/>
                <w:szCs w:val="20"/>
                <w:color w:val="auto"/>
              </w:rPr>
            </w:pPr>
          </w:p>
        </w:tc>
        <w:tc>
          <w:tcPr>
            <w:tcW w:w="3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540" w:type="dxa"/>
            <w:vAlign w:val="bottom"/>
            <w:tcBorders>
              <w:bottom w:val="single" w:sz="8" w:color="auto"/>
              <w:right w:val="single" w:sz="8" w:color="auto"/>
            </w:tcBorders>
            <w:shd w:val="clear" w:color="auto" w:fill="E5F1F9"/>
          </w:tcPr>
          <w:p>
            <w:pPr>
              <w:spacing w:after="0"/>
              <w:rPr>
                <w:sz w:val="20"/>
                <w:szCs w:val="20"/>
                <w:color w:val="auto"/>
              </w:rPr>
            </w:pPr>
          </w:p>
        </w:tc>
        <w:tc>
          <w:tcPr>
            <w:tcW w:w="56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220" w:type="dxa"/>
            <w:vAlign w:val="bottom"/>
            <w:tcBorders>
              <w:bottom w:val="single" w:sz="8" w:color="auto"/>
            </w:tcBorders>
            <w:shd w:val="clear" w:color="auto" w:fill="E5F1F9"/>
          </w:tcPr>
          <w:p>
            <w:pPr>
              <w:spacing w:after="0"/>
              <w:rPr>
                <w:sz w:val="20"/>
                <w:szCs w:val="20"/>
                <w:color w:val="auto"/>
              </w:rPr>
            </w:pPr>
          </w:p>
        </w:tc>
        <w:tc>
          <w:tcPr>
            <w:tcW w:w="380" w:type="dxa"/>
            <w:vAlign w:val="bottom"/>
            <w:tcBorders>
              <w:bottom w:val="single" w:sz="8" w:color="auto"/>
              <w:right w:val="single" w:sz="8" w:color="auto"/>
            </w:tcBorders>
            <w:vMerge w:val="continue"/>
            <w:shd w:val="clear" w:color="auto" w:fill="E5F1F9"/>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6"/>
          </w:tcPr>
          <w:p>
            <w:pPr>
              <w:jc w:val="center"/>
              <w:ind w:left="158"/>
              <w:spacing w:after="0"/>
              <w:rPr>
                <w:sz w:val="20"/>
                <w:szCs w:val="20"/>
                <w:color w:val="auto"/>
              </w:rPr>
            </w:pPr>
            <w:r>
              <w:rPr>
                <w:rFonts w:ascii="Arial" w:cs="Arial" w:eastAsia="Arial" w:hAnsi="Arial"/>
                <w:sz w:val="18"/>
                <w:szCs w:val="18"/>
                <w:color w:val="0075C9"/>
                <w:w w:val="95"/>
              </w:rPr>
              <w:t xml:space="preserve">   2026 Proxy Statement </w:t>
            </w:r>
          </w:p>
        </w:tc>
        <w:tc>
          <w:tcPr>
            <w:tcW w:w="380" w:type="dxa"/>
            <w:vAlign w:val="bottom"/>
          </w:tcPr>
          <w:p>
            <w:pPr>
              <w:ind w:left="140"/>
              <w:spacing w:after="0"/>
              <w:rPr>
                <w:sz w:val="20"/>
                <w:szCs w:val="20"/>
                <w:color w:val="auto"/>
              </w:rPr>
            </w:pPr>
            <w:r>
              <w:rPr>
                <w:rFonts w:ascii="Arial" w:cs="Arial" w:eastAsia="Arial" w:hAnsi="Arial"/>
                <w:sz w:val="16"/>
                <w:szCs w:val="16"/>
                <w:color w:val="0075C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-5600065</wp:posOffset>
            </wp:positionV>
            <wp:extent cx="102870" cy="539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-5600065</wp:posOffset>
            </wp:positionV>
            <wp:extent cx="102870" cy="539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-5600065</wp:posOffset>
            </wp:positionV>
            <wp:extent cx="102870" cy="539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-5600065</wp:posOffset>
            </wp:positionV>
            <wp:extent cx="102870" cy="539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-5600065</wp:posOffset>
            </wp:positionV>
            <wp:extent cx="102870" cy="539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-5600065</wp:posOffset>
            </wp:positionV>
            <wp:extent cx="102870" cy="539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-5600065</wp:posOffset>
            </wp:positionV>
            <wp:extent cx="102870" cy="539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-5600065</wp:posOffset>
            </wp:positionV>
            <wp:extent cx="102870" cy="539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-5600065</wp:posOffset>
            </wp:positionV>
            <wp:extent cx="102870" cy="539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-5600065</wp:posOffset>
            </wp:positionV>
            <wp:extent cx="111125" cy="539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5397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-173355</wp:posOffset>
            </wp:positionV>
            <wp:extent cx="42037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100"/>
        <w:spacing w:after="0"/>
        <w:rPr>
          <w:sz w:val="20"/>
          <w:szCs w:val="20"/>
          <w:color w:val="auto"/>
        </w:rPr>
      </w:pPr>
      <w:r>
        <w:rPr>
          <w:rFonts w:ascii="Arial" w:cs="Arial" w:eastAsia="Arial" w:hAnsi="Arial"/>
          <w:sz w:val="19"/>
          <w:szCs w:val="19"/>
          <w:color w:val="0075C9"/>
        </w:rPr>
        <w:t>Proposal 1 — Election of Directors</w:t>
      </w:r>
    </w:p>
    <w:p>
      <w:pPr>
        <w:spacing w:after="0" w:line="148" w:lineRule="exact"/>
        <w:rPr>
          <w:sz w:val="20"/>
          <w:szCs w:val="20"/>
          <w:color w:val="auto"/>
        </w:rPr>
      </w:pPr>
    </w:p>
    <w:tbl>
      <w:tblPr>
        <w:tblLayout w:type="fixed"/>
        <w:tblInd w:w="130" w:type="dxa"/>
        <w:tblCellMar>
          <w:top w:w="0" w:type="dxa"/>
          <w:left w:w="0" w:type="dxa"/>
          <w:bottom w:w="0" w:type="dxa"/>
          <w:right w:w="0" w:type="dxa"/>
        </w:tblCellMar>
      </w:tblPr>
      <w:tr>
        <w:trPr>
          <w:trHeight w:val="68"/>
        </w:trPr>
        <w:tc>
          <w:tcPr>
            <w:tcW w:w="5500" w:type="dxa"/>
            <w:vAlign w:val="bottom"/>
            <w:tcBorders>
              <w:top w:val="single" w:sz="8" w:color="auto"/>
              <w:left w:val="single" w:sz="8" w:color="auto"/>
            </w:tcBorders>
            <w:vMerge w:val="restart"/>
            <w:shd w:val="clear" w:color="auto" w:fill="0075C9"/>
          </w:tcPr>
          <w:p>
            <w:pPr>
              <w:ind w:left="160"/>
              <w:spacing w:after="0"/>
              <w:rPr>
                <w:sz w:val="20"/>
                <w:szCs w:val="20"/>
                <w:color w:val="auto"/>
              </w:rPr>
            </w:pPr>
            <w:r>
              <w:rPr>
                <w:rFonts w:ascii="Arial" w:cs="Arial" w:eastAsia="Arial" w:hAnsi="Arial"/>
                <w:sz w:val="16"/>
                <w:szCs w:val="16"/>
                <w:b w:val="1"/>
                <w:bCs w:val="1"/>
                <w:color w:val="FFFFFF"/>
              </w:rPr>
              <w:t>Key Skills and Experience</w:t>
            </w:r>
          </w:p>
        </w:tc>
        <w:tc>
          <w:tcPr>
            <w:tcW w:w="220" w:type="dxa"/>
            <w:vAlign w:val="bottom"/>
            <w:tcBorders>
              <w:top w:val="single" w:sz="8" w:color="0075C9"/>
              <w:left w:val="single" w:sz="8" w:color="0075C9"/>
            </w:tcBorders>
            <w:shd w:val="clear" w:color="auto" w:fill="0075C9"/>
          </w:tcPr>
          <w:p>
            <w:pPr>
              <w:spacing w:after="0"/>
              <w:rPr>
                <w:sz w:val="5"/>
                <w:szCs w:val="5"/>
                <w:color w:val="auto"/>
              </w:rPr>
            </w:pPr>
          </w:p>
        </w:tc>
        <w:tc>
          <w:tcPr>
            <w:tcW w:w="34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4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4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4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40" w:type="dxa"/>
            <w:vAlign w:val="bottom"/>
            <w:tcBorders>
              <w:top w:val="single" w:sz="8" w:color="0075C9"/>
              <w:right w:val="single" w:sz="8" w:color="0075C9"/>
            </w:tcBorders>
            <w:shd w:val="clear" w:color="auto" w:fill="0075C9"/>
          </w:tcPr>
          <w:p>
            <w:pPr>
              <w:spacing w:after="0"/>
              <w:rPr>
                <w:sz w:val="5"/>
                <w:szCs w:val="5"/>
                <w:color w:val="auto"/>
              </w:rPr>
            </w:pPr>
          </w:p>
        </w:tc>
        <w:tc>
          <w:tcPr>
            <w:tcW w:w="400" w:type="dxa"/>
            <w:vAlign w:val="bottom"/>
            <w:tcBorders>
              <w:top w:val="single" w:sz="8" w:color="0075C9"/>
            </w:tcBorders>
            <w:shd w:val="clear" w:color="auto" w:fill="0075C9"/>
          </w:tcPr>
          <w:p>
            <w:pPr>
              <w:spacing w:after="0"/>
              <w:rPr>
                <w:sz w:val="5"/>
                <w:szCs w:val="5"/>
                <w:color w:val="auto"/>
              </w:rPr>
            </w:pPr>
          </w:p>
        </w:tc>
        <w:tc>
          <w:tcPr>
            <w:tcW w:w="160" w:type="dxa"/>
            <w:vAlign w:val="bottom"/>
            <w:tcBorders>
              <w:top w:val="single" w:sz="8" w:color="0075C9"/>
              <w:right w:val="single" w:sz="8" w:color="0075C9"/>
            </w:tcBorders>
            <w:shd w:val="clear" w:color="auto" w:fill="0075C9"/>
          </w:tcPr>
          <w:p>
            <w:pPr>
              <w:spacing w:after="0"/>
              <w:rPr>
                <w:sz w:val="5"/>
                <w:szCs w:val="5"/>
                <w:color w:val="auto"/>
              </w:rPr>
            </w:pPr>
          </w:p>
        </w:tc>
        <w:tc>
          <w:tcPr>
            <w:tcW w:w="56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40" w:type="dxa"/>
            <w:vAlign w:val="bottom"/>
            <w:tcBorders>
              <w:top w:val="single" w:sz="8" w:color="0075C9"/>
              <w:right w:val="single" w:sz="8" w:color="0075C9"/>
            </w:tcBorders>
            <w:shd w:val="clear" w:color="auto" w:fill="0075C9"/>
          </w:tcPr>
          <w:p>
            <w:pPr>
              <w:spacing w:after="0"/>
              <w:rPr>
                <w:sz w:val="5"/>
                <w:szCs w:val="5"/>
                <w:color w:val="auto"/>
              </w:rPr>
            </w:pPr>
          </w:p>
        </w:tc>
        <w:tc>
          <w:tcPr>
            <w:tcW w:w="200" w:type="dxa"/>
            <w:vAlign w:val="bottom"/>
            <w:tcBorders>
              <w:top w:val="single" w:sz="8" w:color="0075C9"/>
            </w:tcBorders>
            <w:shd w:val="clear" w:color="auto" w:fill="0075C9"/>
          </w:tcPr>
          <w:p>
            <w:pPr>
              <w:spacing w:after="0"/>
              <w:rPr>
                <w:sz w:val="5"/>
                <w:szCs w:val="5"/>
                <w:color w:val="auto"/>
              </w:rPr>
            </w:pPr>
          </w:p>
        </w:tc>
        <w:tc>
          <w:tcPr>
            <w:tcW w:w="360" w:type="dxa"/>
            <w:vAlign w:val="bottom"/>
            <w:tcBorders>
              <w:top w:val="single" w:sz="8" w:color="0075C9"/>
              <w:right w:val="single" w:sz="8" w:color="0075C9"/>
            </w:tcBorders>
            <w:shd w:val="clear" w:color="auto" w:fill="0075C9"/>
          </w:tcPr>
          <w:p>
            <w:pPr>
              <w:spacing w:after="0"/>
              <w:rPr>
                <w:sz w:val="5"/>
                <w:szCs w:val="5"/>
                <w:color w:val="auto"/>
              </w:rPr>
            </w:pPr>
          </w:p>
        </w:tc>
        <w:tc>
          <w:tcPr>
            <w:tcW w:w="220" w:type="dxa"/>
            <w:vAlign w:val="bottom"/>
            <w:tcBorders>
              <w:top w:val="single" w:sz="8" w:color="0075C9"/>
            </w:tcBorders>
            <w:shd w:val="clear" w:color="auto" w:fill="0075C9"/>
          </w:tcPr>
          <w:p>
            <w:pPr>
              <w:spacing w:after="0"/>
              <w:rPr>
                <w:sz w:val="5"/>
                <w:szCs w:val="5"/>
                <w:color w:val="auto"/>
              </w:rPr>
            </w:pPr>
          </w:p>
        </w:tc>
        <w:tc>
          <w:tcPr>
            <w:tcW w:w="380" w:type="dxa"/>
            <w:vAlign w:val="bottom"/>
            <w:tcBorders>
              <w:top w:val="single" w:sz="8" w:color="0075C9"/>
              <w:right w:val="single" w:sz="8" w:color="auto"/>
            </w:tcBorders>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559"/>
        </w:trPr>
        <w:tc>
          <w:tcPr>
            <w:tcW w:w="5500" w:type="dxa"/>
            <w:vAlign w:val="bottom"/>
            <w:tcBorders>
              <w:left w:val="single" w:sz="8" w:color="auto"/>
            </w:tcBorders>
            <w:vMerge w:val="continue"/>
            <w:shd w:val="clear" w:color="auto" w:fill="0075C9"/>
          </w:tcPr>
          <w:p>
            <w:pPr>
              <w:spacing w:after="0"/>
              <w:rPr>
                <w:sz w:val="24"/>
                <w:szCs w:val="24"/>
                <w:color w:val="auto"/>
              </w:rPr>
            </w:pPr>
          </w:p>
        </w:tc>
        <w:tc>
          <w:tcPr>
            <w:tcW w:w="220" w:type="dxa"/>
            <w:vAlign w:val="bottom"/>
            <w:tcBorders>
              <w:left w:val="single" w:sz="8" w:color="auto"/>
            </w:tcBorders>
            <w:shd w:val="clear" w:color="auto" w:fill="0075C9"/>
          </w:tcPr>
          <w:p>
            <w:pPr>
              <w:spacing w:after="0"/>
              <w:rPr>
                <w:sz w:val="24"/>
                <w:szCs w:val="24"/>
                <w:color w:val="auto"/>
              </w:rPr>
            </w:pPr>
          </w:p>
        </w:tc>
        <w:tc>
          <w:tcPr>
            <w:tcW w:w="34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4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4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4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40" w:type="dxa"/>
            <w:vAlign w:val="bottom"/>
            <w:tcBorders>
              <w:right w:val="single" w:sz="8" w:color="auto"/>
            </w:tcBorders>
            <w:shd w:val="clear" w:color="auto" w:fill="0075C9"/>
          </w:tcPr>
          <w:p>
            <w:pPr>
              <w:spacing w:after="0"/>
              <w:rPr>
                <w:sz w:val="24"/>
                <w:szCs w:val="24"/>
                <w:color w:val="auto"/>
              </w:rPr>
            </w:pPr>
          </w:p>
        </w:tc>
        <w:tc>
          <w:tcPr>
            <w:tcW w:w="400" w:type="dxa"/>
            <w:vAlign w:val="bottom"/>
            <w:shd w:val="clear" w:color="auto" w:fill="0075C9"/>
          </w:tcPr>
          <w:p>
            <w:pPr>
              <w:spacing w:after="0"/>
              <w:rPr>
                <w:sz w:val="24"/>
                <w:szCs w:val="24"/>
                <w:color w:val="auto"/>
              </w:rPr>
            </w:pPr>
          </w:p>
        </w:tc>
        <w:tc>
          <w:tcPr>
            <w:tcW w:w="160" w:type="dxa"/>
            <w:vAlign w:val="bottom"/>
            <w:tcBorders>
              <w:right w:val="single" w:sz="8" w:color="auto"/>
            </w:tcBorders>
            <w:shd w:val="clear" w:color="auto" w:fill="0075C9"/>
          </w:tcPr>
          <w:p>
            <w:pPr>
              <w:spacing w:after="0"/>
              <w:rPr>
                <w:sz w:val="24"/>
                <w:szCs w:val="24"/>
                <w:color w:val="auto"/>
              </w:rPr>
            </w:pPr>
          </w:p>
        </w:tc>
        <w:tc>
          <w:tcPr>
            <w:tcW w:w="56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40" w:type="dxa"/>
            <w:vAlign w:val="bottom"/>
            <w:tcBorders>
              <w:right w:val="single" w:sz="8" w:color="auto"/>
            </w:tcBorders>
            <w:shd w:val="clear" w:color="auto" w:fill="0075C9"/>
          </w:tcPr>
          <w:p>
            <w:pPr>
              <w:spacing w:after="0"/>
              <w:rPr>
                <w:sz w:val="24"/>
                <w:szCs w:val="24"/>
                <w:color w:val="auto"/>
              </w:rPr>
            </w:pPr>
          </w:p>
        </w:tc>
        <w:tc>
          <w:tcPr>
            <w:tcW w:w="200" w:type="dxa"/>
            <w:vAlign w:val="bottom"/>
            <w:shd w:val="clear" w:color="auto" w:fill="0075C9"/>
          </w:tcPr>
          <w:p>
            <w:pPr>
              <w:spacing w:after="0"/>
              <w:rPr>
                <w:sz w:val="24"/>
                <w:szCs w:val="24"/>
                <w:color w:val="auto"/>
              </w:rPr>
            </w:pPr>
          </w:p>
        </w:tc>
        <w:tc>
          <w:tcPr>
            <w:tcW w:w="360" w:type="dxa"/>
            <w:vAlign w:val="bottom"/>
            <w:tcBorders>
              <w:right w:val="single" w:sz="8" w:color="auto"/>
            </w:tcBorders>
            <w:shd w:val="clear" w:color="auto" w:fill="0075C9"/>
          </w:tcPr>
          <w:p>
            <w:pPr>
              <w:spacing w:after="0"/>
              <w:rPr>
                <w:sz w:val="24"/>
                <w:szCs w:val="24"/>
                <w:color w:val="auto"/>
              </w:rPr>
            </w:pPr>
          </w:p>
        </w:tc>
        <w:tc>
          <w:tcPr>
            <w:tcW w:w="220" w:type="dxa"/>
            <w:vAlign w:val="bottom"/>
            <w:shd w:val="clear" w:color="auto" w:fill="0075C9"/>
          </w:tcPr>
          <w:p>
            <w:pPr>
              <w:spacing w:after="0"/>
              <w:rPr>
                <w:sz w:val="24"/>
                <w:szCs w:val="24"/>
                <w:color w:val="auto"/>
              </w:rPr>
            </w:pPr>
          </w:p>
        </w:tc>
        <w:tc>
          <w:tcPr>
            <w:tcW w:w="380" w:type="dxa"/>
            <w:vAlign w:val="bottom"/>
            <w:tcBorders>
              <w:right w:val="single" w:sz="8" w:color="auto"/>
            </w:tcBorders>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500" w:type="dxa"/>
            <w:vAlign w:val="bottom"/>
            <w:tcBorders>
              <w:left w:val="single" w:sz="8" w:color="auto"/>
              <w:bottom w:val="single" w:sz="8" w:color="auto"/>
            </w:tcBorders>
            <w:shd w:val="clear" w:color="auto" w:fill="0075C9"/>
          </w:tcPr>
          <w:p>
            <w:pPr>
              <w:spacing w:after="0"/>
              <w:rPr>
                <w:sz w:val="24"/>
                <w:szCs w:val="24"/>
                <w:color w:val="auto"/>
              </w:rPr>
            </w:pPr>
          </w:p>
        </w:tc>
        <w:tc>
          <w:tcPr>
            <w:tcW w:w="220" w:type="dxa"/>
            <w:vAlign w:val="bottom"/>
            <w:tcBorders>
              <w:left w:val="single" w:sz="8" w:color="auto"/>
              <w:bottom w:val="single" w:sz="8" w:color="auto"/>
            </w:tcBorders>
            <w:shd w:val="clear" w:color="auto" w:fill="0075C9"/>
          </w:tcPr>
          <w:p>
            <w:pPr>
              <w:ind w:left="120"/>
              <w:spacing w:after="0"/>
              <w:rPr>
                <w:sz w:val="20"/>
                <w:szCs w:val="20"/>
                <w:color w:val="auto"/>
              </w:rPr>
            </w:pPr>
            <w:r>
              <w:rPr>
                <w:rFonts w:ascii="Arial" w:cs="Arial" w:eastAsia="Arial" w:hAnsi="Arial"/>
                <w:sz w:val="16"/>
                <w:szCs w:val="16"/>
                <w:color w:val="auto"/>
                <w:w w:val="99"/>
              </w:rPr>
              <w:t> </w:t>
            </w:r>
          </w:p>
        </w:tc>
        <w:tc>
          <w:tcPr>
            <w:tcW w:w="34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79"/>
              </w:rPr>
              <w:t xml:space="preserve">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4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79"/>
              </w:rPr>
              <w:t xml:space="preserve">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4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79"/>
              </w:rPr>
              <w:t xml:space="preserve">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4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79"/>
              </w:rPr>
              <w:t xml:space="preserve">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4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79"/>
              </w:rPr>
              <w:t xml:space="preserve">  </w:t>
            </w:r>
          </w:p>
        </w:tc>
        <w:tc>
          <w:tcPr>
            <w:tcW w:w="4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right w:val="single" w:sz="8" w:color="auto"/>
            </w:tcBorders>
            <w:shd w:val="clear" w:color="auto" w:fill="0075C9"/>
          </w:tcPr>
          <w:p>
            <w:pPr>
              <w:spacing w:after="0"/>
              <w:rPr>
                <w:sz w:val="20"/>
                <w:szCs w:val="20"/>
                <w:color w:val="auto"/>
              </w:rPr>
            </w:pPr>
            <w:r>
              <w:rPr>
                <w:rFonts w:ascii="Arial" w:cs="Arial" w:eastAsia="Arial" w:hAnsi="Arial"/>
                <w:sz w:val="16"/>
                <w:szCs w:val="16"/>
                <w:color w:val="auto"/>
                <w:w w:val="95"/>
              </w:rPr>
              <w:t xml:space="preserve">  </w:t>
            </w:r>
          </w:p>
        </w:tc>
        <w:tc>
          <w:tcPr>
            <w:tcW w:w="560" w:type="dxa"/>
            <w:vAlign w:val="bottom"/>
            <w:tcBorders>
              <w:bottom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4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79"/>
              </w:rPr>
              <w:t xml:space="preserve">  </w:t>
            </w:r>
          </w:p>
        </w:tc>
        <w:tc>
          <w:tcPr>
            <w:tcW w:w="20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w w:val="99"/>
              </w:rPr>
              <w:t> </w:t>
            </w:r>
          </w:p>
        </w:tc>
        <w:tc>
          <w:tcPr>
            <w:tcW w:w="360" w:type="dxa"/>
            <w:vAlign w:val="bottom"/>
            <w:tcBorders>
              <w:bottom w:val="single" w:sz="8" w:color="auto"/>
              <w:right w:val="single" w:sz="8" w:color="auto"/>
            </w:tcBorders>
            <w:shd w:val="clear" w:color="auto" w:fill="0075C9"/>
          </w:tcPr>
          <w:p>
            <w:pPr>
              <w:ind w:left="200"/>
              <w:spacing w:after="0"/>
              <w:rPr>
                <w:sz w:val="20"/>
                <w:szCs w:val="20"/>
                <w:color w:val="auto"/>
              </w:rPr>
            </w:pPr>
            <w:r>
              <w:rPr>
                <w:rFonts w:ascii="Arial" w:cs="Arial" w:eastAsia="Arial" w:hAnsi="Arial"/>
                <w:sz w:val="16"/>
                <w:szCs w:val="16"/>
                <w:color w:val="auto"/>
                <w:w w:val="95"/>
              </w:rPr>
              <w:t xml:space="preserve">  </w:t>
            </w:r>
          </w:p>
        </w:tc>
        <w:tc>
          <w:tcPr>
            <w:tcW w:w="220" w:type="dxa"/>
            <w:vAlign w:val="bottom"/>
            <w:tcBorders>
              <w:bottom w:val="single" w:sz="8" w:color="auto"/>
            </w:tcBorders>
            <w:shd w:val="clear" w:color="auto" w:fill="0075C9"/>
          </w:tcPr>
          <w:p>
            <w:pPr>
              <w:ind w:left="10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6"/>
                <w:szCs w:val="16"/>
                <w:color w:val="auto"/>
                <w:w w:val="79"/>
              </w:rPr>
              <w:t xml:space="preserve">  </w:t>
            </w:r>
          </w:p>
        </w:tc>
        <w:tc>
          <w:tcPr>
            <w:tcW w:w="0" w:type="dxa"/>
            <w:vAlign w:val="bottom"/>
          </w:tcPr>
          <w:p>
            <w:pPr>
              <w:spacing w:after="0"/>
              <w:rPr>
                <w:sz w:val="1"/>
                <w:szCs w:val="1"/>
                <w:color w:val="auto"/>
              </w:rPr>
            </w:pPr>
          </w:p>
        </w:tc>
      </w:tr>
      <w:tr>
        <w:trPr>
          <w:trHeight w:val="169"/>
        </w:trPr>
        <w:tc>
          <w:tcPr>
            <w:tcW w:w="5500" w:type="dxa"/>
            <w:vAlign w:val="bottom"/>
            <w:tcBorders>
              <w:left w:val="single" w:sz="8" w:color="auto"/>
            </w:tcBorders>
          </w:tcPr>
          <w:p>
            <w:pPr>
              <w:ind w:left="160"/>
              <w:spacing w:after="0" w:line="169" w:lineRule="exact"/>
              <w:rPr>
                <w:sz w:val="20"/>
                <w:szCs w:val="20"/>
                <w:color w:val="auto"/>
              </w:rPr>
            </w:pPr>
            <w:r>
              <w:rPr>
                <w:rFonts w:ascii="Arial" w:cs="Arial" w:eastAsia="Arial" w:hAnsi="Arial"/>
                <w:sz w:val="16"/>
                <w:szCs w:val="16"/>
                <w:b w:val="1"/>
                <w:bCs w:val="1"/>
                <w:color w:val="auto"/>
              </w:rPr>
              <w:t>Medicine and Scientific Research</w:t>
            </w:r>
          </w:p>
        </w:tc>
        <w:tc>
          <w:tcPr>
            <w:tcW w:w="22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Knowledge of relevant sciences and research experience provides</w:t>
            </w:r>
          </w:p>
        </w:tc>
        <w:tc>
          <w:tcPr>
            <w:tcW w:w="220" w:type="dxa"/>
            <w:vAlign w:val="bottom"/>
            <w:tcBorders>
              <w:left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Directors with a deep understanding of Biogen’s key therapeutic areas and</w:t>
            </w:r>
          </w:p>
        </w:tc>
        <w:tc>
          <w:tcPr>
            <w:tcW w:w="220" w:type="dxa"/>
            <w:vAlign w:val="bottom"/>
            <w:tcBorders>
              <w:left w:val="single" w:sz="8" w:color="auto"/>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an appreciation for our mission to deliver breakthroughs that change</w:t>
            </w:r>
          </w:p>
        </w:tc>
        <w:tc>
          <w:tcPr>
            <w:tcW w:w="220" w:type="dxa"/>
            <w:vAlign w:val="bottom"/>
            <w:tcBorders>
              <w:left w:val="single" w:sz="8" w:color="auto"/>
            </w:tcBorders>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40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0075C9"/>
                <w:w w:val="74"/>
              </w:rPr>
              <w:t>✓</w:t>
            </w:r>
          </w:p>
        </w:tc>
        <w:tc>
          <w:tcPr>
            <w:tcW w:w="1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vMerge w:val="restart"/>
          </w:tcPr>
          <w:p>
            <w:pPr>
              <w:jc w:val="center"/>
              <w:ind w:right="39"/>
              <w:spacing w:after="0" w:line="161" w:lineRule="exact"/>
              <w:rPr>
                <w:sz w:val="20"/>
                <w:szCs w:val="20"/>
                <w:color w:val="auto"/>
              </w:rPr>
            </w:pPr>
            <w:r>
              <w:rPr>
                <w:rFonts w:ascii="MS PGothic" w:cs="MS PGothic" w:eastAsia="MS PGothic" w:hAnsi="MS PGothic"/>
                <w:sz w:val="16"/>
                <w:szCs w:val="16"/>
                <w:color w:val="0075C9"/>
                <w:w w:val="87"/>
              </w:rPr>
              <w:t>✓</w:t>
            </w:r>
          </w:p>
        </w:tc>
        <w:tc>
          <w:tcPr>
            <w:tcW w:w="200" w:type="dxa"/>
            <w:vAlign w:val="bottom"/>
          </w:tcPr>
          <w:p>
            <w:pPr>
              <w:spacing w:after="0"/>
              <w:rPr>
                <w:sz w:val="16"/>
                <w:szCs w:val="16"/>
                <w:color w:val="auto"/>
              </w:rPr>
            </w:pPr>
          </w:p>
        </w:tc>
        <w:tc>
          <w:tcPr>
            <w:tcW w:w="360" w:type="dxa"/>
            <w:vAlign w:val="bottom"/>
            <w:tcBorders>
              <w:right w:val="single" w:sz="8" w:color="auto"/>
            </w:tcBorders>
            <w:vMerge w:val="restart"/>
          </w:tcPr>
          <w:p>
            <w:pPr>
              <w:ind w:left="60"/>
              <w:spacing w:after="0" w:line="161" w:lineRule="exact"/>
              <w:rPr>
                <w:sz w:val="20"/>
                <w:szCs w:val="20"/>
                <w:color w:val="auto"/>
              </w:rPr>
            </w:pPr>
            <w:r>
              <w:rPr>
                <w:rFonts w:ascii="MS PGothic" w:cs="MS PGothic" w:eastAsia="MS PGothic" w:hAnsi="MS PGothic"/>
                <w:sz w:val="16"/>
                <w:szCs w:val="16"/>
                <w:color w:val="0075C9"/>
              </w:rPr>
              <w:t>✓</w:t>
            </w:r>
          </w:p>
        </w:tc>
        <w:tc>
          <w:tcPr>
            <w:tcW w:w="2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patients’ lives</w:t>
            </w:r>
          </w:p>
        </w:tc>
        <w:tc>
          <w:tcPr>
            <w:tcW w:w="22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20" w:type="dxa"/>
            <w:vAlign w:val="bottom"/>
            <w:tcBorders>
              <w:left w:val="single" w:sz="8" w:color="auto"/>
              <w:bottom w:val="single" w:sz="8" w:color="0075C9"/>
            </w:tcBorders>
            <w:gridSpan w:val="2"/>
            <w:shd w:val="clear" w:color="auto" w:fill="0075C9"/>
          </w:tcPr>
          <w:p>
            <w:pPr>
              <w:ind w:left="160"/>
              <w:spacing w:after="0"/>
              <w:rPr>
                <w:sz w:val="20"/>
                <w:szCs w:val="20"/>
                <w:color w:val="auto"/>
              </w:rPr>
            </w:pPr>
            <w:r>
              <w:rPr>
                <w:rFonts w:ascii="Arial" w:cs="Arial" w:eastAsia="Arial" w:hAnsi="Arial"/>
                <w:sz w:val="16"/>
                <w:szCs w:val="16"/>
                <w:b w:val="1"/>
                <w:bCs w:val="1"/>
                <w:color w:val="FFFFFF"/>
              </w:rPr>
              <w:t>Background</w:t>
            </w:r>
          </w:p>
        </w:tc>
        <w:tc>
          <w:tcPr>
            <w:tcW w:w="340" w:type="dxa"/>
            <w:vAlign w:val="bottom"/>
            <w:tcBorders>
              <w:bottom w:val="single" w:sz="8" w:color="0075C9"/>
              <w:right w:val="single" w:sz="8" w:color="0075C9"/>
            </w:tcBorders>
            <w:shd w:val="clear" w:color="auto" w:fill="0075C9"/>
          </w:tcPr>
          <w:p>
            <w:pPr>
              <w:spacing w:after="0"/>
              <w:rPr>
                <w:sz w:val="22"/>
                <w:szCs w:val="22"/>
                <w:color w:val="auto"/>
              </w:rPr>
            </w:pPr>
          </w:p>
        </w:tc>
        <w:tc>
          <w:tcPr>
            <w:tcW w:w="200" w:type="dxa"/>
            <w:vAlign w:val="bottom"/>
            <w:tcBorders>
              <w:bottom w:val="single" w:sz="8" w:color="0075C9"/>
            </w:tcBorders>
            <w:shd w:val="clear" w:color="auto" w:fill="0075C9"/>
          </w:tcPr>
          <w:p>
            <w:pPr>
              <w:spacing w:after="0"/>
              <w:rPr>
                <w:sz w:val="22"/>
                <w:szCs w:val="22"/>
                <w:color w:val="auto"/>
              </w:rPr>
            </w:pPr>
          </w:p>
        </w:tc>
        <w:tc>
          <w:tcPr>
            <w:tcW w:w="340" w:type="dxa"/>
            <w:vAlign w:val="bottom"/>
            <w:tcBorders>
              <w:bottom w:val="single" w:sz="8" w:color="0075C9"/>
              <w:right w:val="single" w:sz="8" w:color="0075C9"/>
            </w:tcBorders>
            <w:shd w:val="clear" w:color="auto" w:fill="0075C9"/>
          </w:tcPr>
          <w:p>
            <w:pPr>
              <w:spacing w:after="0"/>
              <w:rPr>
                <w:sz w:val="22"/>
                <w:szCs w:val="22"/>
                <w:color w:val="auto"/>
              </w:rPr>
            </w:pPr>
          </w:p>
        </w:tc>
        <w:tc>
          <w:tcPr>
            <w:tcW w:w="200" w:type="dxa"/>
            <w:vAlign w:val="bottom"/>
            <w:tcBorders>
              <w:bottom w:val="single" w:sz="8" w:color="0075C9"/>
            </w:tcBorders>
            <w:shd w:val="clear" w:color="auto" w:fill="0075C9"/>
          </w:tcPr>
          <w:p>
            <w:pPr>
              <w:spacing w:after="0"/>
              <w:rPr>
                <w:sz w:val="22"/>
                <w:szCs w:val="22"/>
                <w:color w:val="auto"/>
              </w:rPr>
            </w:pPr>
          </w:p>
        </w:tc>
        <w:tc>
          <w:tcPr>
            <w:tcW w:w="340" w:type="dxa"/>
            <w:vAlign w:val="bottom"/>
            <w:tcBorders>
              <w:bottom w:val="single" w:sz="8" w:color="0075C9"/>
              <w:right w:val="single" w:sz="8" w:color="0075C9"/>
            </w:tcBorders>
            <w:shd w:val="clear" w:color="auto" w:fill="0075C9"/>
          </w:tcPr>
          <w:p>
            <w:pPr>
              <w:spacing w:after="0"/>
              <w:rPr>
                <w:sz w:val="22"/>
                <w:szCs w:val="22"/>
                <w:color w:val="auto"/>
              </w:rPr>
            </w:pPr>
          </w:p>
        </w:tc>
        <w:tc>
          <w:tcPr>
            <w:tcW w:w="200" w:type="dxa"/>
            <w:vAlign w:val="bottom"/>
            <w:tcBorders>
              <w:bottom w:val="single" w:sz="8" w:color="0075C9"/>
            </w:tcBorders>
            <w:shd w:val="clear" w:color="auto" w:fill="0075C9"/>
          </w:tcPr>
          <w:p>
            <w:pPr>
              <w:spacing w:after="0"/>
              <w:rPr>
                <w:sz w:val="22"/>
                <w:szCs w:val="22"/>
                <w:color w:val="auto"/>
              </w:rPr>
            </w:pPr>
          </w:p>
        </w:tc>
        <w:tc>
          <w:tcPr>
            <w:tcW w:w="340" w:type="dxa"/>
            <w:vAlign w:val="bottom"/>
            <w:tcBorders>
              <w:bottom w:val="single" w:sz="8" w:color="0075C9"/>
              <w:right w:val="single" w:sz="8" w:color="0075C9"/>
            </w:tcBorders>
            <w:shd w:val="clear" w:color="auto" w:fill="0075C9"/>
          </w:tcPr>
          <w:p>
            <w:pPr>
              <w:spacing w:after="0"/>
              <w:rPr>
                <w:sz w:val="22"/>
                <w:szCs w:val="22"/>
                <w:color w:val="auto"/>
              </w:rPr>
            </w:pPr>
          </w:p>
        </w:tc>
        <w:tc>
          <w:tcPr>
            <w:tcW w:w="200" w:type="dxa"/>
            <w:vAlign w:val="bottom"/>
            <w:tcBorders>
              <w:bottom w:val="single" w:sz="8" w:color="0075C9"/>
            </w:tcBorders>
            <w:shd w:val="clear" w:color="auto" w:fill="0075C9"/>
          </w:tcPr>
          <w:p>
            <w:pPr>
              <w:spacing w:after="0"/>
              <w:rPr>
                <w:sz w:val="22"/>
                <w:szCs w:val="22"/>
                <w:color w:val="auto"/>
              </w:rPr>
            </w:pPr>
          </w:p>
        </w:tc>
        <w:tc>
          <w:tcPr>
            <w:tcW w:w="340" w:type="dxa"/>
            <w:vAlign w:val="bottom"/>
            <w:tcBorders>
              <w:bottom w:val="single" w:sz="8" w:color="0075C9"/>
              <w:right w:val="single" w:sz="8" w:color="0075C9"/>
            </w:tcBorders>
            <w:shd w:val="clear" w:color="auto" w:fill="0075C9"/>
          </w:tcPr>
          <w:p>
            <w:pPr>
              <w:spacing w:after="0"/>
              <w:rPr>
                <w:sz w:val="22"/>
                <w:szCs w:val="22"/>
                <w:color w:val="auto"/>
              </w:rPr>
            </w:pPr>
          </w:p>
        </w:tc>
        <w:tc>
          <w:tcPr>
            <w:tcW w:w="400" w:type="dxa"/>
            <w:vAlign w:val="bottom"/>
            <w:tcBorders>
              <w:bottom w:val="single" w:sz="8" w:color="0075C9"/>
            </w:tcBorders>
            <w:shd w:val="clear" w:color="auto" w:fill="0075C9"/>
          </w:tcPr>
          <w:p>
            <w:pPr>
              <w:spacing w:after="0"/>
              <w:rPr>
                <w:sz w:val="22"/>
                <w:szCs w:val="22"/>
                <w:color w:val="auto"/>
              </w:rPr>
            </w:pPr>
          </w:p>
        </w:tc>
        <w:tc>
          <w:tcPr>
            <w:tcW w:w="160" w:type="dxa"/>
            <w:vAlign w:val="bottom"/>
            <w:tcBorders>
              <w:bottom w:val="single" w:sz="8" w:color="0075C9"/>
              <w:right w:val="single" w:sz="8" w:color="0075C9"/>
            </w:tcBorders>
            <w:shd w:val="clear" w:color="auto" w:fill="0075C9"/>
          </w:tcPr>
          <w:p>
            <w:pPr>
              <w:spacing w:after="0"/>
              <w:rPr>
                <w:sz w:val="22"/>
                <w:szCs w:val="22"/>
                <w:color w:val="auto"/>
              </w:rPr>
            </w:pPr>
          </w:p>
        </w:tc>
        <w:tc>
          <w:tcPr>
            <w:tcW w:w="560" w:type="dxa"/>
            <w:vAlign w:val="bottom"/>
            <w:tcBorders>
              <w:bottom w:val="single" w:sz="8" w:color="0075C9"/>
              <w:right w:val="single" w:sz="8" w:color="0075C9"/>
            </w:tcBorders>
            <w:shd w:val="clear" w:color="auto" w:fill="0075C9"/>
          </w:tcPr>
          <w:p>
            <w:pPr>
              <w:spacing w:after="0"/>
              <w:rPr>
                <w:sz w:val="22"/>
                <w:szCs w:val="22"/>
                <w:color w:val="auto"/>
              </w:rPr>
            </w:pPr>
          </w:p>
        </w:tc>
        <w:tc>
          <w:tcPr>
            <w:tcW w:w="200" w:type="dxa"/>
            <w:vAlign w:val="bottom"/>
            <w:tcBorders>
              <w:bottom w:val="single" w:sz="8" w:color="0075C9"/>
            </w:tcBorders>
            <w:shd w:val="clear" w:color="auto" w:fill="0075C9"/>
          </w:tcPr>
          <w:p>
            <w:pPr>
              <w:spacing w:after="0"/>
              <w:rPr>
                <w:sz w:val="22"/>
                <w:szCs w:val="22"/>
                <w:color w:val="auto"/>
              </w:rPr>
            </w:pPr>
          </w:p>
        </w:tc>
        <w:tc>
          <w:tcPr>
            <w:tcW w:w="340" w:type="dxa"/>
            <w:vAlign w:val="bottom"/>
            <w:tcBorders>
              <w:bottom w:val="single" w:sz="8" w:color="0075C9"/>
              <w:right w:val="single" w:sz="8" w:color="0075C9"/>
            </w:tcBorders>
            <w:shd w:val="clear" w:color="auto" w:fill="0075C9"/>
          </w:tcPr>
          <w:p>
            <w:pPr>
              <w:spacing w:after="0"/>
              <w:rPr>
                <w:sz w:val="22"/>
                <w:szCs w:val="22"/>
                <w:color w:val="auto"/>
              </w:rPr>
            </w:pPr>
          </w:p>
        </w:tc>
        <w:tc>
          <w:tcPr>
            <w:tcW w:w="200" w:type="dxa"/>
            <w:vAlign w:val="bottom"/>
            <w:tcBorders>
              <w:bottom w:val="single" w:sz="8" w:color="0075C9"/>
            </w:tcBorders>
            <w:shd w:val="clear" w:color="auto" w:fill="0075C9"/>
          </w:tcPr>
          <w:p>
            <w:pPr>
              <w:spacing w:after="0"/>
              <w:rPr>
                <w:sz w:val="22"/>
                <w:szCs w:val="22"/>
                <w:color w:val="auto"/>
              </w:rPr>
            </w:pPr>
          </w:p>
        </w:tc>
        <w:tc>
          <w:tcPr>
            <w:tcW w:w="360" w:type="dxa"/>
            <w:vAlign w:val="bottom"/>
            <w:tcBorders>
              <w:bottom w:val="single" w:sz="8" w:color="0075C9"/>
              <w:right w:val="single" w:sz="8" w:color="0075C9"/>
            </w:tcBorders>
            <w:shd w:val="clear" w:color="auto" w:fill="0075C9"/>
          </w:tcPr>
          <w:p>
            <w:pPr>
              <w:spacing w:after="0"/>
              <w:rPr>
                <w:sz w:val="22"/>
                <w:szCs w:val="22"/>
                <w:color w:val="auto"/>
              </w:rPr>
            </w:pPr>
          </w:p>
        </w:tc>
        <w:tc>
          <w:tcPr>
            <w:tcW w:w="220" w:type="dxa"/>
            <w:vAlign w:val="bottom"/>
            <w:tcBorders>
              <w:bottom w:val="single" w:sz="8" w:color="0075C9"/>
            </w:tcBorders>
            <w:shd w:val="clear" w:color="auto" w:fill="0075C9"/>
          </w:tcPr>
          <w:p>
            <w:pPr>
              <w:spacing w:after="0"/>
              <w:rPr>
                <w:sz w:val="22"/>
                <w:szCs w:val="22"/>
                <w:color w:val="auto"/>
              </w:rPr>
            </w:pPr>
          </w:p>
        </w:tc>
        <w:tc>
          <w:tcPr>
            <w:tcW w:w="380" w:type="dxa"/>
            <w:vAlign w:val="bottom"/>
            <w:tcBorders>
              <w:bottom w:val="single" w:sz="8" w:color="0075C9"/>
              <w:right w:val="single" w:sz="8" w:color="auto"/>
            </w:tcBorders>
            <w:shd w:val="clear" w:color="auto" w:fill="0075C9"/>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auto"/>
              <w:left w:val="single" w:sz="8" w:color="auto"/>
              <w:bottom w:val="single" w:sz="8" w:color="auto"/>
            </w:tcBorders>
            <w:shd w:val="clear" w:color="auto" w:fill="E5F1F9"/>
          </w:tcPr>
          <w:p>
            <w:pPr>
              <w:ind w:left="160"/>
              <w:spacing w:after="0"/>
              <w:rPr>
                <w:sz w:val="20"/>
                <w:szCs w:val="20"/>
                <w:color w:val="auto"/>
              </w:rPr>
            </w:pPr>
            <w:r>
              <w:rPr>
                <w:rFonts w:ascii="Arial" w:cs="Arial" w:eastAsia="Arial" w:hAnsi="Arial"/>
                <w:sz w:val="16"/>
                <w:szCs w:val="16"/>
                <w:b w:val="1"/>
                <w:bCs w:val="1"/>
                <w:color w:val="auto"/>
              </w:rPr>
              <w:t>Gender</w:t>
            </w:r>
          </w:p>
        </w:tc>
        <w:tc>
          <w:tcPr>
            <w:tcW w:w="220" w:type="dxa"/>
            <w:vAlign w:val="bottom"/>
            <w:tcBorders>
              <w:top w:val="single" w:sz="8" w:color="auto"/>
              <w:left w:val="single" w:sz="8" w:color="auto"/>
              <w:bottom w:val="single" w:sz="8" w:color="auto"/>
            </w:tcBorders>
            <w:shd w:val="clear" w:color="auto" w:fill="E5F1F9"/>
          </w:tcPr>
          <w:p>
            <w:pPr>
              <w:spacing w:after="0"/>
              <w:rPr>
                <w:sz w:val="18"/>
                <w:szCs w:val="18"/>
                <w:color w:val="auto"/>
              </w:rPr>
            </w:pPr>
          </w:p>
        </w:tc>
        <w:tc>
          <w:tcPr>
            <w:tcW w:w="340" w:type="dxa"/>
            <w:vAlign w:val="bottom"/>
            <w:tcBorders>
              <w:top w:val="single" w:sz="8" w:color="auto"/>
              <w:bottom w:val="single" w:sz="8" w:color="auto"/>
              <w:right w:val="single" w:sz="8" w:color="auto"/>
            </w:tcBorders>
            <w:shd w:val="clear" w:color="auto" w:fill="E5F1F9"/>
          </w:tcPr>
          <w:p>
            <w:pPr>
              <w:ind w:left="60"/>
              <w:spacing w:after="0"/>
              <w:rPr>
                <w:sz w:val="20"/>
                <w:szCs w:val="20"/>
                <w:color w:val="auto"/>
              </w:rPr>
            </w:pPr>
            <w:r>
              <w:rPr>
                <w:rFonts w:ascii="Arial" w:cs="Arial" w:eastAsia="Arial" w:hAnsi="Arial"/>
                <w:sz w:val="16"/>
                <w:szCs w:val="16"/>
                <w:b w:val="1"/>
                <w:bCs w:val="1"/>
                <w:color w:val="auto"/>
              </w:rPr>
              <w:t>F</w:t>
            </w:r>
          </w:p>
        </w:tc>
        <w:tc>
          <w:tcPr>
            <w:tcW w:w="200" w:type="dxa"/>
            <w:vAlign w:val="bottom"/>
            <w:tcBorders>
              <w:top w:val="single" w:sz="8" w:color="auto"/>
              <w:bottom w:val="single" w:sz="8" w:color="auto"/>
            </w:tcBorders>
            <w:shd w:val="clear" w:color="auto" w:fill="E5F1F9"/>
          </w:tcPr>
          <w:p>
            <w:pPr>
              <w:spacing w:after="0"/>
              <w:rPr>
                <w:sz w:val="18"/>
                <w:szCs w:val="18"/>
                <w:color w:val="auto"/>
              </w:rPr>
            </w:pPr>
          </w:p>
        </w:tc>
        <w:tc>
          <w:tcPr>
            <w:tcW w:w="340" w:type="dxa"/>
            <w:vAlign w:val="bottom"/>
            <w:tcBorders>
              <w:top w:val="single" w:sz="8" w:color="auto"/>
              <w:bottom w:val="single" w:sz="8" w:color="auto"/>
              <w:right w:val="single" w:sz="8" w:color="auto"/>
            </w:tcBorders>
            <w:shd w:val="clear" w:color="auto" w:fill="E5F1F9"/>
          </w:tcPr>
          <w:p>
            <w:pPr>
              <w:ind w:left="40"/>
              <w:spacing w:after="0"/>
              <w:rPr>
                <w:sz w:val="20"/>
                <w:szCs w:val="20"/>
                <w:color w:val="auto"/>
              </w:rPr>
            </w:pPr>
            <w:r>
              <w:rPr>
                <w:rFonts w:ascii="Arial" w:cs="Arial" w:eastAsia="Arial" w:hAnsi="Arial"/>
                <w:sz w:val="16"/>
                <w:szCs w:val="16"/>
                <w:b w:val="1"/>
                <w:bCs w:val="1"/>
                <w:color w:val="auto"/>
              </w:rPr>
              <w:t>M</w:t>
            </w:r>
          </w:p>
        </w:tc>
        <w:tc>
          <w:tcPr>
            <w:tcW w:w="200" w:type="dxa"/>
            <w:vAlign w:val="bottom"/>
            <w:tcBorders>
              <w:top w:val="single" w:sz="8" w:color="auto"/>
              <w:bottom w:val="single" w:sz="8" w:color="auto"/>
            </w:tcBorders>
            <w:shd w:val="clear" w:color="auto" w:fill="E5F1F9"/>
          </w:tcPr>
          <w:p>
            <w:pPr>
              <w:spacing w:after="0"/>
              <w:rPr>
                <w:sz w:val="18"/>
                <w:szCs w:val="18"/>
                <w:color w:val="auto"/>
              </w:rPr>
            </w:pPr>
          </w:p>
        </w:tc>
        <w:tc>
          <w:tcPr>
            <w:tcW w:w="340" w:type="dxa"/>
            <w:vAlign w:val="bottom"/>
            <w:tcBorders>
              <w:top w:val="single" w:sz="8" w:color="auto"/>
              <w:bottom w:val="single" w:sz="8" w:color="auto"/>
              <w:right w:val="single" w:sz="8" w:color="auto"/>
            </w:tcBorders>
            <w:shd w:val="clear" w:color="auto" w:fill="E5F1F9"/>
          </w:tcPr>
          <w:p>
            <w:pPr>
              <w:ind w:left="60"/>
              <w:spacing w:after="0"/>
              <w:rPr>
                <w:sz w:val="20"/>
                <w:szCs w:val="20"/>
                <w:color w:val="auto"/>
              </w:rPr>
            </w:pPr>
            <w:r>
              <w:rPr>
                <w:rFonts w:ascii="Arial" w:cs="Arial" w:eastAsia="Arial" w:hAnsi="Arial"/>
                <w:sz w:val="16"/>
                <w:szCs w:val="16"/>
                <w:b w:val="1"/>
                <w:bCs w:val="1"/>
                <w:color w:val="auto"/>
              </w:rPr>
              <w:t>F</w:t>
            </w:r>
          </w:p>
        </w:tc>
        <w:tc>
          <w:tcPr>
            <w:tcW w:w="200" w:type="dxa"/>
            <w:vAlign w:val="bottom"/>
            <w:tcBorders>
              <w:top w:val="single" w:sz="8" w:color="auto"/>
              <w:bottom w:val="single" w:sz="8" w:color="auto"/>
            </w:tcBorders>
            <w:shd w:val="clear" w:color="auto" w:fill="E5F1F9"/>
          </w:tcPr>
          <w:p>
            <w:pPr>
              <w:spacing w:after="0"/>
              <w:rPr>
                <w:sz w:val="18"/>
                <w:szCs w:val="18"/>
                <w:color w:val="auto"/>
              </w:rPr>
            </w:pPr>
          </w:p>
        </w:tc>
        <w:tc>
          <w:tcPr>
            <w:tcW w:w="340" w:type="dxa"/>
            <w:vAlign w:val="bottom"/>
            <w:tcBorders>
              <w:top w:val="single" w:sz="8" w:color="auto"/>
              <w:bottom w:val="single" w:sz="8" w:color="auto"/>
              <w:right w:val="single" w:sz="8" w:color="auto"/>
            </w:tcBorders>
            <w:shd w:val="clear" w:color="auto" w:fill="E5F1F9"/>
          </w:tcPr>
          <w:p>
            <w:pPr>
              <w:ind w:left="40"/>
              <w:spacing w:after="0"/>
              <w:rPr>
                <w:sz w:val="20"/>
                <w:szCs w:val="20"/>
                <w:color w:val="auto"/>
              </w:rPr>
            </w:pPr>
            <w:r>
              <w:rPr>
                <w:rFonts w:ascii="Arial" w:cs="Arial" w:eastAsia="Arial" w:hAnsi="Arial"/>
                <w:sz w:val="16"/>
                <w:szCs w:val="16"/>
                <w:b w:val="1"/>
                <w:bCs w:val="1"/>
                <w:color w:val="auto"/>
              </w:rPr>
              <w:t>M</w:t>
            </w:r>
          </w:p>
        </w:tc>
        <w:tc>
          <w:tcPr>
            <w:tcW w:w="200" w:type="dxa"/>
            <w:vAlign w:val="bottom"/>
            <w:tcBorders>
              <w:top w:val="single" w:sz="8" w:color="auto"/>
              <w:bottom w:val="single" w:sz="8" w:color="auto"/>
            </w:tcBorders>
            <w:shd w:val="clear" w:color="auto" w:fill="E5F1F9"/>
          </w:tcPr>
          <w:p>
            <w:pPr>
              <w:spacing w:after="0"/>
              <w:rPr>
                <w:sz w:val="18"/>
                <w:szCs w:val="18"/>
                <w:color w:val="auto"/>
              </w:rPr>
            </w:pPr>
          </w:p>
        </w:tc>
        <w:tc>
          <w:tcPr>
            <w:tcW w:w="340" w:type="dxa"/>
            <w:vAlign w:val="bottom"/>
            <w:tcBorders>
              <w:top w:val="single" w:sz="8" w:color="auto"/>
              <w:bottom w:val="single" w:sz="8" w:color="auto"/>
              <w:right w:val="single" w:sz="8" w:color="auto"/>
            </w:tcBorders>
            <w:shd w:val="clear" w:color="auto" w:fill="E5F1F9"/>
          </w:tcPr>
          <w:p>
            <w:pPr>
              <w:ind w:left="40"/>
              <w:spacing w:after="0"/>
              <w:rPr>
                <w:sz w:val="20"/>
                <w:szCs w:val="20"/>
                <w:color w:val="auto"/>
              </w:rPr>
            </w:pPr>
            <w:r>
              <w:rPr>
                <w:rFonts w:ascii="Arial" w:cs="Arial" w:eastAsia="Arial" w:hAnsi="Arial"/>
                <w:sz w:val="16"/>
                <w:szCs w:val="16"/>
                <w:b w:val="1"/>
                <w:bCs w:val="1"/>
                <w:color w:val="auto"/>
              </w:rPr>
              <w:t>M</w:t>
            </w:r>
          </w:p>
        </w:tc>
        <w:tc>
          <w:tcPr>
            <w:tcW w:w="400" w:type="dxa"/>
            <w:vAlign w:val="bottom"/>
            <w:tcBorders>
              <w:top w:val="single" w:sz="8" w:color="auto"/>
              <w:bottom w:val="single" w:sz="8" w:color="auto"/>
            </w:tcBorders>
            <w:shd w:val="clear" w:color="auto" w:fill="E5F1F9"/>
          </w:tcPr>
          <w:p>
            <w:pPr>
              <w:ind w:left="260"/>
              <w:spacing w:after="0"/>
              <w:rPr>
                <w:sz w:val="20"/>
                <w:szCs w:val="20"/>
                <w:color w:val="auto"/>
              </w:rPr>
            </w:pPr>
            <w:r>
              <w:rPr>
                <w:rFonts w:ascii="Arial" w:cs="Arial" w:eastAsia="Arial" w:hAnsi="Arial"/>
                <w:sz w:val="16"/>
                <w:szCs w:val="16"/>
                <w:b w:val="1"/>
                <w:bCs w:val="1"/>
                <w:color w:val="auto"/>
                <w:w w:val="89"/>
              </w:rPr>
              <w:t>M</w:t>
            </w:r>
          </w:p>
        </w:tc>
        <w:tc>
          <w:tcPr>
            <w:tcW w:w="160" w:type="dxa"/>
            <w:vAlign w:val="bottom"/>
            <w:tcBorders>
              <w:top w:val="single" w:sz="8" w:color="auto"/>
              <w:bottom w:val="single" w:sz="8" w:color="auto"/>
              <w:right w:val="single" w:sz="8" w:color="auto"/>
            </w:tcBorders>
            <w:shd w:val="clear" w:color="auto" w:fill="E5F1F9"/>
          </w:tcPr>
          <w:p>
            <w:pPr>
              <w:spacing w:after="0"/>
              <w:rPr>
                <w:sz w:val="18"/>
                <w:szCs w:val="18"/>
                <w:color w:val="auto"/>
              </w:rPr>
            </w:pPr>
          </w:p>
        </w:tc>
        <w:tc>
          <w:tcPr>
            <w:tcW w:w="560" w:type="dxa"/>
            <w:vAlign w:val="bottom"/>
            <w:tcBorders>
              <w:top w:val="single" w:sz="8" w:color="auto"/>
              <w:bottom w:val="single" w:sz="8" w:color="auto"/>
              <w:right w:val="single" w:sz="8" w:color="auto"/>
            </w:tcBorders>
            <w:shd w:val="clear" w:color="auto" w:fill="E5F1F9"/>
          </w:tcPr>
          <w:p>
            <w:pPr>
              <w:jc w:val="center"/>
              <w:spacing w:after="0"/>
              <w:rPr>
                <w:sz w:val="20"/>
                <w:szCs w:val="20"/>
                <w:color w:val="auto"/>
              </w:rPr>
            </w:pPr>
            <w:r>
              <w:rPr>
                <w:rFonts w:ascii="Arial" w:cs="Arial" w:eastAsia="Arial" w:hAnsi="Arial"/>
                <w:sz w:val="16"/>
                <w:szCs w:val="16"/>
                <w:b w:val="1"/>
                <w:bCs w:val="1"/>
                <w:color w:val="auto"/>
              </w:rPr>
              <w:t>M</w:t>
            </w:r>
          </w:p>
        </w:tc>
        <w:tc>
          <w:tcPr>
            <w:tcW w:w="200" w:type="dxa"/>
            <w:vAlign w:val="bottom"/>
            <w:tcBorders>
              <w:top w:val="single" w:sz="8" w:color="auto"/>
              <w:bottom w:val="single" w:sz="8" w:color="auto"/>
            </w:tcBorders>
            <w:shd w:val="clear" w:color="auto" w:fill="E5F1F9"/>
          </w:tcPr>
          <w:p>
            <w:pPr>
              <w:spacing w:after="0"/>
              <w:rPr>
                <w:sz w:val="18"/>
                <w:szCs w:val="18"/>
                <w:color w:val="auto"/>
              </w:rPr>
            </w:pPr>
          </w:p>
        </w:tc>
        <w:tc>
          <w:tcPr>
            <w:tcW w:w="340" w:type="dxa"/>
            <w:vAlign w:val="bottom"/>
            <w:tcBorders>
              <w:top w:val="single" w:sz="8" w:color="auto"/>
              <w:bottom w:val="single" w:sz="8" w:color="auto"/>
              <w:right w:val="single" w:sz="8" w:color="auto"/>
            </w:tcBorders>
            <w:shd w:val="clear" w:color="auto" w:fill="E5F1F9"/>
          </w:tcPr>
          <w:p>
            <w:pPr>
              <w:jc w:val="center"/>
              <w:ind w:right="39"/>
              <w:spacing w:after="0"/>
              <w:rPr>
                <w:sz w:val="20"/>
                <w:szCs w:val="20"/>
                <w:color w:val="auto"/>
              </w:rPr>
            </w:pPr>
            <w:r>
              <w:rPr>
                <w:rFonts w:ascii="Arial" w:cs="Arial" w:eastAsia="Arial" w:hAnsi="Arial"/>
                <w:sz w:val="16"/>
                <w:szCs w:val="16"/>
                <w:b w:val="1"/>
                <w:bCs w:val="1"/>
                <w:color w:val="auto"/>
              </w:rPr>
              <w:t>M</w:t>
            </w:r>
          </w:p>
        </w:tc>
        <w:tc>
          <w:tcPr>
            <w:tcW w:w="200" w:type="dxa"/>
            <w:vAlign w:val="bottom"/>
            <w:tcBorders>
              <w:top w:val="single" w:sz="8" w:color="auto"/>
              <w:bottom w:val="single" w:sz="8" w:color="auto"/>
            </w:tcBorders>
            <w:shd w:val="clear" w:color="auto" w:fill="E5F1F9"/>
          </w:tcPr>
          <w:p>
            <w:pPr>
              <w:spacing w:after="0"/>
              <w:rPr>
                <w:sz w:val="18"/>
                <w:szCs w:val="18"/>
                <w:color w:val="auto"/>
              </w:rPr>
            </w:pPr>
          </w:p>
        </w:tc>
        <w:tc>
          <w:tcPr>
            <w:tcW w:w="360" w:type="dxa"/>
            <w:vAlign w:val="bottom"/>
            <w:tcBorders>
              <w:top w:val="single" w:sz="8" w:color="auto"/>
              <w:bottom w:val="single" w:sz="8" w:color="auto"/>
              <w:right w:val="single" w:sz="8" w:color="auto"/>
            </w:tcBorders>
            <w:shd w:val="clear" w:color="auto" w:fill="E5F1F9"/>
          </w:tcPr>
          <w:p>
            <w:pPr>
              <w:ind w:left="60"/>
              <w:spacing w:after="0"/>
              <w:rPr>
                <w:sz w:val="20"/>
                <w:szCs w:val="20"/>
                <w:color w:val="auto"/>
              </w:rPr>
            </w:pPr>
            <w:r>
              <w:rPr>
                <w:rFonts w:ascii="Arial" w:cs="Arial" w:eastAsia="Arial" w:hAnsi="Arial"/>
                <w:sz w:val="16"/>
                <w:szCs w:val="16"/>
                <w:b w:val="1"/>
                <w:bCs w:val="1"/>
                <w:color w:val="auto"/>
              </w:rPr>
              <w:t>M</w:t>
            </w:r>
          </w:p>
        </w:tc>
        <w:tc>
          <w:tcPr>
            <w:tcW w:w="220" w:type="dxa"/>
            <w:vAlign w:val="bottom"/>
            <w:tcBorders>
              <w:top w:val="single" w:sz="8" w:color="auto"/>
              <w:bottom w:val="single" w:sz="8" w:color="auto"/>
            </w:tcBorders>
            <w:shd w:val="clear" w:color="auto" w:fill="E5F1F9"/>
          </w:tcPr>
          <w:p>
            <w:pPr>
              <w:spacing w:after="0"/>
              <w:rPr>
                <w:sz w:val="18"/>
                <w:szCs w:val="18"/>
                <w:color w:val="auto"/>
              </w:rPr>
            </w:pPr>
          </w:p>
        </w:tc>
        <w:tc>
          <w:tcPr>
            <w:tcW w:w="380" w:type="dxa"/>
            <w:vAlign w:val="bottom"/>
            <w:tcBorders>
              <w:top w:val="single" w:sz="8" w:color="auto"/>
              <w:bottom w:val="single" w:sz="8" w:color="auto"/>
              <w:right w:val="single" w:sz="8" w:color="auto"/>
            </w:tcBorders>
            <w:shd w:val="clear" w:color="auto" w:fill="E5F1F9"/>
          </w:tcPr>
          <w:p>
            <w:pPr>
              <w:ind w:left="40"/>
              <w:spacing w:after="0"/>
              <w:rPr>
                <w:sz w:val="20"/>
                <w:szCs w:val="20"/>
                <w:color w:val="auto"/>
              </w:rPr>
            </w:pPr>
            <w:r>
              <w:rPr>
                <w:rFonts w:ascii="Arial" w:cs="Arial" w:eastAsia="Arial" w:hAnsi="Arial"/>
                <w:sz w:val="16"/>
                <w:szCs w:val="16"/>
                <w:b w:val="1"/>
                <w:bCs w:val="1"/>
                <w:color w:val="auto"/>
              </w:rPr>
              <w:t>M</w:t>
            </w:r>
          </w:p>
        </w:tc>
        <w:tc>
          <w:tcPr>
            <w:tcW w:w="0" w:type="dxa"/>
            <w:vAlign w:val="bottom"/>
          </w:tcPr>
          <w:p>
            <w:pPr>
              <w:spacing w:after="0"/>
              <w:rPr>
                <w:sz w:val="1"/>
                <w:szCs w:val="1"/>
                <w:color w:val="auto"/>
              </w:rPr>
            </w:pPr>
          </w:p>
        </w:tc>
      </w:tr>
      <w:tr>
        <w:trPr>
          <w:trHeight w:val="250"/>
        </w:trPr>
        <w:tc>
          <w:tcPr>
            <w:tcW w:w="55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Racially/Ethnically Diverse</w:t>
            </w:r>
          </w:p>
        </w:tc>
        <w:tc>
          <w:tcPr>
            <w:tcW w:w="220" w:type="dxa"/>
            <w:vAlign w:val="bottom"/>
            <w:tcBorders>
              <w:left w:val="single" w:sz="8" w:color="auto"/>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0075C9"/>
                <w:w w:val="87"/>
              </w:rPr>
              <w:t>✓</w:t>
            </w: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00" w:type="dxa"/>
            <w:vAlign w:val="bottom"/>
            <w:tcBorders>
              <w:left w:val="single" w:sz="8" w:color="auto"/>
              <w:bottom w:val="single" w:sz="8" w:color="auto"/>
            </w:tcBorders>
            <w:shd w:val="clear" w:color="auto" w:fill="E5F1F9"/>
          </w:tcPr>
          <w:p>
            <w:pPr>
              <w:ind w:left="160"/>
              <w:spacing w:after="0"/>
              <w:rPr>
                <w:sz w:val="20"/>
                <w:szCs w:val="20"/>
                <w:color w:val="auto"/>
              </w:rPr>
            </w:pPr>
            <w:r>
              <w:rPr>
                <w:rFonts w:ascii="Arial" w:cs="Arial" w:eastAsia="Arial" w:hAnsi="Arial"/>
                <w:sz w:val="16"/>
                <w:szCs w:val="16"/>
                <w:b w:val="1"/>
                <w:bCs w:val="1"/>
                <w:color w:val="auto"/>
              </w:rPr>
              <w:t>Did not Disclose Demographic Background</w:t>
            </w:r>
          </w:p>
        </w:tc>
        <w:tc>
          <w:tcPr>
            <w:tcW w:w="220" w:type="dxa"/>
            <w:vAlign w:val="bottom"/>
            <w:tcBorders>
              <w:left w:val="single" w:sz="8" w:color="auto"/>
              <w:bottom w:val="single" w:sz="8" w:color="auto"/>
            </w:tcBorders>
            <w:shd w:val="clear" w:color="auto" w:fill="E5F1F9"/>
          </w:tcPr>
          <w:p>
            <w:pPr>
              <w:spacing w:after="0"/>
              <w:rPr>
                <w:sz w:val="21"/>
                <w:szCs w:val="21"/>
                <w:color w:val="auto"/>
              </w:rPr>
            </w:pPr>
          </w:p>
        </w:tc>
        <w:tc>
          <w:tcPr>
            <w:tcW w:w="340" w:type="dxa"/>
            <w:vAlign w:val="bottom"/>
            <w:tcBorders>
              <w:bottom w:val="single" w:sz="8" w:color="auto"/>
              <w:right w:val="single" w:sz="8" w:color="auto"/>
            </w:tcBorders>
            <w:shd w:val="clear" w:color="auto" w:fill="E5F1F9"/>
          </w:tcPr>
          <w:p>
            <w:pPr>
              <w:spacing w:after="0"/>
              <w:rPr>
                <w:sz w:val="21"/>
                <w:szCs w:val="21"/>
                <w:color w:val="auto"/>
              </w:rPr>
            </w:pPr>
          </w:p>
        </w:tc>
        <w:tc>
          <w:tcPr>
            <w:tcW w:w="200" w:type="dxa"/>
            <w:vAlign w:val="bottom"/>
            <w:tcBorders>
              <w:bottom w:val="single" w:sz="8" w:color="auto"/>
            </w:tcBorders>
            <w:shd w:val="clear" w:color="auto" w:fill="E5F1F9"/>
          </w:tcPr>
          <w:p>
            <w:pPr>
              <w:spacing w:after="0"/>
              <w:rPr>
                <w:sz w:val="21"/>
                <w:szCs w:val="21"/>
                <w:color w:val="auto"/>
              </w:rPr>
            </w:pPr>
          </w:p>
        </w:tc>
        <w:tc>
          <w:tcPr>
            <w:tcW w:w="340" w:type="dxa"/>
            <w:vAlign w:val="bottom"/>
            <w:tcBorders>
              <w:bottom w:val="single" w:sz="8" w:color="auto"/>
              <w:right w:val="single" w:sz="8" w:color="auto"/>
            </w:tcBorders>
            <w:shd w:val="clear" w:color="auto" w:fill="E5F1F9"/>
          </w:tcPr>
          <w:p>
            <w:pPr>
              <w:spacing w:after="0"/>
              <w:rPr>
                <w:sz w:val="21"/>
                <w:szCs w:val="21"/>
                <w:color w:val="auto"/>
              </w:rPr>
            </w:pPr>
          </w:p>
        </w:tc>
        <w:tc>
          <w:tcPr>
            <w:tcW w:w="200" w:type="dxa"/>
            <w:vAlign w:val="bottom"/>
            <w:tcBorders>
              <w:bottom w:val="single" w:sz="8" w:color="auto"/>
            </w:tcBorders>
            <w:shd w:val="clear" w:color="auto" w:fill="E5F1F9"/>
          </w:tcPr>
          <w:p>
            <w:pPr>
              <w:spacing w:after="0"/>
              <w:rPr>
                <w:sz w:val="21"/>
                <w:szCs w:val="21"/>
                <w:color w:val="auto"/>
              </w:rPr>
            </w:pPr>
          </w:p>
        </w:tc>
        <w:tc>
          <w:tcPr>
            <w:tcW w:w="340" w:type="dxa"/>
            <w:vAlign w:val="bottom"/>
            <w:tcBorders>
              <w:bottom w:val="single" w:sz="8" w:color="auto"/>
              <w:right w:val="single" w:sz="8" w:color="auto"/>
            </w:tcBorders>
            <w:shd w:val="clear" w:color="auto" w:fill="E5F1F9"/>
          </w:tcPr>
          <w:p>
            <w:pPr>
              <w:ind w:left="40"/>
              <w:spacing w:after="0" w:line="161" w:lineRule="exact"/>
              <w:rPr>
                <w:sz w:val="20"/>
                <w:szCs w:val="20"/>
                <w:color w:val="auto"/>
              </w:rPr>
            </w:pPr>
            <w:r>
              <w:rPr>
                <w:rFonts w:ascii="MS PGothic" w:cs="MS PGothic" w:eastAsia="MS PGothic" w:hAnsi="MS PGothic"/>
                <w:sz w:val="16"/>
                <w:szCs w:val="16"/>
                <w:color w:val="0075C9"/>
              </w:rPr>
              <w:t>✓</w:t>
            </w:r>
          </w:p>
        </w:tc>
        <w:tc>
          <w:tcPr>
            <w:tcW w:w="200" w:type="dxa"/>
            <w:vAlign w:val="bottom"/>
            <w:tcBorders>
              <w:bottom w:val="single" w:sz="8" w:color="auto"/>
            </w:tcBorders>
            <w:shd w:val="clear" w:color="auto" w:fill="E5F1F9"/>
          </w:tcPr>
          <w:p>
            <w:pPr>
              <w:spacing w:after="0"/>
              <w:rPr>
                <w:sz w:val="21"/>
                <w:szCs w:val="21"/>
                <w:color w:val="auto"/>
              </w:rPr>
            </w:pPr>
          </w:p>
        </w:tc>
        <w:tc>
          <w:tcPr>
            <w:tcW w:w="340" w:type="dxa"/>
            <w:vAlign w:val="bottom"/>
            <w:tcBorders>
              <w:bottom w:val="single" w:sz="8" w:color="auto"/>
              <w:right w:val="single" w:sz="8" w:color="auto"/>
            </w:tcBorders>
            <w:shd w:val="clear" w:color="auto" w:fill="E5F1F9"/>
          </w:tcPr>
          <w:p>
            <w:pPr>
              <w:spacing w:after="0"/>
              <w:rPr>
                <w:sz w:val="21"/>
                <w:szCs w:val="21"/>
                <w:color w:val="auto"/>
              </w:rPr>
            </w:pPr>
          </w:p>
        </w:tc>
        <w:tc>
          <w:tcPr>
            <w:tcW w:w="200" w:type="dxa"/>
            <w:vAlign w:val="bottom"/>
            <w:tcBorders>
              <w:bottom w:val="single" w:sz="8" w:color="auto"/>
            </w:tcBorders>
            <w:shd w:val="clear" w:color="auto" w:fill="E5F1F9"/>
          </w:tcPr>
          <w:p>
            <w:pPr>
              <w:spacing w:after="0"/>
              <w:rPr>
                <w:sz w:val="21"/>
                <w:szCs w:val="21"/>
                <w:color w:val="auto"/>
              </w:rPr>
            </w:pPr>
          </w:p>
        </w:tc>
        <w:tc>
          <w:tcPr>
            <w:tcW w:w="340" w:type="dxa"/>
            <w:vAlign w:val="bottom"/>
            <w:tcBorders>
              <w:bottom w:val="single" w:sz="8" w:color="auto"/>
              <w:right w:val="single" w:sz="8" w:color="auto"/>
            </w:tcBorders>
            <w:shd w:val="clear" w:color="auto" w:fill="E5F1F9"/>
          </w:tcPr>
          <w:p>
            <w:pPr>
              <w:spacing w:after="0"/>
              <w:rPr>
                <w:sz w:val="21"/>
                <w:szCs w:val="21"/>
                <w:color w:val="auto"/>
              </w:rPr>
            </w:pPr>
          </w:p>
        </w:tc>
        <w:tc>
          <w:tcPr>
            <w:tcW w:w="400" w:type="dxa"/>
            <w:vAlign w:val="bottom"/>
            <w:tcBorders>
              <w:bottom w:val="single" w:sz="8" w:color="auto"/>
            </w:tcBorders>
            <w:shd w:val="clear" w:color="auto" w:fill="E5F1F9"/>
          </w:tcPr>
          <w:p>
            <w:pPr>
              <w:spacing w:after="0"/>
              <w:rPr>
                <w:sz w:val="21"/>
                <w:szCs w:val="21"/>
                <w:color w:val="auto"/>
              </w:rPr>
            </w:pPr>
          </w:p>
        </w:tc>
        <w:tc>
          <w:tcPr>
            <w:tcW w:w="160" w:type="dxa"/>
            <w:vAlign w:val="bottom"/>
            <w:tcBorders>
              <w:bottom w:val="single" w:sz="8" w:color="auto"/>
              <w:right w:val="single" w:sz="8" w:color="auto"/>
            </w:tcBorders>
            <w:shd w:val="clear" w:color="auto" w:fill="E5F1F9"/>
          </w:tcPr>
          <w:p>
            <w:pPr>
              <w:spacing w:after="0"/>
              <w:rPr>
                <w:sz w:val="21"/>
                <w:szCs w:val="21"/>
                <w:color w:val="auto"/>
              </w:rPr>
            </w:pPr>
          </w:p>
        </w:tc>
        <w:tc>
          <w:tcPr>
            <w:tcW w:w="560" w:type="dxa"/>
            <w:vAlign w:val="bottom"/>
            <w:tcBorders>
              <w:bottom w:val="single" w:sz="8" w:color="auto"/>
              <w:right w:val="single" w:sz="8" w:color="auto"/>
            </w:tcBorders>
            <w:shd w:val="clear" w:color="auto" w:fill="E5F1F9"/>
          </w:tcPr>
          <w:p>
            <w:pPr>
              <w:spacing w:after="0"/>
              <w:rPr>
                <w:sz w:val="21"/>
                <w:szCs w:val="21"/>
                <w:color w:val="auto"/>
              </w:rPr>
            </w:pPr>
          </w:p>
        </w:tc>
        <w:tc>
          <w:tcPr>
            <w:tcW w:w="200" w:type="dxa"/>
            <w:vAlign w:val="bottom"/>
            <w:tcBorders>
              <w:bottom w:val="single" w:sz="8" w:color="auto"/>
            </w:tcBorders>
            <w:shd w:val="clear" w:color="auto" w:fill="E5F1F9"/>
          </w:tcPr>
          <w:p>
            <w:pPr>
              <w:spacing w:after="0"/>
              <w:rPr>
                <w:sz w:val="21"/>
                <w:szCs w:val="21"/>
                <w:color w:val="auto"/>
              </w:rPr>
            </w:pPr>
          </w:p>
        </w:tc>
        <w:tc>
          <w:tcPr>
            <w:tcW w:w="340" w:type="dxa"/>
            <w:vAlign w:val="bottom"/>
            <w:tcBorders>
              <w:bottom w:val="single" w:sz="8" w:color="auto"/>
              <w:right w:val="single" w:sz="8" w:color="auto"/>
            </w:tcBorders>
            <w:shd w:val="clear" w:color="auto" w:fill="E5F1F9"/>
          </w:tcPr>
          <w:p>
            <w:pPr>
              <w:spacing w:after="0"/>
              <w:rPr>
                <w:sz w:val="21"/>
                <w:szCs w:val="21"/>
                <w:color w:val="auto"/>
              </w:rPr>
            </w:pPr>
          </w:p>
        </w:tc>
        <w:tc>
          <w:tcPr>
            <w:tcW w:w="200" w:type="dxa"/>
            <w:vAlign w:val="bottom"/>
            <w:tcBorders>
              <w:bottom w:val="single" w:sz="8" w:color="auto"/>
            </w:tcBorders>
            <w:shd w:val="clear" w:color="auto" w:fill="E5F1F9"/>
          </w:tcPr>
          <w:p>
            <w:pPr>
              <w:spacing w:after="0"/>
              <w:rPr>
                <w:sz w:val="21"/>
                <w:szCs w:val="21"/>
                <w:color w:val="auto"/>
              </w:rPr>
            </w:pPr>
          </w:p>
        </w:tc>
        <w:tc>
          <w:tcPr>
            <w:tcW w:w="360" w:type="dxa"/>
            <w:vAlign w:val="bottom"/>
            <w:tcBorders>
              <w:bottom w:val="single" w:sz="8" w:color="auto"/>
              <w:right w:val="single" w:sz="8" w:color="auto"/>
            </w:tcBorders>
            <w:shd w:val="clear" w:color="auto" w:fill="E5F1F9"/>
          </w:tcPr>
          <w:p>
            <w:pPr>
              <w:spacing w:after="0"/>
              <w:rPr>
                <w:sz w:val="21"/>
                <w:szCs w:val="21"/>
                <w:color w:val="auto"/>
              </w:rPr>
            </w:pPr>
          </w:p>
        </w:tc>
        <w:tc>
          <w:tcPr>
            <w:tcW w:w="220" w:type="dxa"/>
            <w:vAlign w:val="bottom"/>
            <w:tcBorders>
              <w:bottom w:val="single" w:sz="8" w:color="auto"/>
            </w:tcBorders>
            <w:shd w:val="clear" w:color="auto" w:fill="E5F1F9"/>
          </w:tcPr>
          <w:p>
            <w:pPr>
              <w:spacing w:after="0"/>
              <w:rPr>
                <w:sz w:val="21"/>
                <w:szCs w:val="21"/>
                <w:color w:val="auto"/>
              </w:rPr>
            </w:pPr>
          </w:p>
        </w:tc>
        <w:tc>
          <w:tcPr>
            <w:tcW w:w="380" w:type="dxa"/>
            <w:vAlign w:val="bottom"/>
            <w:tcBorders>
              <w:bottom w:val="single" w:sz="8" w:color="auto"/>
              <w:right w:val="single" w:sz="8" w:color="auto"/>
            </w:tcBorders>
            <w:shd w:val="clear" w:color="auto" w:fill="E5F1F9"/>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gridSpan w:val="7"/>
          </w:tcPr>
          <w:p>
            <w:pPr>
              <w:jc w:val="center"/>
              <w:spacing w:after="0"/>
              <w:rPr>
                <w:sz w:val="20"/>
                <w:szCs w:val="20"/>
                <w:color w:val="auto"/>
              </w:rPr>
            </w:pPr>
            <w:r>
              <w:rPr>
                <w:rFonts w:ascii="Arial" w:cs="Arial" w:eastAsia="Arial" w:hAnsi="Arial"/>
                <w:sz w:val="18"/>
                <w:szCs w:val="18"/>
                <w:color w:val="0075C9"/>
                <w:w w:val="95"/>
              </w:rPr>
              <w:t xml:space="preserve">   2026 Proxy Statement </w:t>
            </w:r>
          </w:p>
        </w:tc>
        <w:tc>
          <w:tcPr>
            <w:tcW w:w="380" w:type="dxa"/>
            <w:vAlign w:val="bottom"/>
          </w:tcPr>
          <w:p>
            <w:pPr>
              <w:jc w:val="right"/>
              <w:spacing w:after="0"/>
              <w:rPr>
                <w:sz w:val="20"/>
                <w:szCs w:val="20"/>
                <w:color w:val="auto"/>
              </w:rPr>
            </w:pPr>
            <w:r>
              <w:rPr>
                <w:rFonts w:ascii="Arial" w:cs="Arial" w:eastAsia="Arial" w:hAnsi="Arial"/>
                <w:sz w:val="16"/>
                <w:szCs w:val="16"/>
                <w:color w:val="0075C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-2145030</wp:posOffset>
            </wp:positionV>
            <wp:extent cx="102870" cy="539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-2145030</wp:posOffset>
            </wp:positionV>
            <wp:extent cx="102870" cy="539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-2145030</wp:posOffset>
            </wp:positionV>
            <wp:extent cx="102870" cy="539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-2145030</wp:posOffset>
            </wp:positionV>
            <wp:extent cx="102870" cy="539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-2145030</wp:posOffset>
            </wp:positionV>
            <wp:extent cx="102870" cy="539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-2145030</wp:posOffset>
            </wp:positionV>
            <wp:extent cx="102870" cy="539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-2145030</wp:posOffset>
            </wp:positionV>
            <wp:extent cx="102870" cy="539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-2145030</wp:posOffset>
            </wp:positionV>
            <wp:extent cx="102870" cy="539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-2145030</wp:posOffset>
            </wp:positionV>
            <wp:extent cx="102870" cy="539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-2145030</wp:posOffset>
            </wp:positionV>
            <wp:extent cx="111125" cy="539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5397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-173355</wp:posOffset>
            </wp:positionV>
            <wp:extent cx="42037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100"/>
        <w:spacing w:after="0"/>
        <w:rPr>
          <w:sz w:val="20"/>
          <w:szCs w:val="20"/>
          <w:color w:val="auto"/>
        </w:rPr>
      </w:pPr>
      <w:r>
        <w:rPr>
          <w:rFonts w:ascii="Arial" w:cs="Arial" w:eastAsia="Arial" w:hAnsi="Arial"/>
          <w:sz w:val="19"/>
          <w:szCs w:val="19"/>
          <w:color w:val="0075C9"/>
        </w:rPr>
        <w:t>Proposal 1 — Election of Directors</w:t>
      </w:r>
    </w:p>
    <w:p>
      <w:pPr>
        <w:spacing w:after="0" w:line="154" w:lineRule="exact"/>
        <w:rPr>
          <w:sz w:val="20"/>
          <w:szCs w:val="20"/>
          <w:color w:val="auto"/>
        </w:rPr>
      </w:pPr>
    </w:p>
    <w:p>
      <w:pPr>
        <w:jc w:val="center"/>
        <w:ind w:left="440" w:right="1060"/>
        <w:spacing w:after="0" w:line="281" w:lineRule="auto"/>
        <w:rPr>
          <w:sz w:val="20"/>
          <w:szCs w:val="20"/>
          <w:color w:val="auto"/>
        </w:rPr>
      </w:pPr>
      <w:r>
        <w:rPr>
          <w:rFonts w:ascii="Arial" w:cs="Arial" w:eastAsia="Arial" w:hAnsi="Arial"/>
          <w:sz w:val="16"/>
          <w:szCs w:val="16"/>
          <w:b w:val="1"/>
          <w:bCs w:val="1"/>
          <w:color w:val="auto"/>
        </w:rPr>
        <w:t>OUR BOARD OF DIRECTORS RECOMMENDS A VOTE “</w:t>
      </w:r>
      <w:r>
        <w:rPr>
          <w:rFonts w:ascii="Arial" w:cs="Arial" w:eastAsia="Arial" w:hAnsi="Arial"/>
          <w:sz w:val="16"/>
          <w:szCs w:val="16"/>
          <w:b w:val="1"/>
          <w:bCs w:val="1"/>
          <w:color w:val="0075C9"/>
        </w:rPr>
        <w:t>FOR</w:t>
      </w:r>
      <w:r>
        <w:rPr>
          <w:rFonts w:ascii="Arial" w:cs="Arial" w:eastAsia="Arial" w:hAnsi="Arial"/>
          <w:sz w:val="16"/>
          <w:szCs w:val="16"/>
          <w:b w:val="1"/>
          <w:bCs w:val="1"/>
          <w:color w:val="auto"/>
        </w:rPr>
        <w:t>” EACH OF THE NAMED NOMINEES. PROXIES WILL BE VOTED “</w:t>
      </w:r>
      <w:r>
        <w:rPr>
          <w:rFonts w:ascii="Arial" w:cs="Arial" w:eastAsia="Arial" w:hAnsi="Arial"/>
          <w:sz w:val="16"/>
          <w:szCs w:val="16"/>
          <w:b w:val="1"/>
          <w:bCs w:val="1"/>
          <w:color w:val="0075C9"/>
        </w:rPr>
        <w:t>FOR</w:t>
      </w:r>
      <w:r>
        <w:rPr>
          <w:rFonts w:ascii="Arial" w:cs="Arial" w:eastAsia="Arial" w:hAnsi="Arial"/>
          <w:sz w:val="16"/>
          <w:szCs w:val="16"/>
          <w:b w:val="1"/>
          <w:bCs w:val="1"/>
          <w:color w:val="auto"/>
        </w:rPr>
        <w:t>” THE ELECTION OF THE NOMINEES UNLESS OTHERWISE SPECIFIED.</w:t>
      </w:r>
    </w:p>
    <w:p>
      <w:pPr>
        <w:spacing w:after="0" w:line="1"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Set forth below is biographical information for each nominee and a summary of the specific skills, contributions, background and experiences which led our Board to conclude that each nominee should serve on the Board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394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394335"/>
                    </a:xfrm>
                    <a:prstGeom prst="rect">
                      <a:avLst/>
                    </a:prstGeom>
                    <a:noFill/>
                  </pic:spPr>
                </pic:pic>
              </a:graphicData>
            </a:graphic>
          </wp:anchor>
        </w:drawing>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Maria C. Freire, Ph.D., Independent Chair (after 2026 Annual Meeting), fmr. President and Executive Director, Foundation for the</w:t>
      </w:r>
    </w:p>
    <w:p>
      <w:pPr>
        <w:sectPr>
          <w:pgSz w:w="11900" w:h="16838" w:orient="portrait"/>
          <w:cols w:equalWidth="0" w:num="1">
            <w:col w:w="11140"/>
          </w:cols>
          <w:pgMar w:left="320" w:top="482" w:right="439" w:bottom="1440" w:gutter="0" w:footer="0" w:header="0"/>
        </w:sectPr>
      </w:pPr>
    </w:p>
    <w:p>
      <w:pPr>
        <w:spacing w:after="0" w:line="6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FFFFFF"/>
        </w:rPr>
        <w:t>National Institutes of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1611630" cy="3814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11630" cy="3814445"/>
                    </a:xfrm>
                    <a:prstGeom prst="rect">
                      <a:avLst/>
                    </a:prstGeom>
                    <a:noFill/>
                  </pic:spPr>
                </pic:pic>
              </a:graphicData>
            </a:graphic>
          </wp:anchor>
        </w:drawing>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     </w:t>
      </w:r>
      <w:r>
        <w:rPr>
          <w:sz w:val="1"/>
          <w:szCs w:val="1"/>
          <w:color w:val="auto"/>
        </w:rPr>
        <w:drawing>
          <wp:inline distT="0" distB="0" distL="0" distR="0">
            <wp:extent cx="1028700" cy="125158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0" cy="1251585"/>
                    </a:xfrm>
                    <a:prstGeom prst="rect">
                      <a:avLst/>
                    </a:prstGeom>
                    <a:noFill/>
                    <a:ln>
                      <a:noFill/>
                    </a:ln>
                  </pic:spPr>
                </pic:pic>
              </a:graphicData>
            </a:graphic>
          </wp:inline>
        </w:drawing>
      </w:r>
      <w:r>
        <w:rPr>
          <w:rFonts w:ascii="Arial" w:cs="Arial" w:eastAsia="Arial" w:hAnsi="Arial"/>
          <w:sz w:val="14"/>
          <w:szCs w:val="14"/>
          <w:color w:val="auto"/>
        </w:rPr>
        <w:t xml:space="preserve">     </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since 2021</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 71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Board Committees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Compensation and Management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Development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Corporate Governance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0075C9"/>
        </w:rPr>
        <w:t>Key Skills</w:t>
      </w:r>
    </w:p>
    <w:p>
      <w:pPr>
        <w:spacing w:after="0" w:line="69" w:lineRule="exact"/>
        <w:rPr>
          <w:sz w:val="20"/>
          <w:szCs w:val="20"/>
          <w:color w:val="auto"/>
        </w:rPr>
      </w:pPr>
    </w:p>
    <w:p>
      <w:pPr>
        <w:ind w:left="620" w:right="300" w:hanging="252"/>
        <w:spacing w:after="0" w:line="285" w:lineRule="auto"/>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Executive Leadership and Business Operations</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Drug Development</w:t>
      </w:r>
    </w:p>
    <w:p>
      <w:pPr>
        <w:spacing w:after="0" w:line="68" w:lineRule="exact"/>
        <w:rPr>
          <w:rFonts w:ascii="Arial" w:cs="Arial" w:eastAsia="Arial" w:hAnsi="Arial"/>
          <w:sz w:val="14"/>
          <w:szCs w:val="14"/>
          <w:color w:val="auto"/>
        </w:rPr>
      </w:pPr>
    </w:p>
    <w:p>
      <w:pPr>
        <w:ind w:left="620" w:right="440" w:hanging="252"/>
        <w:spacing w:after="0" w:line="285" w:lineRule="auto"/>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Healthcare and Pharma Leadership</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Finance and Accounting</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International Business</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Public Board Service</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Government and Public Policy</w:t>
      </w:r>
    </w:p>
    <w:p>
      <w:pPr>
        <w:spacing w:after="0" w:line="68" w:lineRule="exact"/>
        <w:rPr>
          <w:rFonts w:ascii="Arial" w:cs="Arial" w:eastAsia="Arial" w:hAnsi="Arial"/>
          <w:sz w:val="14"/>
          <w:szCs w:val="14"/>
          <w:color w:val="auto"/>
        </w:rPr>
      </w:pPr>
    </w:p>
    <w:p>
      <w:pPr>
        <w:ind w:left="620" w:right="480" w:hanging="252"/>
        <w:spacing w:after="0" w:line="285" w:lineRule="auto"/>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Medicine and Scientific Research</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Relevant Expertise</w:t>
      </w:r>
    </w:p>
    <w:p>
      <w:pPr>
        <w:spacing w:after="0" w:line="69"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Dr. Freire has significant knowledge and experience with respect to medical research, the pharmaceutical industry and government healthcare policymaking. Dr. Freire’s strong public policy and government experience vitally enhances the Board’s perspective of significant issues affecting the highly regulated life sciences industry.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Career Highlights</w:t>
      </w:r>
    </w:p>
    <w:p>
      <w:pPr>
        <w:spacing w:after="0" w:line="69" w:lineRule="exact"/>
        <w:rPr>
          <w:sz w:val="20"/>
          <w:szCs w:val="20"/>
          <w:color w:val="auto"/>
        </w:rPr>
      </w:pPr>
    </w:p>
    <w:p>
      <w:pPr>
        <w:ind w:left="460" w:hanging="260"/>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President and Executive Director, Foundation for the National Institutes of Health (NIH) (2012 – 2021)</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President and Director, Albert and Mary Lasker Foundation (2008 – 2012)</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President and CEO, Global Alliance for TB Drug Development (2001 – 2008)</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Director of the Office of Technology Transfer, NIH (1995 – 2001)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Public Company Boards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Current</w:t>
      </w:r>
    </w:p>
    <w:p>
      <w:pPr>
        <w:spacing w:after="0" w:line="67" w:lineRule="exact"/>
        <w:rPr>
          <w:sz w:val="20"/>
          <w:szCs w:val="20"/>
          <w:color w:val="auto"/>
        </w:rPr>
      </w:pPr>
    </w:p>
    <w:p>
      <w:pPr>
        <w:ind w:left="460" w:hanging="260"/>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Alexandria Real Estate Equities, Inc. (since 2012)</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Exelixis, Inc. (since 2018)</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Boards &amp; Awards</w:t>
      </w:r>
    </w:p>
    <w:p>
      <w:pPr>
        <w:spacing w:after="0" w:line="69" w:lineRule="exact"/>
        <w:rPr>
          <w:sz w:val="20"/>
          <w:szCs w:val="20"/>
          <w:color w:val="auto"/>
        </w:rPr>
      </w:pPr>
    </w:p>
    <w:p>
      <w:pPr>
        <w:ind w:left="460" w:hanging="260"/>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Science Board of the U.S. Food and Drug Administration (FDA)</w:t>
      </w:r>
    </w:p>
    <w:p>
      <w:pPr>
        <w:spacing w:after="0" w:line="68" w:lineRule="exact"/>
        <w:rPr>
          <w:rFonts w:ascii="Arial" w:cs="Arial" w:eastAsia="Arial" w:hAnsi="Arial"/>
          <w:sz w:val="14"/>
          <w:szCs w:val="14"/>
          <w:color w:val="auto"/>
        </w:rPr>
      </w:pPr>
    </w:p>
    <w:p>
      <w:pPr>
        <w:ind w:left="460" w:right="520" w:hanging="260"/>
        <w:spacing w:after="0" w:line="285" w:lineRule="auto"/>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World Health Organization Commission on Intellectual Property Rights, Innovation and Public Health, United Nations Secretary General’s High-Level Panel on Access to Medicines</w:t>
      </w:r>
    </w:p>
    <w:p>
      <w:pPr>
        <w:spacing w:after="0" w:line="9" w:lineRule="exact"/>
        <w:rPr>
          <w:rFonts w:ascii="Arial" w:cs="Arial" w:eastAsia="Arial" w:hAnsi="Arial"/>
          <w:sz w:val="14"/>
          <w:szCs w:val="14"/>
          <w:color w:val="auto"/>
        </w:rPr>
      </w:pPr>
    </w:p>
    <w:p>
      <w:pPr>
        <w:ind w:left="460" w:hanging="260"/>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Member, National Academy of Medicine and the Council on Foreign Relations</w:t>
      </w:r>
    </w:p>
    <w:p>
      <w:pPr>
        <w:spacing w:after="0" w:line="68" w:lineRule="exact"/>
        <w:rPr>
          <w:rFonts w:ascii="Arial" w:cs="Arial" w:eastAsia="Arial" w:hAnsi="Arial"/>
          <w:sz w:val="14"/>
          <w:szCs w:val="14"/>
          <w:color w:val="auto"/>
        </w:rPr>
      </w:pPr>
    </w:p>
    <w:p>
      <w:pPr>
        <w:ind w:left="460" w:right="20" w:hanging="260"/>
        <w:spacing w:after="0" w:line="285" w:lineRule="auto"/>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2017 Gold Stevie Award for “Woman of the Year,” the U.S. Department of Health and Human Services Secretary’s Award for Distinguished Service, the Arthur S. Fleming Award and the Bayh-Dole Award</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Education</w:t>
      </w:r>
    </w:p>
    <w:p>
      <w:pPr>
        <w:spacing w:after="0" w:line="69" w:lineRule="exact"/>
        <w:rPr>
          <w:sz w:val="20"/>
          <w:szCs w:val="20"/>
          <w:color w:val="auto"/>
        </w:rPr>
      </w:pPr>
    </w:p>
    <w:p>
      <w:pPr>
        <w:ind w:left="460" w:hanging="260"/>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B.S. from the Universidad Peruana Cayetano Heredia (Lima, Peru)</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Ph.D. in Biophysics from the University of Virginia</w:t>
      </w:r>
    </w:p>
    <w:p>
      <w:pPr>
        <w:spacing w:after="0" w:line="961" w:lineRule="exact"/>
        <w:rPr>
          <w:sz w:val="20"/>
          <w:szCs w:val="20"/>
          <w:color w:val="auto"/>
        </w:rPr>
      </w:pPr>
    </w:p>
    <w:p>
      <w:pPr>
        <w:sectPr>
          <w:pgSz w:w="11900" w:h="16838" w:orient="portrait"/>
          <w:cols w:equalWidth="0" w:num="2">
            <w:col w:w="2580" w:space="180"/>
            <w:col w:w="8380"/>
          </w:cols>
          <w:pgMar w:left="320" w:top="482" w:right="439" w:bottom="1440" w:gutter="0" w:footer="0" w:header="0"/>
          <w:type w:val="continuous"/>
        </w:sectPr>
      </w:pPr>
    </w:p>
    <w:p>
      <w:pPr>
        <w:spacing w:after="0" w:line="48" w:lineRule="exact"/>
        <w:rPr>
          <w:sz w:val="20"/>
          <w:szCs w:val="20"/>
          <w:color w:val="auto"/>
        </w:rPr>
      </w:pPr>
    </w:p>
    <w:p>
      <w:pPr>
        <w:ind w:left="8140"/>
        <w:spacing w:after="0"/>
        <w:rPr>
          <w:sz w:val="20"/>
          <w:szCs w:val="20"/>
          <w:color w:val="auto"/>
        </w:rPr>
      </w:pPr>
      <w:r>
        <w:rPr>
          <w:sz w:val="1"/>
          <w:szCs w:val="1"/>
          <w:color w:val="auto"/>
        </w:rPr>
        <w:drawing>
          <wp:inline distT="0" distB="0" distL="0" distR="0">
            <wp:extent cx="420370" cy="1371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w:t>
      </w:r>
    </w:p>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William A. Hawkins, fmr. Chairman and Chief Executive Officer, Medtronic, Inc.</w:t>
      </w:r>
    </w:p>
    <w:p>
      <w:pPr>
        <w:sectPr>
          <w:pgSz w:w="11900" w:h="16838" w:orient="portrait"/>
          <w:cols w:equalWidth="0" w:num="1">
            <w:col w:w="11140"/>
          </w:cols>
          <w:pgMar w:left="320" w:top="482" w:right="439" w:bottom="1440" w:gutter="0" w:footer="0" w:header="0"/>
        </w:sectPr>
      </w:pPr>
    </w:p>
    <w:p>
      <w:pPr>
        <w:spacing w:after="0" w:line="10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     </w:t>
      </w:r>
      <w:r>
        <w:rPr>
          <w:sz w:val="1"/>
          <w:szCs w:val="1"/>
          <w:color w:val="auto"/>
        </w:rPr>
        <w:drawing>
          <wp:inline distT="0" distB="0" distL="0" distR="0">
            <wp:extent cx="1028700" cy="12433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0" cy="1243330"/>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-1258570</wp:posOffset>
            </wp:positionV>
            <wp:extent cx="1611630" cy="3454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11630" cy="3454400"/>
                    </a:xfrm>
                    <a:prstGeom prst="rect">
                      <a:avLst/>
                    </a:prstGeom>
                    <a:noFill/>
                  </pic:spPr>
                </pic:pic>
              </a:graphicData>
            </a:graphic>
          </wp:anchor>
        </w:drawing>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since 2019</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 72</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Board Committees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Audit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Corporate Governance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0075C9"/>
        </w:rPr>
        <w:t>Key Skills</w:t>
      </w:r>
    </w:p>
    <w:p>
      <w:pPr>
        <w:spacing w:after="0" w:line="69" w:lineRule="exact"/>
        <w:rPr>
          <w:sz w:val="20"/>
          <w:szCs w:val="20"/>
          <w:color w:val="auto"/>
        </w:rPr>
      </w:pPr>
    </w:p>
    <w:p>
      <w:pPr>
        <w:ind w:left="620" w:right="140" w:hanging="252"/>
        <w:spacing w:after="0" w:line="285" w:lineRule="auto"/>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Executive Leadership and Business Operations</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Commercial</w:t>
      </w:r>
    </w:p>
    <w:p>
      <w:pPr>
        <w:spacing w:after="0" w:line="68" w:lineRule="exact"/>
        <w:rPr>
          <w:rFonts w:ascii="Arial" w:cs="Arial" w:eastAsia="Arial" w:hAnsi="Arial"/>
          <w:sz w:val="14"/>
          <w:szCs w:val="14"/>
          <w:color w:val="auto"/>
        </w:rPr>
      </w:pPr>
    </w:p>
    <w:p>
      <w:pPr>
        <w:ind w:left="620" w:right="280" w:hanging="252"/>
        <w:spacing w:after="0" w:line="285" w:lineRule="auto"/>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Healthcare and Pharma Leadership</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Finance and Accounting</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International Business</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Public Board Service</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Government Public Policy</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Relevant Expertise</w:t>
      </w:r>
    </w:p>
    <w:p>
      <w:pPr>
        <w:spacing w:after="0" w:line="69" w:lineRule="exact"/>
        <w:rPr>
          <w:sz w:val="20"/>
          <w:szCs w:val="20"/>
          <w:color w:val="auto"/>
        </w:rPr>
      </w:pPr>
    </w:p>
    <w:p>
      <w:pPr>
        <w:jc w:val="both"/>
        <w:ind w:right="140"/>
        <w:spacing w:after="0" w:line="263" w:lineRule="auto"/>
        <w:rPr>
          <w:sz w:val="20"/>
          <w:szCs w:val="20"/>
          <w:color w:val="auto"/>
        </w:rPr>
      </w:pPr>
      <w:r>
        <w:rPr>
          <w:rFonts w:ascii="Arial" w:cs="Arial" w:eastAsia="Arial" w:hAnsi="Arial"/>
          <w:sz w:val="14"/>
          <w:szCs w:val="14"/>
          <w:color w:val="auto"/>
        </w:rPr>
        <w:t>Mr. Hawkins has significant executive and board leadership experience in the healthcare industry both domestic and international. Mr. Hawkins’ unique perspective enhances the Board’s oversight of development and implementation of Biogen’s global strategic plans.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Career Highlights</w:t>
      </w:r>
    </w:p>
    <w:p>
      <w:pPr>
        <w:spacing w:after="0" w:line="69" w:lineRule="exact"/>
        <w:rPr>
          <w:sz w:val="20"/>
          <w:szCs w:val="20"/>
          <w:color w:val="auto"/>
        </w:rPr>
      </w:pPr>
    </w:p>
    <w:p>
      <w:pPr>
        <w:ind w:left="460" w:hanging="260"/>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Senior Advisor to EW Healthcare Partners, a life sciences private equity firm (since 2017)</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President and CEO, Immucor, a global leader in transfusion and transplant medicine (2011 – 2015)</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Chairman and CEO, Medtronic, Inc. (2002 – 2011)</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President and CEO, Novoste Corporation, an interventional cardiology company (1998 – 2001)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Public Company Boards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Current</w:t>
      </w:r>
    </w:p>
    <w:p>
      <w:pPr>
        <w:spacing w:after="0" w:line="67" w:lineRule="exact"/>
        <w:rPr>
          <w:sz w:val="20"/>
          <w:szCs w:val="20"/>
          <w:color w:val="auto"/>
        </w:rPr>
      </w:pPr>
    </w:p>
    <w:p>
      <w:pPr>
        <w:ind w:left="460" w:hanging="260"/>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Chair, Bioventus, Inc. (since 2016)</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MiMedx Group, Inc. (since 2020)</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Prior</w:t>
      </w:r>
    </w:p>
    <w:p>
      <w:pPr>
        <w:spacing w:after="0" w:line="67" w:lineRule="exact"/>
        <w:rPr>
          <w:sz w:val="20"/>
          <w:szCs w:val="20"/>
          <w:color w:val="auto"/>
        </w:rPr>
      </w:pPr>
    </w:p>
    <w:p>
      <w:pPr>
        <w:ind w:left="460" w:hanging="260"/>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Avanos Medical, Inc. (2015 – 2021)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0075C9"/>
        </w:rPr>
        <w:t>Other Boards &amp;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957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57580" cy="8890"/>
                    </a:xfrm>
                    <a:prstGeom prst="rect">
                      <a:avLst/>
                    </a:prstGeom>
                    <a:noFill/>
                  </pic:spPr>
                </pic:pic>
              </a:graphicData>
            </a:graphic>
          </wp:anchor>
        </w:drawing>
      </w:r>
    </w:p>
    <w:p>
      <w:pPr>
        <w:spacing w:after="0" w:line="49" w:lineRule="exact"/>
        <w:rPr>
          <w:sz w:val="20"/>
          <w:szCs w:val="20"/>
          <w:color w:val="auto"/>
        </w:rPr>
      </w:pPr>
    </w:p>
    <w:p>
      <w:pPr>
        <w:ind w:left="460" w:hanging="260"/>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Director, Virtue Labs, Enterra, Lacuna Medical, Cirtec Medical Corp. and Baebies, Inc., all private life sciences companies</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Member, National Academy of Engineering, and AIMBE College of Fellows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Education</w:t>
      </w:r>
    </w:p>
    <w:p>
      <w:pPr>
        <w:spacing w:after="0" w:line="69" w:lineRule="exact"/>
        <w:rPr>
          <w:sz w:val="20"/>
          <w:szCs w:val="20"/>
          <w:color w:val="auto"/>
        </w:rPr>
      </w:pPr>
    </w:p>
    <w:p>
      <w:pPr>
        <w:ind w:left="460" w:hanging="260"/>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B.Sc. in Electrical and Biomedical Engineering (dual) from Duke University</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M.B.A. from the University of Virginia’s Darden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512445</wp:posOffset>
            </wp:positionV>
            <wp:extent cx="6995160" cy="222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605" w:lineRule="exact"/>
        <w:rPr>
          <w:sz w:val="20"/>
          <w:szCs w:val="20"/>
          <w:color w:val="auto"/>
        </w:rPr>
      </w:pPr>
    </w:p>
    <w:p>
      <w:pPr>
        <w:sectPr>
          <w:pgSz w:w="11900" w:h="16838" w:orient="portrait"/>
          <w:cols w:equalWidth="0" w:num="2">
            <w:col w:w="2420" w:space="340"/>
            <w:col w:w="8380"/>
          </w:cols>
          <w:pgMar w:left="320" w:top="482" w:right="439" w:bottom="1440" w:gutter="0" w:footer="0" w:header="0"/>
          <w:type w:val="continuous"/>
        </w:sect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FFFFFF"/>
        </w:rPr>
        <w:t>Susan Langer, Founding President &amp; Chief Business Officer at Souffle Therapeutics</w:t>
      </w:r>
    </w:p>
    <w:p>
      <w:pPr>
        <w:sectPr>
          <w:pgSz w:w="11900" w:h="16838" w:orient="portrait"/>
          <w:cols w:equalWidth="0" w:num="1">
            <w:col w:w="11140"/>
          </w:cols>
          <w:pgMar w:left="320" w:top="482" w:right="439" w:bottom="1440" w:gutter="0" w:footer="0" w:header="0"/>
          <w:type w:val="continuous"/>
        </w:sectPr>
      </w:pPr>
    </w:p>
    <w:p>
      <w:pPr>
        <w:spacing w:after="0" w:line="12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     </w:t>
      </w:r>
      <w:r>
        <w:rPr>
          <w:sz w:val="1"/>
          <w:szCs w:val="1"/>
          <w:color w:val="auto"/>
        </w:rPr>
        <w:drawing>
          <wp:inline distT="0" distB="0" distL="0" distR="0">
            <wp:extent cx="1028700" cy="12426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0" cy="124269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-1258570</wp:posOffset>
            </wp:positionV>
            <wp:extent cx="1611630" cy="30175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11630" cy="3017520"/>
                    </a:xfrm>
                    <a:prstGeom prst="rect">
                      <a:avLst/>
                    </a:prstGeom>
                    <a:noFill/>
                  </pic:spPr>
                </pic:pic>
              </a:graphicData>
            </a:graphic>
          </wp:anchor>
        </w:drawing>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since 2023</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 35</w:t>
      </w:r>
    </w:p>
    <w:p>
      <w:pPr>
        <w:spacing w:after="0" w:line="1" w:lineRule="exact"/>
        <w:rPr>
          <w:sz w:val="20"/>
          <w:szCs w:val="20"/>
          <w:color w:val="auto"/>
        </w:rPr>
      </w:pPr>
    </w:p>
    <w:p>
      <w:pPr>
        <w:ind w:left="180" w:right="160"/>
        <w:spacing w:after="0" w:line="257" w:lineRule="auto"/>
        <w:rPr>
          <w:sz w:val="20"/>
          <w:szCs w:val="20"/>
          <w:color w:val="auto"/>
        </w:rPr>
      </w:pPr>
      <w:r>
        <w:rPr>
          <w:rFonts w:ascii="Arial" w:cs="Arial" w:eastAsia="Arial" w:hAnsi="Arial"/>
          <w:sz w:val="14"/>
          <w:szCs w:val="14"/>
          <w:color w:val="auto"/>
        </w:rPr>
        <w:t>Board Committee Compensation and Management Development</w:t>
      </w:r>
    </w:p>
    <w:p>
      <w:pPr>
        <w:spacing w:after="0" w:line="330"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0075C9"/>
        </w:rPr>
        <w:t>Key Skills</w:t>
      </w:r>
    </w:p>
    <w:p>
      <w:pPr>
        <w:spacing w:after="0" w:line="69" w:lineRule="exact"/>
        <w:rPr>
          <w:sz w:val="20"/>
          <w:szCs w:val="20"/>
          <w:color w:val="auto"/>
        </w:rPr>
      </w:pPr>
    </w:p>
    <w:p>
      <w:pPr>
        <w:ind w:left="620" w:right="140" w:hanging="252"/>
        <w:spacing w:after="0" w:line="285" w:lineRule="auto"/>
        <w:tabs>
          <w:tab w:leader="none" w:pos="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Executive Leadership and Business Operations</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Commercial</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Drug Development</w:t>
      </w:r>
    </w:p>
    <w:p>
      <w:pPr>
        <w:spacing w:after="0" w:line="68" w:lineRule="exact"/>
        <w:rPr>
          <w:rFonts w:ascii="Arial" w:cs="Arial" w:eastAsia="Arial" w:hAnsi="Arial"/>
          <w:sz w:val="14"/>
          <w:szCs w:val="14"/>
          <w:color w:val="auto"/>
        </w:rPr>
      </w:pPr>
    </w:p>
    <w:p>
      <w:pPr>
        <w:ind w:left="620" w:right="280" w:hanging="252"/>
        <w:spacing w:after="0" w:line="285" w:lineRule="auto"/>
        <w:tabs>
          <w:tab w:leader="none" w:pos="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Healthcare and Pharma Leadership</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Relevant Expertise</w:t>
      </w:r>
    </w:p>
    <w:p>
      <w:pPr>
        <w:spacing w:after="0" w:line="69" w:lineRule="exact"/>
        <w:rPr>
          <w:sz w:val="20"/>
          <w:szCs w:val="20"/>
          <w:color w:val="auto"/>
        </w:rPr>
      </w:pPr>
    </w:p>
    <w:p>
      <w:pPr>
        <w:ind w:right="540"/>
        <w:spacing w:after="0" w:line="263" w:lineRule="auto"/>
        <w:rPr>
          <w:sz w:val="20"/>
          <w:szCs w:val="20"/>
          <w:color w:val="auto"/>
        </w:rPr>
      </w:pPr>
      <w:r>
        <w:rPr>
          <w:rFonts w:ascii="Arial" w:cs="Arial" w:eastAsia="Arial" w:hAnsi="Arial"/>
          <w:sz w:val="14"/>
          <w:szCs w:val="14"/>
          <w:color w:val="auto"/>
        </w:rPr>
        <w:t>Ms. Langer has significant experience and knowledge of the biopharmaceutical industry and deep connections within the biotechnology, start-up and venture capital ecosystems. That expertise, coupled with her knowledge of Biogen’s operations, enhances the Board’s ability to nimbly evaluate growth opportunities as well as long-term investments.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Career Highlights</w:t>
      </w:r>
    </w:p>
    <w:p>
      <w:pPr>
        <w:spacing w:after="0" w:line="69" w:lineRule="exact"/>
        <w:rPr>
          <w:sz w:val="20"/>
          <w:szCs w:val="20"/>
          <w:color w:val="auto"/>
        </w:rPr>
      </w:pPr>
    </w:p>
    <w:p>
      <w:pPr>
        <w:ind w:left="460" w:hanging="260"/>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Founding President and Chief Business Officer, Souffle Therapeutics (since 2021)</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Founding President, Kojin Therapeutics (2020 – 2021)</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Chief Business Officer, Paratus Sciences (2021 – 2023)</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Director, Guava Partners (since 2021)</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Venture Partner, Old Silver VC LLC (2020 – 2023)</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Head of Corporate Strategy and other roles at Biogen (2013 – 2019)</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Public Company Boards</w:t>
      </w:r>
    </w:p>
    <w:p>
      <w:pPr>
        <w:spacing w:after="0" w:line="69" w:lineRule="exact"/>
        <w:rPr>
          <w:sz w:val="20"/>
          <w:szCs w:val="20"/>
          <w:color w:val="auto"/>
        </w:rPr>
      </w:pPr>
    </w:p>
    <w:p>
      <w:pPr>
        <w:ind w:left="460" w:hanging="260"/>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Education</w:t>
      </w:r>
    </w:p>
    <w:p>
      <w:pPr>
        <w:spacing w:after="0" w:line="69" w:lineRule="exact"/>
        <w:rPr>
          <w:sz w:val="20"/>
          <w:szCs w:val="20"/>
          <w:color w:val="auto"/>
        </w:rPr>
      </w:pPr>
    </w:p>
    <w:p>
      <w:pPr>
        <w:ind w:left="460" w:hanging="260"/>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 in Science &amp; Technology Studies from Cornell University</w:t>
      </w:r>
    </w:p>
    <w:p>
      <w:pPr>
        <w:spacing w:after="0" w:line="1460" w:lineRule="exact"/>
        <w:rPr>
          <w:sz w:val="20"/>
          <w:szCs w:val="20"/>
          <w:color w:val="auto"/>
        </w:rPr>
      </w:pPr>
    </w:p>
    <w:p>
      <w:pPr>
        <w:sectPr>
          <w:pgSz w:w="11900" w:h="16838" w:orient="portrait"/>
          <w:cols w:equalWidth="0" w:num="2">
            <w:col w:w="2420" w:space="340"/>
            <w:col w:w="8380"/>
          </w:cols>
          <w:pgMar w:left="320" w:top="482" w:right="439" w:bottom="1440" w:gutter="0" w:footer="0" w:header="0"/>
          <w:type w:val="continuous"/>
        </w:sectPr>
      </w:pPr>
    </w:p>
    <w:p>
      <w:pPr>
        <w:spacing w:after="0" w:line="48" w:lineRule="exact"/>
        <w:rPr>
          <w:sz w:val="20"/>
          <w:szCs w:val="20"/>
          <w:color w:val="auto"/>
        </w:rPr>
      </w:pPr>
    </w:p>
    <w:p>
      <w:pPr>
        <w:ind w:left="8140"/>
        <w:spacing w:after="0"/>
        <w:rPr>
          <w:sz w:val="20"/>
          <w:szCs w:val="20"/>
          <w:color w:val="auto"/>
        </w:rPr>
      </w:pPr>
      <w:r>
        <w:rPr>
          <w:sz w:val="1"/>
          <w:szCs w:val="1"/>
          <w:color w:val="auto"/>
        </w:rPr>
        <w:drawing>
          <wp:inline distT="0" distB="0" distL="0" distR="0">
            <wp:extent cx="420370" cy="1371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-6-</w:t>
      </w:r>
    </w:p>
    <w:p>
      <w:pPr>
        <w:sectPr>
          <w:pgSz w:w="11900" w:h="16838" w:orient="portrait"/>
          <w:cols w:equalWidth="0" w:num="1">
            <w:col w:w="11140"/>
          </w:cols>
          <w:pgMar w:left="320" w:top="482"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3514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351472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Jesus B. Mantas, fmr. Global Managing Partner, IBM Business Transformation Services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since 2019</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 57</w:t>
      </w:r>
    </w:p>
    <w:p>
      <w:pPr>
        <w:spacing w:after="0" w:line="1" w:lineRule="exact"/>
        <w:rPr>
          <w:sz w:val="20"/>
          <w:szCs w:val="20"/>
          <w:color w:val="auto"/>
        </w:rPr>
      </w:pPr>
    </w:p>
    <w:p>
      <w:pPr>
        <w:ind w:left="180" w:right="300"/>
        <w:spacing w:after="0" w:line="252" w:lineRule="auto"/>
        <w:rPr>
          <w:sz w:val="20"/>
          <w:szCs w:val="20"/>
          <w:color w:val="auto"/>
        </w:rPr>
      </w:pPr>
      <w:r>
        <w:rPr>
          <w:rFonts w:ascii="Arial" w:cs="Arial" w:eastAsia="Arial" w:hAnsi="Arial"/>
          <w:sz w:val="14"/>
          <w:szCs w:val="14"/>
          <w:color w:val="auto"/>
        </w:rPr>
        <w:t>Board Committee Compensation and Management Development (Chair)</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0075C9"/>
        </w:rPr>
        <w:t>Key Skills</w:t>
      </w:r>
    </w:p>
    <w:p>
      <w:pPr>
        <w:spacing w:after="0" w:line="69" w:lineRule="exact"/>
        <w:rPr>
          <w:sz w:val="20"/>
          <w:szCs w:val="20"/>
          <w:color w:val="auto"/>
        </w:rPr>
      </w:pPr>
    </w:p>
    <w:p>
      <w:pPr>
        <w:ind w:left="620" w:right="280" w:hanging="252"/>
        <w:spacing w:after="0" w:line="285" w:lineRule="auto"/>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Executive Leadership and Business Operations</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Commercial</w:t>
      </w:r>
    </w:p>
    <w:p>
      <w:pPr>
        <w:spacing w:after="0" w:line="68" w:lineRule="exact"/>
        <w:rPr>
          <w:rFonts w:ascii="Arial" w:cs="Arial" w:eastAsia="Arial" w:hAnsi="Arial"/>
          <w:sz w:val="14"/>
          <w:szCs w:val="14"/>
          <w:color w:val="auto"/>
        </w:rPr>
      </w:pPr>
    </w:p>
    <w:p>
      <w:pPr>
        <w:ind w:left="620" w:right="100" w:hanging="252"/>
        <w:spacing w:after="0" w:line="285" w:lineRule="auto"/>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Information Technology/Cybersecurity/AI</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Public Board Service</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International Business</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Government and Public Policy</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Relevant Expertise</w:t>
      </w:r>
    </w:p>
    <w:p>
      <w:pPr>
        <w:spacing w:after="0" w:line="69"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Mr. Mantas has over 30 years of experience in global business operations, information technology, data science and artificial intelligence gained through global strategy and operating management roles across Europe, North America and Latin America. His expertise enhances Board perspectives on global operating scale, business strategy, culture change, managing risks, applying technology to improve business performance, seeking inclusion and developing talent and succession plans in multi-cultural environments.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Career Highlights</w:t>
      </w:r>
    </w:p>
    <w:p>
      <w:pPr>
        <w:spacing w:after="0" w:line="69" w:lineRule="exact"/>
        <w:rPr>
          <w:sz w:val="20"/>
          <w:szCs w:val="20"/>
          <w:color w:val="auto"/>
        </w:rPr>
      </w:pPr>
    </w:p>
    <w:p>
      <w:pPr>
        <w:ind w:left="460" w:hanging="260"/>
        <w:spacing w:after="0"/>
        <w:tabs>
          <w:tab w:leader="none" w:pos="460" w:val="left"/>
        </w:tabs>
        <w:numPr>
          <w:ilvl w:val="1"/>
          <w:numId w:val="28"/>
        </w:numPr>
        <w:rPr>
          <w:rFonts w:ascii="Arial" w:cs="Arial" w:eastAsia="Arial" w:hAnsi="Arial"/>
          <w:sz w:val="14"/>
          <w:szCs w:val="14"/>
          <w:color w:val="auto"/>
        </w:rPr>
      </w:pPr>
      <w:r>
        <w:rPr>
          <w:rFonts w:ascii="Arial" w:cs="Arial" w:eastAsia="Arial" w:hAnsi="Arial"/>
          <w:sz w:val="14"/>
          <w:szCs w:val="14"/>
          <w:color w:val="auto"/>
        </w:rPr>
        <w:t>Global Managing Partner, IBM Global Business Services (2022 – 2025)</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1"/>
          <w:numId w:val="28"/>
        </w:numPr>
        <w:rPr>
          <w:rFonts w:ascii="Arial" w:cs="Arial" w:eastAsia="Arial" w:hAnsi="Arial"/>
          <w:sz w:val="14"/>
          <w:szCs w:val="14"/>
          <w:color w:val="auto"/>
        </w:rPr>
      </w:pPr>
      <w:r>
        <w:rPr>
          <w:rFonts w:ascii="Arial" w:cs="Arial" w:eastAsia="Arial" w:hAnsi="Arial"/>
          <w:sz w:val="14"/>
          <w:szCs w:val="14"/>
          <w:color w:val="auto"/>
        </w:rPr>
        <w:t>Senior roles at IBM (2002 – 2022) including:</w:t>
      </w:r>
    </w:p>
    <w:p>
      <w:pPr>
        <w:spacing w:after="0" w:line="15" w:lineRule="exact"/>
        <w:rPr>
          <w:rFonts w:ascii="Arial" w:cs="Arial" w:eastAsia="Arial" w:hAnsi="Arial"/>
          <w:sz w:val="14"/>
          <w:szCs w:val="14"/>
          <w:color w:val="auto"/>
        </w:rPr>
      </w:pPr>
    </w:p>
    <w:p>
      <w:pPr>
        <w:ind w:left="280" w:hanging="201"/>
        <w:spacing w:after="0"/>
        <w:tabs>
          <w:tab w:leader="none" w:pos="280" w:val="left"/>
        </w:tabs>
        <w:numPr>
          <w:ilvl w:val="0"/>
          <w:numId w:val="28"/>
        </w:numPr>
        <w:rPr>
          <w:rFonts w:ascii="Arial" w:cs="Arial" w:eastAsia="Arial" w:hAnsi="Arial"/>
          <w:sz w:val="10"/>
          <w:szCs w:val="10"/>
          <w:color w:val="auto"/>
        </w:rPr>
      </w:pPr>
      <w:r>
        <w:rPr>
          <w:rFonts w:ascii="Arial" w:cs="Arial" w:eastAsia="Arial" w:hAnsi="Arial"/>
          <w:sz w:val="14"/>
          <w:szCs w:val="14"/>
          <w:color w:val="auto"/>
        </w:rPr>
        <w:t>Global Managing Partner, Strategy, Innovation and Corporate Development</w:t>
      </w:r>
    </w:p>
    <w:p>
      <w:pPr>
        <w:spacing w:after="0" w:line="1" w:lineRule="exact"/>
        <w:rPr>
          <w:rFonts w:ascii="Arial" w:cs="Arial" w:eastAsia="Arial" w:hAnsi="Arial"/>
          <w:sz w:val="10"/>
          <w:szCs w:val="10"/>
          <w:color w:val="auto"/>
        </w:rPr>
      </w:pPr>
    </w:p>
    <w:p>
      <w:pPr>
        <w:ind w:left="280" w:hanging="201"/>
        <w:spacing w:after="0"/>
        <w:tabs>
          <w:tab w:leader="none" w:pos="280" w:val="left"/>
        </w:tabs>
        <w:numPr>
          <w:ilvl w:val="0"/>
          <w:numId w:val="28"/>
        </w:numPr>
        <w:rPr>
          <w:rFonts w:ascii="Arial" w:cs="Arial" w:eastAsia="Arial" w:hAnsi="Arial"/>
          <w:sz w:val="10"/>
          <w:szCs w:val="10"/>
          <w:color w:val="auto"/>
        </w:rPr>
      </w:pPr>
      <w:r>
        <w:rPr>
          <w:rFonts w:ascii="Arial" w:cs="Arial" w:eastAsia="Arial" w:hAnsi="Arial"/>
          <w:sz w:val="14"/>
          <w:szCs w:val="14"/>
          <w:color w:val="auto"/>
        </w:rPr>
        <w:t>Global Managing Partner, IBM Business Consulting</w:t>
      </w:r>
    </w:p>
    <w:p>
      <w:pPr>
        <w:spacing w:after="0" w:line="1" w:lineRule="exact"/>
        <w:rPr>
          <w:rFonts w:ascii="Arial" w:cs="Arial" w:eastAsia="Arial" w:hAnsi="Arial"/>
          <w:sz w:val="10"/>
          <w:szCs w:val="10"/>
          <w:color w:val="auto"/>
        </w:rPr>
      </w:pPr>
    </w:p>
    <w:p>
      <w:pPr>
        <w:ind w:left="280" w:hanging="201"/>
        <w:spacing w:after="0"/>
        <w:tabs>
          <w:tab w:leader="none" w:pos="280" w:val="left"/>
        </w:tabs>
        <w:numPr>
          <w:ilvl w:val="0"/>
          <w:numId w:val="28"/>
        </w:numPr>
        <w:rPr>
          <w:rFonts w:ascii="Arial" w:cs="Arial" w:eastAsia="Arial" w:hAnsi="Arial"/>
          <w:sz w:val="10"/>
          <w:szCs w:val="10"/>
          <w:color w:val="auto"/>
        </w:rPr>
      </w:pPr>
      <w:r>
        <w:rPr>
          <w:rFonts w:ascii="Arial" w:cs="Arial" w:eastAsia="Arial" w:hAnsi="Arial"/>
          <w:sz w:val="14"/>
          <w:szCs w:val="14"/>
          <w:color w:val="auto"/>
        </w:rPr>
        <w:t>General Manager, IBM Business Process Outsourcing</w:t>
      </w:r>
    </w:p>
    <w:p>
      <w:pPr>
        <w:spacing w:after="0" w:line="1" w:lineRule="exact"/>
        <w:rPr>
          <w:rFonts w:ascii="Arial" w:cs="Arial" w:eastAsia="Arial" w:hAnsi="Arial"/>
          <w:sz w:val="10"/>
          <w:szCs w:val="10"/>
          <w:color w:val="auto"/>
        </w:rPr>
      </w:pPr>
    </w:p>
    <w:p>
      <w:pPr>
        <w:ind w:left="280" w:hanging="201"/>
        <w:spacing w:after="0"/>
        <w:tabs>
          <w:tab w:leader="none" w:pos="280" w:val="left"/>
        </w:tabs>
        <w:numPr>
          <w:ilvl w:val="0"/>
          <w:numId w:val="28"/>
        </w:numPr>
        <w:rPr>
          <w:rFonts w:ascii="Arial" w:cs="Arial" w:eastAsia="Arial" w:hAnsi="Arial"/>
          <w:sz w:val="10"/>
          <w:szCs w:val="10"/>
          <w:color w:val="auto"/>
        </w:rPr>
      </w:pPr>
      <w:r>
        <w:rPr>
          <w:rFonts w:ascii="Arial" w:cs="Arial" w:eastAsia="Arial" w:hAnsi="Arial"/>
          <w:sz w:val="14"/>
          <w:szCs w:val="14"/>
          <w:color w:val="auto"/>
        </w:rPr>
        <w:t>Managing Partner and General Manager, IBM Global Business Services Latin America</w:t>
      </w:r>
    </w:p>
    <w:p>
      <w:pPr>
        <w:spacing w:after="0" w:line="1" w:lineRule="exact"/>
        <w:rPr>
          <w:rFonts w:ascii="Arial" w:cs="Arial" w:eastAsia="Arial" w:hAnsi="Arial"/>
          <w:sz w:val="10"/>
          <w:szCs w:val="10"/>
          <w:color w:val="auto"/>
        </w:rPr>
      </w:pPr>
    </w:p>
    <w:p>
      <w:pPr>
        <w:ind w:left="280" w:hanging="201"/>
        <w:spacing w:after="0"/>
        <w:tabs>
          <w:tab w:leader="none" w:pos="280" w:val="left"/>
        </w:tabs>
        <w:numPr>
          <w:ilvl w:val="0"/>
          <w:numId w:val="28"/>
        </w:numPr>
        <w:rPr>
          <w:rFonts w:ascii="Arial" w:cs="Arial" w:eastAsia="Arial" w:hAnsi="Arial"/>
          <w:sz w:val="10"/>
          <w:szCs w:val="10"/>
          <w:color w:val="auto"/>
        </w:rPr>
      </w:pPr>
      <w:r>
        <w:rPr>
          <w:rFonts w:ascii="Arial" w:cs="Arial" w:eastAsia="Arial" w:hAnsi="Arial"/>
          <w:sz w:val="14"/>
          <w:szCs w:val="14"/>
          <w:color w:val="auto"/>
        </w:rPr>
        <w:t>Senior Partner, IBM Global Business Services</w:t>
      </w:r>
    </w:p>
    <w:p>
      <w:pPr>
        <w:spacing w:after="0" w:line="54" w:lineRule="exact"/>
        <w:rPr>
          <w:rFonts w:ascii="Arial" w:cs="Arial" w:eastAsia="Arial" w:hAnsi="Arial"/>
          <w:sz w:val="10"/>
          <w:szCs w:val="10"/>
          <w:color w:val="auto"/>
        </w:rPr>
      </w:pPr>
    </w:p>
    <w:p>
      <w:pPr>
        <w:ind w:left="460" w:hanging="260"/>
        <w:spacing w:after="0"/>
        <w:tabs>
          <w:tab w:leader="none" w:pos="460" w:val="left"/>
        </w:tabs>
        <w:numPr>
          <w:ilvl w:val="1"/>
          <w:numId w:val="28"/>
        </w:numPr>
        <w:rPr>
          <w:rFonts w:ascii="Arial" w:cs="Arial" w:eastAsia="Arial" w:hAnsi="Arial"/>
          <w:sz w:val="14"/>
          <w:szCs w:val="14"/>
          <w:color w:val="auto"/>
        </w:rPr>
      </w:pPr>
      <w:r>
        <w:rPr>
          <w:rFonts w:ascii="Arial" w:cs="Arial" w:eastAsia="Arial" w:hAnsi="Arial"/>
          <w:sz w:val="14"/>
          <w:szCs w:val="14"/>
          <w:color w:val="auto"/>
        </w:rPr>
        <w:t>Partner, High Technology Practice, PricewaterhouseCoopers Consulting (1997 – 2002)</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1"/>
          <w:numId w:val="28"/>
        </w:numPr>
        <w:rPr>
          <w:rFonts w:ascii="Arial" w:cs="Arial" w:eastAsia="Arial" w:hAnsi="Arial"/>
          <w:sz w:val="14"/>
          <w:szCs w:val="14"/>
          <w:color w:val="auto"/>
        </w:rPr>
      </w:pPr>
      <w:r>
        <w:rPr>
          <w:rFonts w:ascii="Arial" w:cs="Arial" w:eastAsia="Arial" w:hAnsi="Arial"/>
          <w:sz w:val="14"/>
          <w:szCs w:val="14"/>
          <w:color w:val="auto"/>
        </w:rPr>
        <w:t>Adjunct Professor, University of California Irvine, Graduate School of Management, Paul Merage School of Business (1997</w:t>
      </w:r>
    </w:p>
    <w:p>
      <w:pPr>
        <w:spacing w:after="0" w:line="15"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 2001)</w:t>
      </w:r>
    </w:p>
    <w:p>
      <w:pPr>
        <w:spacing w:after="0" w:line="54" w:lineRule="exact"/>
        <w:rPr>
          <w:rFonts w:ascii="Arial" w:cs="Arial" w:eastAsia="Arial" w:hAnsi="Arial"/>
          <w:sz w:val="14"/>
          <w:szCs w:val="14"/>
          <w:color w:val="auto"/>
        </w:rPr>
      </w:pPr>
    </w:p>
    <w:p>
      <w:pPr>
        <w:ind w:left="460" w:hanging="260"/>
        <w:spacing w:after="0"/>
        <w:tabs>
          <w:tab w:leader="none" w:pos="460" w:val="left"/>
        </w:tabs>
        <w:numPr>
          <w:ilvl w:val="1"/>
          <w:numId w:val="28"/>
        </w:numPr>
        <w:rPr>
          <w:rFonts w:ascii="Arial" w:cs="Arial" w:eastAsia="Arial" w:hAnsi="Arial"/>
          <w:sz w:val="14"/>
          <w:szCs w:val="14"/>
          <w:color w:val="auto"/>
        </w:rPr>
      </w:pPr>
      <w:r>
        <w:rPr>
          <w:rFonts w:ascii="Arial" w:cs="Arial" w:eastAsia="Arial" w:hAnsi="Arial"/>
          <w:sz w:val="14"/>
          <w:szCs w:val="14"/>
          <w:color w:val="auto"/>
        </w:rPr>
        <w:t>Second Lieutenant, Air Force of Spain (1993)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Public Company Boards</w:t>
      </w:r>
    </w:p>
    <w:p>
      <w:pPr>
        <w:spacing w:after="0" w:line="69" w:lineRule="exact"/>
        <w:rPr>
          <w:sz w:val="20"/>
          <w:szCs w:val="20"/>
          <w:color w:val="auto"/>
        </w:rPr>
      </w:pPr>
    </w:p>
    <w:p>
      <w:pPr>
        <w:ind w:left="460" w:hanging="260"/>
        <w:spacing w:after="0"/>
        <w:tabs>
          <w:tab w:leader="none" w:pos="4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International Flavors and Fragrances Inc. (since 2025)</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Education</w:t>
      </w:r>
    </w:p>
    <w:p>
      <w:pPr>
        <w:spacing w:after="0" w:line="69" w:lineRule="exact"/>
        <w:rPr>
          <w:sz w:val="20"/>
          <w:szCs w:val="20"/>
          <w:color w:val="auto"/>
        </w:rPr>
      </w:pPr>
    </w:p>
    <w:p>
      <w:pPr>
        <w:ind w:left="460" w:hanging="260"/>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B.S. in Telecommunications – Software Engineering, Universidad Politécnica de Madrid (Madrid, Spain)</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Degree in Business Administration, Universidad Politécnica de Madrid (Madrid, Spain)</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Corporate Governance –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323850</wp:posOffset>
            </wp:positionV>
            <wp:extent cx="6995160" cy="36601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366014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2560" w:space="200"/>
            <w:col w:w="8380"/>
          </w:cols>
          <w:pgMar w:left="320" w:top="482" w:right="439" w:bottom="1440" w:gutter="0" w:footer="0" w:header="0"/>
          <w:type w:val="continuous"/>
        </w:sect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FFFFFF"/>
        </w:rPr>
        <w:t>Lloyd Minor, M.D., Dean of the Stanford University School of Medicine</w:t>
      </w:r>
    </w:p>
    <w:p>
      <w:pPr>
        <w:sectPr>
          <w:pgSz w:w="11900" w:h="16838" w:orient="portrait"/>
          <w:cols w:equalWidth="0" w:num="1">
            <w:col w:w="1114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since 2024</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 68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Board Committee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Audit</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0075C9"/>
        </w:rPr>
        <w:t>Key Skills</w:t>
      </w:r>
    </w:p>
    <w:p>
      <w:pPr>
        <w:spacing w:after="0" w:line="69" w:lineRule="exact"/>
        <w:rPr>
          <w:sz w:val="20"/>
          <w:szCs w:val="20"/>
          <w:color w:val="auto"/>
        </w:rPr>
      </w:pPr>
    </w:p>
    <w:p>
      <w:pPr>
        <w:ind w:left="620" w:right="280" w:hanging="252"/>
        <w:spacing w:after="0" w:line="285" w:lineRule="auto"/>
        <w:tabs>
          <w:tab w:leader="none" w:pos="6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Executive Leadership and Business Operations</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Drug Development</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Cybersecurity</w:t>
      </w:r>
    </w:p>
    <w:p>
      <w:pPr>
        <w:spacing w:after="0" w:line="68" w:lineRule="exact"/>
        <w:rPr>
          <w:rFonts w:ascii="Arial" w:cs="Arial" w:eastAsia="Arial" w:hAnsi="Arial"/>
          <w:sz w:val="14"/>
          <w:szCs w:val="14"/>
          <w:color w:val="auto"/>
        </w:rPr>
      </w:pPr>
    </w:p>
    <w:p>
      <w:pPr>
        <w:ind w:left="620" w:right="420" w:hanging="252"/>
        <w:spacing w:after="0" w:line="285" w:lineRule="auto"/>
        <w:tabs>
          <w:tab w:leader="none" w:pos="6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Healthcare and Pharma Leadership</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Finance and Accounting</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Government and Public Policy</w:t>
      </w:r>
    </w:p>
    <w:p>
      <w:pPr>
        <w:spacing w:after="0" w:line="68" w:lineRule="exact"/>
        <w:rPr>
          <w:rFonts w:ascii="Arial" w:cs="Arial" w:eastAsia="Arial" w:hAnsi="Arial"/>
          <w:sz w:val="14"/>
          <w:szCs w:val="14"/>
          <w:color w:val="auto"/>
        </w:rPr>
      </w:pPr>
    </w:p>
    <w:p>
      <w:pPr>
        <w:ind w:left="620" w:right="460" w:hanging="252"/>
        <w:spacing w:after="0" w:line="285" w:lineRule="auto"/>
        <w:tabs>
          <w:tab w:leader="none" w:pos="6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Medicine and Scientific Research</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Relevant Expertise</w:t>
      </w:r>
    </w:p>
    <w:p>
      <w:pPr>
        <w:spacing w:after="0" w:line="69"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Dr. Minor serves as the Dean of the Stanford University School of Medicine and Vice President Medical Affairs at Stanford University, where he is instrumental in establishing strategy across the Stanford Medicine enterprise, leading health and medicine matters at Stanford in research, clinical care and education. This expertise enhances Board oversight of strategic goals and R&amp;D.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Career Highlights</w:t>
      </w:r>
    </w:p>
    <w:p>
      <w:pPr>
        <w:spacing w:after="0" w:line="69" w:lineRule="exact"/>
        <w:rPr>
          <w:sz w:val="20"/>
          <w:szCs w:val="20"/>
          <w:color w:val="auto"/>
        </w:rPr>
      </w:pPr>
    </w:p>
    <w:p>
      <w:pPr>
        <w:ind w:left="460" w:hanging="260"/>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Carl and Elizabeth Naumann Dean of the Stanford University School of Medicine (since 2012)</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Vice President for Medical Affairs, Stanford University (since 2023)</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Provost and Senior Vice President for Academic Affairs, Johns Hopkins University (2009 – 2012)</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Director of the Department of Otolaryngology – Head &amp; Neck Surgery, Johns Hopkins University (2003 – 2009)</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Public Company Boards</w:t>
      </w:r>
    </w:p>
    <w:p>
      <w:pPr>
        <w:spacing w:after="0" w:line="69" w:lineRule="exact"/>
        <w:rPr>
          <w:sz w:val="20"/>
          <w:szCs w:val="20"/>
          <w:color w:val="auto"/>
        </w:rPr>
      </w:pPr>
    </w:p>
    <w:p>
      <w:pPr>
        <w:ind w:left="460" w:hanging="260"/>
        <w:spacing w:after="0"/>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Caris Life Sciences, Inc. (since 2021)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Education</w:t>
      </w:r>
    </w:p>
    <w:p>
      <w:pPr>
        <w:spacing w:after="0" w:line="69" w:lineRule="exact"/>
        <w:rPr>
          <w:sz w:val="20"/>
          <w:szCs w:val="20"/>
          <w:color w:val="auto"/>
        </w:rPr>
      </w:pPr>
    </w:p>
    <w:p>
      <w:pPr>
        <w:ind w:left="460" w:hanging="260"/>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Sc.B. from Brown University</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M.D. from Brown University</w:t>
      </w:r>
    </w:p>
    <w:p>
      <w:pPr>
        <w:spacing w:after="0" w:line="2351" w:lineRule="exact"/>
        <w:rPr>
          <w:sz w:val="20"/>
          <w:szCs w:val="20"/>
          <w:color w:val="auto"/>
        </w:rPr>
      </w:pPr>
    </w:p>
    <w:p>
      <w:pPr>
        <w:sectPr>
          <w:pgSz w:w="11900" w:h="16838" w:orient="portrait"/>
          <w:cols w:equalWidth="0" w:num="2">
            <w:col w:w="2560" w:space="200"/>
            <w:col w:w="8380"/>
          </w:cols>
          <w:pgMar w:left="320" w:top="482" w:right="439" w:bottom="1440" w:gutter="0" w:footer="0" w:header="0"/>
          <w:type w:val="continuous"/>
        </w:sectPr>
      </w:pPr>
    </w:p>
    <w:p>
      <w:pPr>
        <w:spacing w:after="0" w:line="48" w:lineRule="exact"/>
        <w:rPr>
          <w:sz w:val="20"/>
          <w:szCs w:val="20"/>
          <w:color w:val="auto"/>
        </w:rPr>
      </w:pPr>
    </w:p>
    <w:p>
      <w:pPr>
        <w:ind w:left="8140"/>
        <w:spacing w:after="0"/>
        <w:rPr>
          <w:sz w:val="20"/>
          <w:szCs w:val="20"/>
          <w:color w:val="auto"/>
        </w:rPr>
      </w:pPr>
      <w:r>
        <w:rPr>
          <w:sz w:val="1"/>
          <w:szCs w:val="1"/>
          <w:color w:val="auto"/>
        </w:rPr>
        <w:drawing>
          <wp:inline distT="0" distB="0" distL="0" distR="0">
            <wp:extent cx="420370" cy="1371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-7-</w:t>
      </w:r>
    </w:p>
    <w:p>
      <w:pPr>
        <w:sectPr>
          <w:pgSz w:w="11900" w:h="16838" w:orient="portrait"/>
          <w:cols w:equalWidth="0" w:num="1">
            <w:col w:w="11140"/>
          </w:cols>
          <w:pgMar w:left="320" w:top="482"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100"/>
        <w:spacing w:after="0"/>
        <w:rPr>
          <w:sz w:val="20"/>
          <w:szCs w:val="20"/>
          <w:color w:val="auto"/>
        </w:rPr>
      </w:pPr>
      <w:r>
        <w:rPr>
          <w:rFonts w:ascii="Arial" w:cs="Arial" w:eastAsia="Arial" w:hAnsi="Arial"/>
          <w:sz w:val="19"/>
          <w:szCs w:val="19"/>
          <w:color w:val="0075C9"/>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Sir Menelas (Mene) Pangalos, Ph.D., fmr. Executive Vice President of Biopharmaceuticals R&amp;D at AstraZeneca</w:t>
      </w:r>
    </w:p>
    <w:p>
      <w:pPr>
        <w:sectPr>
          <w:pgSz w:w="11900" w:h="16838" w:orient="portrait"/>
          <w:cols w:equalWidth="0" w:num="1">
            <w:col w:w="11140"/>
          </w:cols>
          <w:pgMar w:left="320" w:top="482" w:right="439" w:bottom="1440" w:gutter="0" w:footer="0" w:header="0"/>
        </w:sectPr>
      </w:pP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     </w:t>
      </w:r>
      <w:r>
        <w:rPr>
          <w:sz w:val="1"/>
          <w:szCs w:val="1"/>
          <w:color w:val="auto"/>
        </w:rPr>
        <w:drawing>
          <wp:inline distT="0" distB="0" distL="0" distR="0">
            <wp:extent cx="1028700" cy="124269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0" cy="1242695"/>
                    </a:xfrm>
                    <a:prstGeom prst="rect">
                      <a:avLst/>
                    </a:prstGeom>
                    <a:noFill/>
                    <a:ln>
                      <a:noFill/>
                    </a:ln>
                  </pic:spPr>
                </pic:pic>
              </a:graphicData>
            </a:graphic>
          </wp:inline>
        </w:drawing>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-1261110</wp:posOffset>
            </wp:positionV>
            <wp:extent cx="1611630" cy="3703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11630" cy="3703320"/>
                    </a:xfrm>
                    <a:prstGeom prst="rect">
                      <a:avLst/>
                    </a:prstGeom>
                    <a:noFill/>
                  </pic:spPr>
                </pic:pic>
              </a:graphicData>
            </a:graphic>
          </wp:anchor>
        </w:drawing>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since 2025</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 59</w:t>
      </w:r>
    </w:p>
    <w:p>
      <w:pPr>
        <w:spacing w:after="0" w:line="1" w:lineRule="exact"/>
        <w:rPr>
          <w:sz w:val="20"/>
          <w:szCs w:val="20"/>
          <w:color w:val="auto"/>
        </w:rPr>
      </w:pPr>
    </w:p>
    <w:p>
      <w:pPr>
        <w:ind w:left="180" w:right="300"/>
        <w:spacing w:after="0" w:line="257" w:lineRule="auto"/>
        <w:rPr>
          <w:sz w:val="20"/>
          <w:szCs w:val="20"/>
          <w:color w:val="auto"/>
        </w:rPr>
      </w:pPr>
      <w:r>
        <w:rPr>
          <w:rFonts w:ascii="Arial" w:cs="Arial" w:eastAsia="Arial" w:hAnsi="Arial"/>
          <w:sz w:val="14"/>
          <w:szCs w:val="14"/>
          <w:color w:val="auto"/>
        </w:rPr>
        <w:t>Board Committee Compensation and Management Development</w:t>
      </w:r>
    </w:p>
    <w:p>
      <w:pPr>
        <w:spacing w:after="0" w:line="330"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0075C9"/>
        </w:rPr>
        <w:t>Key Skills</w:t>
      </w:r>
    </w:p>
    <w:p>
      <w:pPr>
        <w:spacing w:after="0" w:line="69" w:lineRule="exact"/>
        <w:rPr>
          <w:sz w:val="20"/>
          <w:szCs w:val="20"/>
          <w:color w:val="auto"/>
        </w:rPr>
      </w:pPr>
    </w:p>
    <w:p>
      <w:pPr>
        <w:ind w:left="620" w:right="280" w:hanging="252"/>
        <w:spacing w:after="0" w:line="285" w:lineRule="auto"/>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Executive Leadership and Business Operations</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Commercial</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Drug Development</w:t>
      </w:r>
    </w:p>
    <w:p>
      <w:pPr>
        <w:spacing w:after="0" w:line="68" w:lineRule="exact"/>
        <w:rPr>
          <w:rFonts w:ascii="Arial" w:cs="Arial" w:eastAsia="Arial" w:hAnsi="Arial"/>
          <w:sz w:val="14"/>
          <w:szCs w:val="14"/>
          <w:color w:val="auto"/>
        </w:rPr>
      </w:pPr>
    </w:p>
    <w:p>
      <w:pPr>
        <w:ind w:left="620" w:right="420" w:hanging="252"/>
        <w:spacing w:after="0" w:line="285" w:lineRule="auto"/>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Healthcare and Pharma Leadership</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International Business</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Public Board Service</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Government and Public Policy</w:t>
      </w:r>
    </w:p>
    <w:p>
      <w:pPr>
        <w:spacing w:after="0" w:line="68" w:lineRule="exact"/>
        <w:rPr>
          <w:rFonts w:ascii="Arial" w:cs="Arial" w:eastAsia="Arial" w:hAnsi="Arial"/>
          <w:sz w:val="14"/>
          <w:szCs w:val="14"/>
          <w:color w:val="auto"/>
        </w:rPr>
      </w:pPr>
    </w:p>
    <w:p>
      <w:pPr>
        <w:ind w:left="620" w:right="460" w:hanging="252"/>
        <w:spacing w:after="0" w:line="285" w:lineRule="auto"/>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Medicine and Scientific Research</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Relevant Expertise</w:t>
      </w:r>
    </w:p>
    <w:p>
      <w:pPr>
        <w:spacing w:after="0" w:line="69"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Dr. Pangalos has over 30 years of experience researching and developing medicines gained through research and development roles across a number of pharmaceutical and biotechnology companies. Dr. Pangalos’ expertise enhances Board perspectives on the development and execution of corporate strategy, drug development and managing risks.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Career Highlights</w:t>
      </w:r>
    </w:p>
    <w:p>
      <w:pPr>
        <w:spacing w:after="0" w:line="69" w:lineRule="exact"/>
        <w:rPr>
          <w:sz w:val="20"/>
          <w:szCs w:val="20"/>
          <w:color w:val="auto"/>
        </w:rPr>
      </w:pPr>
    </w:p>
    <w:p>
      <w:pPr>
        <w:ind w:left="460" w:hanging="260"/>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Executive Vice President of Biopharmaceuticals R&amp;D, AstraZeneca (2019 – 2024)</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Executive Vice President of Early R&amp;D, AstraZeneca (2010 – 2018)</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Senior Vice President, Pfizer (2008 – 2010)</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Vice President Neuroscience, Wyeth (2003 – 2008)</w:t>
      </w:r>
    </w:p>
    <w:p>
      <w:pPr>
        <w:spacing w:after="0" w:line="68" w:lineRule="exact"/>
        <w:rPr>
          <w:rFonts w:ascii="Arial" w:cs="Arial" w:eastAsia="Arial" w:hAnsi="Arial"/>
          <w:sz w:val="14"/>
          <w:szCs w:val="14"/>
          <w:color w:val="auto"/>
        </w:rPr>
      </w:pPr>
    </w:p>
    <w:p>
      <w:pPr>
        <w:ind w:left="460" w:right="260" w:hanging="260"/>
        <w:spacing w:after="0" w:line="285" w:lineRule="auto"/>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Fellow of the Royal Society, the Academy of Medical Sciences, the Royal Society of Biology and Clare Hall, University of Cambridge</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Public Company Boards</w:t>
      </w:r>
    </w:p>
    <w:p>
      <w:pPr>
        <w:spacing w:after="0" w:line="69" w:lineRule="exact"/>
        <w:rPr>
          <w:sz w:val="20"/>
          <w:szCs w:val="20"/>
          <w:color w:val="auto"/>
        </w:rPr>
      </w:pPr>
    </w:p>
    <w:p>
      <w:pPr>
        <w:ind w:left="460" w:hanging="260"/>
        <w:spacing w:after="0"/>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Absci Corporation (since 2024)</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Education</w:t>
      </w:r>
    </w:p>
    <w:p>
      <w:pPr>
        <w:spacing w:after="0" w:line="69" w:lineRule="exact"/>
        <w:rPr>
          <w:sz w:val="20"/>
          <w:szCs w:val="20"/>
          <w:color w:val="auto"/>
        </w:rPr>
      </w:pPr>
    </w:p>
    <w:p>
      <w:pPr>
        <w:ind w:left="460" w:hanging="260"/>
        <w:spacing w:after="0"/>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Bachelor of Science in Biochemistry and Molecular Biology from Imperial College London</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Ph.D. in Neuropharmacology from University College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1600835</wp:posOffset>
            </wp:positionV>
            <wp:extent cx="699516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378" w:lineRule="exact"/>
        <w:rPr>
          <w:sz w:val="20"/>
          <w:szCs w:val="20"/>
          <w:color w:val="auto"/>
        </w:rPr>
      </w:pPr>
    </w:p>
    <w:p>
      <w:pPr>
        <w:sectPr>
          <w:pgSz w:w="11900" w:h="16838" w:orient="portrait"/>
          <w:cols w:equalWidth="0" w:num="2">
            <w:col w:w="2560" w:space="200"/>
            <w:col w:w="8380"/>
          </w:cols>
          <w:pgMar w:left="320" w:top="482" w:right="439" w:bottom="1440" w:gutter="0" w:footer="0" w:header="0"/>
          <w:type w:val="continuous"/>
        </w:sectPr>
      </w:pP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Monish Patolawala, Chief Financial Officer at ADM</w:t>
      </w:r>
    </w:p>
    <w:p>
      <w:pPr>
        <w:sectPr>
          <w:pgSz w:w="11900" w:h="16838" w:orient="portrait"/>
          <w:cols w:equalWidth="0" w:num="1">
            <w:col w:w="11140"/>
          </w:cols>
          <w:pgMar w:left="320" w:top="482" w:right="439" w:bottom="1440" w:gutter="0" w:footer="0" w:header="0"/>
          <w:type w:val="continuous"/>
        </w:sectPr>
      </w:pP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     </w:t>
      </w:r>
      <w:r>
        <w:rPr>
          <w:sz w:val="1"/>
          <w:szCs w:val="1"/>
          <w:color w:val="auto"/>
        </w:rPr>
        <w:drawing>
          <wp:inline distT="0" distB="0" distL="0" distR="0">
            <wp:extent cx="1028700" cy="124269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0" cy="1242695"/>
                    </a:xfrm>
                    <a:prstGeom prst="rect">
                      <a:avLst/>
                    </a:prstGeom>
                    <a:noFill/>
                    <a:ln>
                      <a:noFill/>
                    </a:ln>
                  </pic:spPr>
                </pic:pic>
              </a:graphicData>
            </a:graphic>
          </wp:inline>
        </w:drawing>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-1261110</wp:posOffset>
            </wp:positionV>
            <wp:extent cx="1611630" cy="32061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11630" cy="3206115"/>
                    </a:xfrm>
                    <a:prstGeom prst="rect">
                      <a:avLst/>
                    </a:prstGeom>
                    <a:noFill/>
                  </pic:spPr>
                </pic:pic>
              </a:graphicData>
            </a:graphic>
          </wp:anchor>
        </w:drawing>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since 2024</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 56</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Board Committee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Audit (Chair)</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0075C9"/>
        </w:rPr>
        <w:t>Key Skills</w:t>
      </w:r>
    </w:p>
    <w:p>
      <w:pPr>
        <w:spacing w:after="0" w:line="69" w:lineRule="exact"/>
        <w:rPr>
          <w:sz w:val="20"/>
          <w:szCs w:val="20"/>
          <w:color w:val="auto"/>
        </w:rPr>
      </w:pPr>
    </w:p>
    <w:p>
      <w:pPr>
        <w:ind w:left="620" w:right="280" w:hanging="252"/>
        <w:spacing w:after="0" w:line="285" w:lineRule="auto"/>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Executive Leadership and Business Operations</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Commercial</w:t>
      </w:r>
    </w:p>
    <w:p>
      <w:pPr>
        <w:spacing w:after="0" w:line="68" w:lineRule="exact"/>
        <w:rPr>
          <w:rFonts w:ascii="Arial" w:cs="Arial" w:eastAsia="Arial" w:hAnsi="Arial"/>
          <w:sz w:val="14"/>
          <w:szCs w:val="14"/>
          <w:color w:val="auto"/>
        </w:rPr>
      </w:pPr>
    </w:p>
    <w:p>
      <w:pPr>
        <w:ind w:left="620" w:right="100" w:hanging="252"/>
        <w:spacing w:after="0" w:line="285" w:lineRule="auto"/>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Information Technology/Cybersecurity/AI</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Finance and Accounting</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International Business</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Government and Public Policy</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Relevant Expertise</w:t>
      </w:r>
    </w:p>
    <w:p>
      <w:pPr>
        <w:spacing w:after="0" w:line="69"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Mr. Patolawala has more than 25 years of experience leading financial operations and business for global industrial and healthcare companies. At Archer-Daniels Midland, he oversees the company’s global finance and accounting, global business services, global technology and enterprise strategy functions. Mr. Patolawala’s experience enhances the Board’s perspectives on financial and business operations, technology and strategy.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Career Highlights</w:t>
      </w:r>
    </w:p>
    <w:p>
      <w:pPr>
        <w:spacing w:after="0" w:line="69" w:lineRule="exact"/>
        <w:rPr>
          <w:sz w:val="20"/>
          <w:szCs w:val="20"/>
          <w:color w:val="auto"/>
        </w:rPr>
      </w:pPr>
    </w:p>
    <w:p>
      <w:pPr>
        <w:ind w:left="460" w:hanging="260"/>
        <w:spacing w:after="0"/>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CFO, Archer-Daniels Midland (since 2024)</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President and CFO, 3M Company (2020 – 2024)</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CFO of GE Healthcare (2015 – 2020)</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Variety of roles of increasing responsibility at General Electric Company (1994 – 2020)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Public Company Boards</w:t>
      </w:r>
    </w:p>
    <w:p>
      <w:pPr>
        <w:spacing w:after="0" w:line="69" w:lineRule="exact"/>
        <w:rPr>
          <w:sz w:val="20"/>
          <w:szCs w:val="20"/>
          <w:color w:val="auto"/>
        </w:rPr>
      </w:pPr>
    </w:p>
    <w:p>
      <w:pPr>
        <w:ind w:left="460" w:hanging="260"/>
        <w:spacing w:after="0"/>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None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Certifications</w:t>
      </w:r>
    </w:p>
    <w:p>
      <w:pPr>
        <w:spacing w:after="0" w:line="69" w:lineRule="exact"/>
        <w:rPr>
          <w:sz w:val="20"/>
          <w:szCs w:val="20"/>
          <w:color w:val="auto"/>
        </w:rPr>
      </w:pPr>
    </w:p>
    <w:p>
      <w:pPr>
        <w:ind w:left="460" w:hanging="260"/>
        <w:spacing w:after="0"/>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Chartered Accountant from the Institute of Chartered Accountants of India</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Cost and Works Accountant from the Institute of Cost and Works Accountants of India</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Education</w:t>
      </w:r>
    </w:p>
    <w:p>
      <w:pPr>
        <w:spacing w:after="0" w:line="69" w:lineRule="exact"/>
        <w:rPr>
          <w:sz w:val="20"/>
          <w:szCs w:val="20"/>
          <w:color w:val="auto"/>
        </w:rPr>
      </w:pPr>
    </w:p>
    <w:p>
      <w:pPr>
        <w:ind w:left="460" w:hanging="260"/>
        <w:spacing w:after="0"/>
        <w:tabs>
          <w:tab w:leader="none" w:pos="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 Com from St. Joseph’s College of Commerce (Bangalore, India)</w:t>
      </w:r>
    </w:p>
    <w:p>
      <w:pPr>
        <w:spacing w:after="0" w:line="1252" w:lineRule="exact"/>
        <w:rPr>
          <w:sz w:val="20"/>
          <w:szCs w:val="20"/>
          <w:color w:val="auto"/>
        </w:rPr>
      </w:pPr>
    </w:p>
    <w:p>
      <w:pPr>
        <w:sectPr>
          <w:pgSz w:w="11900" w:h="16838" w:orient="portrait"/>
          <w:cols w:equalWidth="0" w:num="2">
            <w:col w:w="2560" w:space="200"/>
            <w:col w:w="8380"/>
          </w:cols>
          <w:pgMar w:left="320" w:top="482" w:right="439" w:bottom="1440" w:gutter="0" w:footer="0" w:header="0"/>
          <w:type w:val="continuous"/>
        </w:sectPr>
      </w:pPr>
    </w:p>
    <w:p>
      <w:pPr>
        <w:spacing w:after="0" w:line="107" w:lineRule="exact"/>
        <w:rPr>
          <w:sz w:val="20"/>
          <w:szCs w:val="20"/>
          <w:color w:val="auto"/>
        </w:rPr>
      </w:pPr>
    </w:p>
    <w:p>
      <w:pPr>
        <w:ind w:left="8140"/>
        <w:spacing w:after="0"/>
        <w:rPr>
          <w:sz w:val="20"/>
          <w:szCs w:val="20"/>
          <w:color w:val="auto"/>
        </w:rPr>
      </w:pPr>
      <w:r>
        <w:rPr>
          <w:sz w:val="1"/>
          <w:szCs w:val="1"/>
          <w:color w:val="auto"/>
        </w:rPr>
        <w:drawing>
          <wp:inline distT="0" distB="0" distL="0" distR="0">
            <wp:extent cx="420370" cy="1371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-8-</w:t>
      </w:r>
    </w:p>
    <w:p>
      <w:pPr>
        <w:sectPr>
          <w:pgSz w:w="11900" w:h="16838" w:orient="portrait"/>
          <w:cols w:equalWidth="0" w:num="1">
            <w:col w:w="11140"/>
          </w:cols>
          <w:pgMar w:left="320" w:top="482"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Eric K. Rowinsky, M.D., President of Inspirna</w:t>
      </w:r>
    </w:p>
    <w:p>
      <w:pPr>
        <w:sectPr>
          <w:pgSz w:w="11900" w:h="16838" w:orient="portrait"/>
          <w:cols w:equalWidth="0" w:num="1">
            <w:col w:w="11140"/>
          </w:cols>
          <w:pgMar w:left="320" w:top="482" w:right="439" w:bottom="1440" w:gutter="0" w:footer="0" w:header="0"/>
        </w:sectPr>
      </w:pP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     </w:t>
      </w:r>
      <w:r>
        <w:rPr>
          <w:sz w:val="1"/>
          <w:szCs w:val="1"/>
          <w:color w:val="auto"/>
        </w:rPr>
        <w:drawing>
          <wp:inline distT="0" distB="0" distL="0" distR="0">
            <wp:extent cx="1028700" cy="124269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0" cy="1242695"/>
                    </a:xfrm>
                    <a:prstGeom prst="rect">
                      <a:avLst/>
                    </a:prstGeom>
                    <a:noFill/>
                    <a:ln>
                      <a:noFill/>
                    </a:ln>
                  </pic:spPr>
                </pic:pic>
              </a:graphicData>
            </a:graphic>
          </wp:inline>
        </w:drawing>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-1261110</wp:posOffset>
            </wp:positionV>
            <wp:extent cx="1611630" cy="3711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11630" cy="3711575"/>
                    </a:xfrm>
                    <a:prstGeom prst="rect">
                      <a:avLst/>
                    </a:prstGeom>
                    <a:noFill/>
                  </pic:spPr>
                </pic:pic>
              </a:graphicData>
            </a:graphic>
          </wp:anchor>
        </w:drawing>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since 2010</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 69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Board Committees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Compensation and Management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Development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Corporate Governance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0075C9"/>
        </w:rPr>
        <w:t>Key Skills</w:t>
      </w:r>
    </w:p>
    <w:p>
      <w:pPr>
        <w:spacing w:after="0" w:line="69" w:lineRule="exact"/>
        <w:rPr>
          <w:sz w:val="20"/>
          <w:szCs w:val="20"/>
          <w:color w:val="auto"/>
        </w:rPr>
      </w:pPr>
    </w:p>
    <w:p>
      <w:pPr>
        <w:ind w:left="620" w:right="60" w:hanging="252"/>
        <w:spacing w:after="0" w:line="285" w:lineRule="auto"/>
        <w:tabs>
          <w:tab w:leader="none" w:pos="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Executive Leadership and Business Operations</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Drug Development</w:t>
      </w:r>
    </w:p>
    <w:p>
      <w:pPr>
        <w:spacing w:after="0" w:line="68" w:lineRule="exact"/>
        <w:rPr>
          <w:rFonts w:ascii="Arial" w:cs="Arial" w:eastAsia="Arial" w:hAnsi="Arial"/>
          <w:sz w:val="14"/>
          <w:szCs w:val="14"/>
          <w:color w:val="auto"/>
        </w:rPr>
      </w:pPr>
    </w:p>
    <w:p>
      <w:pPr>
        <w:ind w:left="620" w:right="200" w:hanging="252"/>
        <w:spacing w:after="0" w:line="285" w:lineRule="auto"/>
        <w:tabs>
          <w:tab w:leader="none" w:pos="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Healthcare and Pharma Leadership</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Public Board Service</w:t>
      </w:r>
    </w:p>
    <w:p>
      <w:pPr>
        <w:spacing w:after="0" w:line="68" w:lineRule="exact"/>
        <w:rPr>
          <w:rFonts w:ascii="Arial" w:cs="Arial" w:eastAsia="Arial" w:hAnsi="Arial"/>
          <w:sz w:val="14"/>
          <w:szCs w:val="14"/>
          <w:color w:val="auto"/>
        </w:rPr>
      </w:pPr>
    </w:p>
    <w:p>
      <w:pPr>
        <w:ind w:left="620" w:right="240" w:hanging="252"/>
        <w:spacing w:after="0" w:line="285" w:lineRule="auto"/>
        <w:tabs>
          <w:tab w:leader="none" w:pos="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Medicine and Scientific Research</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Relevant Expertise</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Dr. Rowinsky has extensive research and drug development and regulatory experience and broad scientific and medical knowledge. His experience leading teams that have registered more than twelve novel therapies for patients with advanced cancers enhances the Board’s oversight of Biogen’s R&amp;D and quest to pioneer breakthrough innovations within the highly regulated life sciences industry.</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Career Highlights</w:t>
      </w:r>
    </w:p>
    <w:p>
      <w:pPr>
        <w:spacing w:after="0" w:line="69" w:lineRule="exact"/>
        <w:rPr>
          <w:sz w:val="20"/>
          <w:szCs w:val="20"/>
          <w:color w:val="auto"/>
        </w:rPr>
      </w:pPr>
    </w:p>
    <w:p>
      <w:pPr>
        <w:ind w:left="460" w:hanging="260"/>
        <w:spacing w:after="0"/>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President, Inspirna, a privately held life science company (since 2015), and Executive Chairman (2016 – 2021)</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Chief Medical Officer, Hummingbird Biotherapeutics (2020 – 2023)</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Chief Scientific Officer, Clearpath Development, Inc. (2016 – 2021)</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Head of R&amp;D, Chief Medical Officer, Stemline Therapeutics (2012 – 2015)</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CEO, Primrose Therapeutics, Inc., a biotech start-up (2010 – 2011)</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Chief Medical Officer, and Executive Vice President, ImClone Systems (2005 – 2010)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Public Company Boards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Current</w:t>
      </w:r>
    </w:p>
    <w:p>
      <w:pPr>
        <w:spacing w:after="0" w:line="67" w:lineRule="exact"/>
        <w:rPr>
          <w:sz w:val="20"/>
          <w:szCs w:val="20"/>
          <w:color w:val="auto"/>
        </w:rPr>
      </w:pPr>
    </w:p>
    <w:p>
      <w:pPr>
        <w:ind w:left="460" w:hanging="260"/>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Purple Biotech Ltd. (since 2019)</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Verastem, Inc. (since 2017)</w:t>
      </w:r>
    </w:p>
    <w:p>
      <w:pPr>
        <w:spacing w:after="0" w:line="7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i w:val="1"/>
          <w:iCs w:val="1"/>
          <w:color w:val="auto"/>
        </w:rPr>
        <w:t>Prior</w:t>
      </w:r>
    </w:p>
    <w:p>
      <w:pPr>
        <w:spacing w:after="0" w:line="66" w:lineRule="exact"/>
        <w:rPr>
          <w:rFonts w:ascii="Arial" w:cs="Arial" w:eastAsia="Arial" w:hAnsi="Arial"/>
          <w:sz w:val="14"/>
          <w:szCs w:val="14"/>
          <w:color w:val="auto"/>
        </w:rPr>
      </w:pPr>
    </w:p>
    <w:p>
      <w:pPr>
        <w:ind w:left="460" w:hanging="260"/>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Fortress Biotech Inc. (2010 – 2024)</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Boards &amp; Awards</w:t>
      </w:r>
    </w:p>
    <w:p>
      <w:pPr>
        <w:spacing w:after="0" w:line="69" w:lineRule="exact"/>
        <w:rPr>
          <w:sz w:val="20"/>
          <w:szCs w:val="20"/>
          <w:color w:val="auto"/>
        </w:rPr>
      </w:pPr>
    </w:p>
    <w:p>
      <w:pPr>
        <w:ind w:left="460" w:right="700" w:hanging="260"/>
        <w:spacing w:after="0" w:line="285" w:lineRule="auto"/>
        <w:tabs>
          <w:tab w:leader="none" w:pos="4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Director of the Institute, and Director of Clinical Research, Cancer Therapy &amp; Research Center’s Institute for Drug Development (1996 – 2004)</w:t>
      </w:r>
    </w:p>
    <w:p>
      <w:pPr>
        <w:spacing w:after="0" w:line="9" w:lineRule="exact"/>
        <w:rPr>
          <w:rFonts w:ascii="Arial" w:cs="Arial" w:eastAsia="Arial" w:hAnsi="Arial"/>
          <w:sz w:val="14"/>
          <w:szCs w:val="14"/>
          <w:color w:val="auto"/>
        </w:rPr>
      </w:pPr>
    </w:p>
    <w:p>
      <w:pPr>
        <w:ind w:left="460" w:hanging="260"/>
        <w:spacing w:after="0"/>
        <w:tabs>
          <w:tab w:leader="none" w:pos="4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Associate Professor of Oncology at the Johns Hopkins School of Medicine (1988 – 1996)</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Director, Scientific Counselors of the National Cancer Institute Level Panel on Access to Medicines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Education</w:t>
      </w:r>
    </w:p>
    <w:p>
      <w:pPr>
        <w:spacing w:after="0" w:line="69" w:lineRule="exact"/>
        <w:rPr>
          <w:sz w:val="20"/>
          <w:szCs w:val="20"/>
          <w:color w:val="auto"/>
        </w:rPr>
      </w:pPr>
    </w:p>
    <w:p>
      <w:pPr>
        <w:ind w:left="460" w:hanging="260"/>
        <w:spacing w:after="0"/>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 in Liberal Arts, from New York University</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M.D. from Vanderbilt University School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160655</wp:posOffset>
            </wp:positionV>
            <wp:extent cx="699516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420"/>
            <w:col w:w="8380"/>
          </w:cols>
          <w:pgMar w:left="320" w:top="482" w:right="439" w:bottom="1440" w:gutter="0" w:footer="0" w:header="0"/>
          <w:type w:val="continuous"/>
        </w:sectPr>
      </w:pPr>
    </w:p>
    <w:p>
      <w:pPr>
        <w:spacing w:after="0" w:line="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Stephen A. Sherwin, M.D., Clinical Professor of Medicine at UCSF</w:t>
      </w:r>
    </w:p>
    <w:p>
      <w:pPr>
        <w:sectPr>
          <w:pgSz w:w="11900" w:h="16838" w:orient="portrait"/>
          <w:cols w:equalWidth="0" w:num="1">
            <w:col w:w="11140"/>
          </w:cols>
          <w:pgMar w:left="320" w:top="482" w:right="439" w:bottom="1440" w:gutter="0" w:footer="0" w:header="0"/>
          <w:type w:val="continuous"/>
        </w:sectPr>
      </w:pP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     </w:t>
      </w:r>
      <w:r>
        <w:rPr>
          <w:sz w:val="1"/>
          <w:szCs w:val="1"/>
          <w:color w:val="auto"/>
        </w:rPr>
        <w:drawing>
          <wp:inline distT="0" distB="0" distL="0" distR="0">
            <wp:extent cx="1028700" cy="124333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0" cy="1243330"/>
                    </a:xfrm>
                    <a:prstGeom prst="rect">
                      <a:avLst/>
                    </a:prstGeom>
                    <a:noFill/>
                    <a:ln>
                      <a:noFill/>
                    </a:ln>
                  </pic:spPr>
                </pic:pic>
              </a:graphicData>
            </a:graphic>
          </wp:inline>
        </w:drawing>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-1261110</wp:posOffset>
            </wp:positionV>
            <wp:extent cx="1611630" cy="33604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11630" cy="3360420"/>
                    </a:xfrm>
                    <a:prstGeom prst="rect">
                      <a:avLst/>
                    </a:prstGeom>
                    <a:noFill/>
                  </pic:spPr>
                </pic:pic>
              </a:graphicData>
            </a:graphic>
          </wp:anchor>
        </w:drawing>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since 2010</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 77</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Board Committee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Audit</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0075C9"/>
        </w:rPr>
        <w:t>Key Skills</w:t>
      </w:r>
    </w:p>
    <w:p>
      <w:pPr>
        <w:spacing w:after="0" w:line="69" w:lineRule="exact"/>
        <w:rPr>
          <w:sz w:val="20"/>
          <w:szCs w:val="20"/>
          <w:color w:val="auto"/>
        </w:rPr>
      </w:pPr>
    </w:p>
    <w:p>
      <w:pPr>
        <w:ind w:left="620" w:right="280" w:hanging="252"/>
        <w:spacing w:after="0" w:line="285" w:lineRule="auto"/>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Executive Leadership and Business Operations</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Drug Development</w:t>
      </w:r>
    </w:p>
    <w:p>
      <w:pPr>
        <w:spacing w:after="0" w:line="68" w:lineRule="exact"/>
        <w:rPr>
          <w:rFonts w:ascii="Arial" w:cs="Arial" w:eastAsia="Arial" w:hAnsi="Arial"/>
          <w:sz w:val="14"/>
          <w:szCs w:val="14"/>
          <w:color w:val="auto"/>
        </w:rPr>
      </w:pPr>
    </w:p>
    <w:p>
      <w:pPr>
        <w:ind w:left="620" w:right="420" w:hanging="252"/>
        <w:spacing w:after="0" w:line="285" w:lineRule="auto"/>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Healthcare and Pharma Leadership</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Finance and Accounting</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Public Board Service</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Government and Public Policy</w:t>
      </w:r>
    </w:p>
    <w:p>
      <w:pPr>
        <w:spacing w:after="0" w:line="68" w:lineRule="exact"/>
        <w:rPr>
          <w:rFonts w:ascii="Arial" w:cs="Arial" w:eastAsia="Arial" w:hAnsi="Arial"/>
          <w:sz w:val="14"/>
          <w:szCs w:val="14"/>
          <w:color w:val="auto"/>
        </w:rPr>
      </w:pPr>
    </w:p>
    <w:p>
      <w:pPr>
        <w:ind w:left="620" w:right="460" w:hanging="252"/>
        <w:spacing w:after="0" w:line="285" w:lineRule="auto"/>
        <w:tabs>
          <w:tab w:leader="none" w:pos="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Medicine and Scientific Research</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Relevant Expertise</w:t>
      </w:r>
    </w:p>
    <w:p>
      <w:pPr>
        <w:spacing w:after="0" w:line="69"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Dr. Sherwin has extensive knowledge of the life sciences industry through his advisory work in life sciences, and patient care and teaching in his specialty of medical oncology, as well as founding and leading life sciences companies. Dr. Sherwin’s more than 30 years of industry experience significantly enhances Board oversight and development of Biogen’s strategy and execution.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Career Highlights</w:t>
      </w:r>
    </w:p>
    <w:p>
      <w:pPr>
        <w:spacing w:after="0" w:line="69" w:lineRule="exact"/>
        <w:rPr>
          <w:sz w:val="20"/>
          <w:szCs w:val="20"/>
          <w:color w:val="auto"/>
        </w:rPr>
      </w:pPr>
    </w:p>
    <w:p>
      <w:pPr>
        <w:ind w:left="460" w:hanging="260"/>
        <w:spacing w:after="0"/>
        <w:tabs>
          <w:tab w:leader="none" w:pos="4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Clinical Professor of Medicine at the University of California, San Francisco (since 2010)</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Volunteer Attending Physician in Hematology-Oncology at the Zuckerberg San Francisco General Hospital (since 2010)</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Advisory partner, Third Rock Ventures, LLC (since 2016)</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Chairman and Co-founder, Ceregene, a life sciences company acquired by Sangamo Biosciences (2001 – 2013)</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Chairman and Co-founder, Abgenix, Inc, an antibody company acquired by Amgen (1996 – 2006)</w:t>
      </w:r>
    </w:p>
    <w:p>
      <w:pPr>
        <w:spacing w:after="0" w:line="68" w:lineRule="exact"/>
        <w:rPr>
          <w:rFonts w:ascii="Arial" w:cs="Arial" w:eastAsia="Arial" w:hAnsi="Arial"/>
          <w:sz w:val="14"/>
          <w:szCs w:val="14"/>
          <w:color w:val="auto"/>
        </w:rPr>
      </w:pPr>
    </w:p>
    <w:p>
      <w:pPr>
        <w:ind w:left="460" w:right="320" w:hanging="260"/>
        <w:spacing w:after="0" w:line="285" w:lineRule="auto"/>
        <w:tabs>
          <w:tab w:leader="none" w:pos="4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CEO and Chairman, Cell Genesys, Inc., a life sciences company merged with BioSante Pharmaceuticals, Inc. (now ANI Pharmaceuticals, Inc.) (1994 – 2009)</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Public Company Boards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Current</w:t>
      </w:r>
    </w:p>
    <w:p>
      <w:pPr>
        <w:spacing w:after="0" w:line="67" w:lineRule="exact"/>
        <w:rPr>
          <w:sz w:val="20"/>
          <w:szCs w:val="20"/>
          <w:color w:val="auto"/>
        </w:rPr>
      </w:pPr>
    </w:p>
    <w:p>
      <w:pPr>
        <w:ind w:left="460" w:hanging="260"/>
        <w:spacing w:after="0"/>
        <w:tabs>
          <w:tab w:leader="none" w:pos="4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Neurocrine Biosciences Inc. (since 1999)</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Innovent Biologics, Inc. (since 2025)</w:t>
      </w:r>
    </w:p>
    <w:p>
      <w:pPr>
        <w:spacing w:after="0" w:line="7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i w:val="1"/>
          <w:iCs w:val="1"/>
          <w:color w:val="auto"/>
        </w:rPr>
        <w:t>Prior</w:t>
      </w:r>
    </w:p>
    <w:p>
      <w:pPr>
        <w:spacing w:after="0" w:line="66" w:lineRule="exact"/>
        <w:rPr>
          <w:rFonts w:ascii="Arial" w:cs="Arial" w:eastAsia="Arial" w:hAnsi="Arial"/>
          <w:sz w:val="14"/>
          <w:szCs w:val="14"/>
          <w:color w:val="auto"/>
        </w:rPr>
      </w:pPr>
    </w:p>
    <w:p>
      <w:pPr>
        <w:ind w:left="460" w:hanging="260"/>
        <w:spacing w:after="0"/>
        <w:tabs>
          <w:tab w:leader="none" w:pos="4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Epiphany Technology Acquisition Corp. (2022 – 2023)</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Bios Special Acquisition Corporation (2021 – 2023)</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Aduro Biotech, Inc (2015 – 2020)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Education</w:t>
      </w:r>
    </w:p>
    <w:p>
      <w:pPr>
        <w:spacing w:after="0" w:line="69" w:lineRule="exact"/>
        <w:rPr>
          <w:sz w:val="20"/>
          <w:szCs w:val="20"/>
          <w:color w:val="auto"/>
        </w:rPr>
      </w:pPr>
    </w:p>
    <w:p>
      <w:pPr>
        <w:ind w:left="460" w:hanging="260"/>
        <w:spacing w:after="0"/>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 in Biology from Yale University</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M.D. from Harvard Medical School</w:t>
      </w:r>
    </w:p>
    <w:p>
      <w:pPr>
        <w:spacing w:after="0" w:line="279" w:lineRule="exact"/>
        <w:rPr>
          <w:sz w:val="20"/>
          <w:szCs w:val="20"/>
          <w:color w:val="auto"/>
        </w:rPr>
      </w:pPr>
    </w:p>
    <w:p>
      <w:pPr>
        <w:sectPr>
          <w:pgSz w:w="11900" w:h="16838" w:orient="portrait"/>
          <w:cols w:equalWidth="0" w:num="2">
            <w:col w:w="2560" w:space="200"/>
            <w:col w:w="8380"/>
          </w:cols>
          <w:pgMar w:left="320" w:top="482" w:right="439" w:bottom="1440" w:gutter="0" w:footer="0" w:header="0"/>
          <w:type w:val="continuous"/>
        </w:sectPr>
      </w:pPr>
    </w:p>
    <w:p>
      <w:pPr>
        <w:ind w:left="8140"/>
        <w:spacing w:after="0"/>
        <w:rPr>
          <w:sz w:val="20"/>
          <w:szCs w:val="20"/>
          <w:color w:val="auto"/>
        </w:rPr>
      </w:pPr>
      <w:r>
        <w:rPr>
          <w:sz w:val="1"/>
          <w:szCs w:val="1"/>
          <w:color w:val="auto"/>
        </w:rPr>
        <w:drawing>
          <wp:inline distT="0" distB="0" distL="0" distR="0">
            <wp:extent cx="420370" cy="1371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0370"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-9-</w:t>
      </w:r>
    </w:p>
    <w:p>
      <w:pPr>
        <w:sectPr>
          <w:pgSz w:w="11900" w:h="16838" w:orient="portrait"/>
          <w:cols w:equalWidth="0" w:num="1">
            <w:col w:w="11140"/>
          </w:cols>
          <w:pgMar w:left="320" w:top="482"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Christopher A. Viehbacher, President and Chief Executive Officer, Biogen Inc.</w:t>
      </w:r>
    </w:p>
    <w:p>
      <w:pPr>
        <w:sectPr>
          <w:pgSz w:w="11900" w:h="16838" w:orient="portrait"/>
          <w:cols w:equalWidth="0" w:num="1">
            <w:col w:w="11140"/>
          </w:cols>
          <w:pgMar w:left="320" w:top="482" w:right="439" w:bottom="1440" w:gutter="0" w:footer="0" w:header="0"/>
        </w:sectPr>
      </w:pP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     </w:t>
      </w:r>
      <w:r>
        <w:rPr>
          <w:sz w:val="1"/>
          <w:szCs w:val="1"/>
          <w:color w:val="auto"/>
        </w:rPr>
        <w:drawing>
          <wp:inline distT="0" distB="0" distL="0" distR="0">
            <wp:extent cx="1028700" cy="124269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0" cy="1242695"/>
                    </a:xfrm>
                    <a:prstGeom prst="rect">
                      <a:avLst/>
                    </a:prstGeom>
                    <a:noFill/>
                    <a:ln>
                      <a:noFill/>
                    </a:ln>
                  </pic:spPr>
                </pic:pic>
              </a:graphicData>
            </a:graphic>
          </wp:inline>
        </w:drawing>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-1261110</wp:posOffset>
            </wp:positionV>
            <wp:extent cx="1611630" cy="32918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11630" cy="3291840"/>
                    </a:xfrm>
                    <a:prstGeom prst="rect">
                      <a:avLst/>
                    </a:prstGeom>
                    <a:noFill/>
                  </pic:spPr>
                </pic:pic>
              </a:graphicData>
            </a:graphic>
          </wp:anchor>
        </w:drawing>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since 2022</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 66</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0075C9"/>
        </w:rPr>
        <w:t>Key Skills</w:t>
      </w:r>
    </w:p>
    <w:p>
      <w:pPr>
        <w:spacing w:after="0" w:line="69" w:lineRule="exact"/>
        <w:rPr>
          <w:sz w:val="20"/>
          <w:szCs w:val="20"/>
          <w:color w:val="auto"/>
        </w:rPr>
      </w:pPr>
    </w:p>
    <w:p>
      <w:pPr>
        <w:ind w:left="620" w:right="280" w:hanging="252"/>
        <w:spacing w:after="0" w:line="285" w:lineRule="auto"/>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Executive Leadership and Business Operations</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Commercial</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Drug Development</w:t>
      </w:r>
    </w:p>
    <w:p>
      <w:pPr>
        <w:spacing w:after="0" w:line="68" w:lineRule="exact"/>
        <w:rPr>
          <w:rFonts w:ascii="Arial" w:cs="Arial" w:eastAsia="Arial" w:hAnsi="Arial"/>
          <w:sz w:val="14"/>
          <w:szCs w:val="14"/>
          <w:color w:val="auto"/>
        </w:rPr>
      </w:pPr>
    </w:p>
    <w:p>
      <w:pPr>
        <w:ind w:left="620" w:right="420" w:hanging="252"/>
        <w:spacing w:after="0" w:line="285" w:lineRule="auto"/>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Healthcare and Pharma Leadership</w:t>
      </w:r>
    </w:p>
    <w:p>
      <w:pPr>
        <w:spacing w:after="0" w:line="9" w:lineRule="exact"/>
        <w:rPr>
          <w:rFonts w:ascii="Arial" w:cs="Arial" w:eastAsia="Arial" w:hAnsi="Arial"/>
          <w:sz w:val="14"/>
          <w:szCs w:val="14"/>
          <w:color w:val="auto"/>
        </w:rPr>
      </w:pPr>
    </w:p>
    <w:p>
      <w:pPr>
        <w:ind w:left="620" w:hanging="252"/>
        <w:spacing w:after="0"/>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Finance and Accounting</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International Business</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Public Board Service</w:t>
      </w:r>
    </w:p>
    <w:p>
      <w:pPr>
        <w:spacing w:after="0" w:line="68" w:lineRule="exact"/>
        <w:rPr>
          <w:rFonts w:ascii="Arial" w:cs="Arial" w:eastAsia="Arial" w:hAnsi="Arial"/>
          <w:sz w:val="14"/>
          <w:szCs w:val="14"/>
          <w:color w:val="auto"/>
        </w:rPr>
      </w:pPr>
    </w:p>
    <w:p>
      <w:pPr>
        <w:ind w:left="620" w:hanging="252"/>
        <w:spacing w:after="0"/>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Government and Public Policy</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Relevant Expertise</w:t>
      </w:r>
    </w:p>
    <w:p>
      <w:pPr>
        <w:spacing w:after="0" w:line="69" w:lineRule="exact"/>
        <w:rPr>
          <w:sz w:val="20"/>
          <w:szCs w:val="20"/>
          <w:color w:val="auto"/>
        </w:rPr>
      </w:pPr>
    </w:p>
    <w:p>
      <w:pPr>
        <w:ind w:right="560"/>
        <w:spacing w:after="0" w:line="263" w:lineRule="auto"/>
        <w:rPr>
          <w:sz w:val="20"/>
          <w:szCs w:val="20"/>
          <w:color w:val="auto"/>
        </w:rPr>
      </w:pPr>
      <w:r>
        <w:rPr>
          <w:rFonts w:ascii="Arial" w:cs="Arial" w:eastAsia="Arial" w:hAnsi="Arial"/>
          <w:sz w:val="14"/>
          <w:szCs w:val="14"/>
          <w:color w:val="auto"/>
        </w:rPr>
        <w:t>Mr. Viehbacher has extensive international experience in both large pharmaceutical companies and entrepreneurial biotech companies. Mr. Viehbacher brings a keen understanding of the complexities involved in running a multibillion-dollar global pharmaceutical business as well as an appreciation for the value of innovation.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Career Highlights</w:t>
      </w:r>
    </w:p>
    <w:p>
      <w:pPr>
        <w:spacing w:after="0" w:line="69" w:lineRule="exact"/>
        <w:rPr>
          <w:sz w:val="20"/>
          <w:szCs w:val="20"/>
          <w:color w:val="auto"/>
        </w:rPr>
      </w:pPr>
    </w:p>
    <w:p>
      <w:pPr>
        <w:ind w:left="460" w:hanging="260"/>
        <w:spacing w:after="0"/>
        <w:tabs>
          <w:tab w:leader="none" w:pos="4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President and CEO, Biogen Inc. (since 2022)</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Managing Partner, Gurnet Point Capital, a Boston based investment fund (2015 – 2022)</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Global CEO of Sanofi S.A. (2008 – 2014)</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Various roles, GlaxoSmithKline (1984 – 2008)</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Public Company Boards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Prior</w:t>
      </w:r>
    </w:p>
    <w:p>
      <w:pPr>
        <w:spacing w:after="0" w:line="67" w:lineRule="exact"/>
        <w:rPr>
          <w:sz w:val="20"/>
          <w:szCs w:val="20"/>
          <w:color w:val="auto"/>
        </w:rPr>
      </w:pPr>
    </w:p>
    <w:p>
      <w:pPr>
        <w:ind w:left="460" w:hanging="260"/>
        <w:spacing w:after="0"/>
        <w:tabs>
          <w:tab w:leader="none" w:pos="4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Pure Tech plc (2015 – 2023)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Other Boards &amp; Awards</w:t>
      </w:r>
    </w:p>
    <w:p>
      <w:pPr>
        <w:spacing w:after="0" w:line="69" w:lineRule="exact"/>
        <w:rPr>
          <w:sz w:val="20"/>
          <w:szCs w:val="20"/>
          <w:color w:val="auto"/>
        </w:rPr>
      </w:pPr>
    </w:p>
    <w:p>
      <w:pPr>
        <w:ind w:left="460" w:hanging="260"/>
        <w:spacing w:after="0"/>
        <w:tabs>
          <w:tab w:leader="none" w:pos="4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Trustee, Northeastern University</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Board of Fellows, Stanford Medical School</w:t>
      </w:r>
    </w:p>
    <w:p>
      <w:pPr>
        <w:spacing w:after="0" w:line="68" w:lineRule="exact"/>
        <w:rPr>
          <w:rFonts w:ascii="Arial" w:cs="Arial" w:eastAsia="Arial" w:hAnsi="Arial"/>
          <w:sz w:val="14"/>
          <w:szCs w:val="14"/>
          <w:color w:val="auto"/>
        </w:rPr>
      </w:pPr>
    </w:p>
    <w:p>
      <w:pPr>
        <w:ind w:left="460" w:hanging="260"/>
        <w:spacing w:after="0"/>
        <w:tabs>
          <w:tab w:leader="none" w:pos="4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Braveheart Bio, Inc.</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75C9"/>
        </w:rPr>
        <w:t>Education</w:t>
      </w:r>
    </w:p>
    <w:p>
      <w:pPr>
        <w:spacing w:after="0" w:line="69" w:lineRule="exact"/>
        <w:rPr>
          <w:sz w:val="20"/>
          <w:szCs w:val="20"/>
          <w:color w:val="auto"/>
        </w:rPr>
      </w:pPr>
    </w:p>
    <w:p>
      <w:pPr>
        <w:ind w:left="460" w:hanging="260"/>
        <w:spacing w:after="0"/>
        <w:tabs>
          <w:tab w:leader="none" w:pos="4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 Comm. from Queen’s University (Kingston,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1446530</wp:posOffset>
            </wp:positionV>
            <wp:extent cx="699516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090" w:lineRule="exact"/>
        <w:rPr>
          <w:sz w:val="20"/>
          <w:szCs w:val="20"/>
          <w:color w:val="auto"/>
        </w:rPr>
      </w:pPr>
    </w:p>
    <w:p>
      <w:pPr>
        <w:sectPr>
          <w:pgSz w:w="11900" w:h="16838" w:orient="portrait"/>
          <w:cols w:equalWidth="0" w:num="2">
            <w:col w:w="2560" w:space="200"/>
            <w:col w:w="838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 xml:space="preserve">THE BOARD OF DIRECTORS RECOMMENDS A VOTE </w:t>
      </w:r>
      <w:r>
        <w:rPr>
          <w:rFonts w:ascii="Arial" w:cs="Arial" w:eastAsia="Arial" w:hAnsi="Arial"/>
          <w:sz w:val="16"/>
          <w:szCs w:val="16"/>
          <w:b w:val="1"/>
          <w:bCs w:val="1"/>
          <w:i w:val="1"/>
          <w:iCs w:val="1"/>
          <w:color w:val="0075C9"/>
        </w:rPr>
        <w:t>FOR</w:t>
      </w:r>
      <w:r>
        <w:rPr>
          <w:rFonts w:ascii="Arial" w:cs="Arial" w:eastAsia="Arial" w:hAnsi="Arial"/>
          <w:sz w:val="16"/>
          <w:szCs w:val="16"/>
          <w:b w:val="1"/>
          <w:bCs w:val="1"/>
          <w:i w:val="1"/>
          <w:iCs w:val="1"/>
          <w:color w:val="auto"/>
        </w:rPr>
        <w:t xml:space="preserve"> EACH OF THE NAMED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6995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9" w:lineRule="exact"/>
        <w:rPr>
          <w:sz w:val="20"/>
          <w:szCs w:val="20"/>
          <w:color w:val="auto"/>
        </w:rPr>
      </w:pPr>
    </w:p>
    <w:p>
      <w:pPr>
        <w:jc w:val="right"/>
        <w:ind w:right="40"/>
        <w:spacing w:after="0"/>
        <w:rPr>
          <w:sz w:val="20"/>
          <w:szCs w:val="20"/>
          <w:color w:val="auto"/>
        </w:rPr>
      </w:pPr>
      <w:r>
        <w:rPr>
          <w:sz w:val="1"/>
          <w:szCs w:val="1"/>
          <w:color w:val="auto"/>
        </w:rPr>
        <w:drawing>
          <wp:inline distT="0" distB="0" distL="0" distR="0">
            <wp:extent cx="419735" cy="1371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8"/>
          <w:szCs w:val="18"/>
          <w:color w:val="0075C9"/>
        </w:rPr>
        <w:t xml:space="preserve">   2026 Proxy Statement   </w:t>
      </w:r>
      <w:r>
        <w:rPr>
          <w:rFonts w:ascii="Arial" w:cs="Arial" w:eastAsia="Arial" w:hAnsi="Arial"/>
          <w:sz w:val="16"/>
          <w:szCs w:val="16"/>
          <w:color w:val="0075C9"/>
        </w:rPr>
        <w:t>-10-</w:t>
      </w:r>
    </w:p>
    <w:p>
      <w:pPr>
        <w:sectPr>
          <w:pgSz w:w="11900" w:h="16838" w:orient="portrait"/>
          <w:cols w:equalWidth="0" w:num="1">
            <w:col w:w="11140"/>
          </w:cols>
          <w:pgMar w:left="320" w:top="482"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120"/>
        <w:spacing w:after="0"/>
        <w:rPr>
          <w:sz w:val="20"/>
          <w:szCs w:val="20"/>
          <w:color w:val="auto"/>
        </w:rPr>
      </w:pPr>
      <w:r>
        <w:rPr>
          <w:rFonts w:ascii="Arial" w:cs="Arial" w:eastAsia="Arial" w:hAnsi="Arial"/>
          <w:sz w:val="19"/>
          <w:szCs w:val="19"/>
          <w:color w:val="0075C9"/>
        </w:rPr>
        <w:t>Corporate Governance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75C9"/>
        </w:rPr>
        <w:t>Corporate Governance</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Corporate Governance Highlights</w:t>
      </w:r>
    </w:p>
    <w:p>
      <w:pPr>
        <w:spacing w:after="0" w:line="108"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We believe that our Board’s primary functions are to appoint and evaluate our CEO and hold management accountable, oversee strategy and strategic direction, oversee key strategic, operational and compliance risks and work to achieve optimal capital allocation that maximizes long-term stockholder value. We are committed to the highest standards of ethics, business integrity and corporate governance, which we believe will help ensure that our company is managed for the long-term benefit of our stockholders. Our governance practices are designed to establish and preserve accountability for our Board and management, provide a structure that allows our Board to set objectives and monitor performance, facilitate the efficient use of resources and enhance stockholder value.</w:t>
      </w:r>
    </w:p>
    <w:p>
      <w:pPr>
        <w:spacing w:after="0" w:line="74"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 xml:space="preserve">Our Corporate Governance Principles are reviewed at least annually by the CGC and are amended from time to time in response to changing regulatory requirements, evolving governance practices and trends and issues raised by our stockholders. In addition, Board members are also subject to our Code of Business Conduct. Our Corporate Governance Principles, together with our committee charters, Bylaws, Certificate of Incorporation and Code of Business Conduct, comprise our governance framework, each of which may be found at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“Corporate Governance” subsection of the “Investors” section of the website.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How our corporate governance practices align with our key governance principles is set forth in the table below.</w:t>
      </w:r>
    </w:p>
    <w:p>
      <w:pPr>
        <w:spacing w:after="0" w:line="121" w:lineRule="exact"/>
        <w:rPr>
          <w:sz w:val="20"/>
          <w:szCs w:val="20"/>
          <w:color w:val="auto"/>
        </w:rPr>
      </w:pPr>
    </w:p>
    <w:tbl>
      <w:tblPr>
        <w:tblLayout w:type="fixed"/>
        <w:tblInd w:w="130" w:type="dxa"/>
        <w:tblCellMar>
          <w:top w:w="0" w:type="dxa"/>
          <w:left w:w="0" w:type="dxa"/>
          <w:bottom w:w="0" w:type="dxa"/>
          <w:right w:w="0" w:type="dxa"/>
        </w:tblCellMar>
      </w:tblPr>
      <w:tr>
        <w:trPr>
          <w:trHeight w:val="229"/>
        </w:trPr>
        <w:tc>
          <w:tcPr>
            <w:tcW w:w="1780" w:type="dxa"/>
            <w:vAlign w:val="bottom"/>
            <w:tcBorders>
              <w:top w:val="single" w:sz="8" w:color="auto"/>
              <w:left w:val="single" w:sz="8" w:color="auto"/>
              <w:right w:val="single" w:sz="8" w:color="auto"/>
            </w:tcBorders>
            <w:shd w:val="clear" w:color="auto" w:fill="0075C9"/>
          </w:tcPr>
          <w:p>
            <w:pPr>
              <w:ind w:left="160"/>
              <w:spacing w:after="0"/>
              <w:rPr>
                <w:sz w:val="20"/>
                <w:szCs w:val="20"/>
                <w:color w:val="auto"/>
              </w:rPr>
            </w:pPr>
            <w:r>
              <w:rPr>
                <w:rFonts w:ascii="Arial" w:cs="Arial" w:eastAsia="Arial" w:hAnsi="Arial"/>
                <w:sz w:val="16"/>
                <w:szCs w:val="16"/>
                <w:color w:val="FFFFFF"/>
              </w:rPr>
              <w:t>  Governance</w:t>
            </w:r>
          </w:p>
        </w:tc>
        <w:tc>
          <w:tcPr>
            <w:tcW w:w="9260" w:type="dxa"/>
            <w:vAlign w:val="bottom"/>
            <w:tcBorders>
              <w:top w:val="single" w:sz="8" w:color="auto"/>
              <w:right w:val="single" w:sz="8" w:color="auto"/>
            </w:tcBorders>
            <w:vMerge w:val="restart"/>
            <w:shd w:val="clear" w:color="auto" w:fill="0075C9"/>
          </w:tcPr>
          <w:p>
            <w:pPr>
              <w:ind w:left="100"/>
              <w:spacing w:after="0"/>
              <w:rPr>
                <w:sz w:val="20"/>
                <w:szCs w:val="20"/>
                <w:color w:val="auto"/>
              </w:rPr>
            </w:pPr>
            <w:r>
              <w:rPr>
                <w:rFonts w:ascii="Arial" w:cs="Arial" w:eastAsia="Arial" w:hAnsi="Arial"/>
                <w:sz w:val="16"/>
                <w:szCs w:val="16"/>
                <w:color w:val="FFFFFF"/>
              </w:rPr>
              <w:t>Corporate Governance Practice</w:t>
            </w:r>
          </w:p>
        </w:tc>
        <w:tc>
          <w:tcPr>
            <w:tcW w:w="0" w:type="dxa"/>
            <w:vAlign w:val="bottom"/>
          </w:tcPr>
          <w:p>
            <w:pPr>
              <w:spacing w:after="0"/>
              <w:rPr>
                <w:sz w:val="1"/>
                <w:szCs w:val="1"/>
                <w:color w:val="auto"/>
              </w:rPr>
            </w:pPr>
          </w:p>
        </w:tc>
      </w:tr>
      <w:tr>
        <w:trPr>
          <w:trHeight w:val="93"/>
        </w:trPr>
        <w:tc>
          <w:tcPr>
            <w:tcW w:w="1780" w:type="dxa"/>
            <w:vAlign w:val="bottom"/>
            <w:tcBorders>
              <w:left w:val="single" w:sz="8" w:color="auto"/>
              <w:right w:val="single" w:sz="8" w:color="auto"/>
            </w:tcBorders>
            <w:vMerge w:val="restart"/>
            <w:shd w:val="clear" w:color="auto" w:fill="0075C9"/>
          </w:tcPr>
          <w:p>
            <w:pPr>
              <w:ind w:left="160"/>
              <w:spacing w:after="0"/>
              <w:rPr>
                <w:sz w:val="20"/>
                <w:szCs w:val="20"/>
                <w:color w:val="auto"/>
              </w:rPr>
            </w:pPr>
            <w:r>
              <w:rPr>
                <w:rFonts w:ascii="Arial" w:cs="Arial" w:eastAsia="Arial" w:hAnsi="Arial"/>
                <w:sz w:val="16"/>
                <w:szCs w:val="16"/>
                <w:color w:val="FFFFFF"/>
              </w:rPr>
              <w:t>  Principles</w:t>
            </w:r>
          </w:p>
        </w:tc>
        <w:tc>
          <w:tcPr>
            <w:tcW w:w="9260" w:type="dxa"/>
            <w:vAlign w:val="bottom"/>
            <w:tcBorders>
              <w:right w:val="single" w:sz="8" w:color="auto"/>
            </w:tcBorders>
            <w:vMerge w:val="continue"/>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vMerge w:val="continue"/>
            <w:shd w:val="clear" w:color="auto" w:fill="0075C9"/>
          </w:tcPr>
          <w:p>
            <w:pPr>
              <w:spacing w:after="0"/>
              <w:rPr>
                <w:sz w:val="10"/>
                <w:szCs w:val="10"/>
                <w:color w:val="auto"/>
              </w:rPr>
            </w:pPr>
          </w:p>
        </w:tc>
        <w:tc>
          <w:tcPr>
            <w:tcW w:w="9260" w:type="dxa"/>
            <w:vAlign w:val="bottom"/>
            <w:tcBorders>
              <w:right w:val="single" w:sz="8" w:color="auto"/>
            </w:tcBorders>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780" w:type="dxa"/>
            <w:vAlign w:val="bottom"/>
            <w:tcBorders>
              <w:left w:val="single" w:sz="8" w:color="auto"/>
              <w:bottom w:val="single" w:sz="8" w:color="auto"/>
              <w:right w:val="single" w:sz="8" w:color="auto"/>
            </w:tcBorders>
            <w:shd w:val="clear" w:color="auto" w:fill="0075C9"/>
          </w:tcPr>
          <w:p>
            <w:pPr>
              <w:spacing w:after="0"/>
              <w:rPr>
                <w:sz w:val="9"/>
                <w:szCs w:val="9"/>
                <w:color w:val="auto"/>
              </w:rPr>
            </w:pPr>
          </w:p>
        </w:tc>
        <w:tc>
          <w:tcPr>
            <w:tcW w:w="9260" w:type="dxa"/>
            <w:vAlign w:val="bottom"/>
            <w:tcBorders>
              <w:bottom w:val="single" w:sz="8" w:color="auto"/>
              <w:right w:val="single" w:sz="8" w:color="auto"/>
            </w:tcBorders>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780" w:type="dxa"/>
            <w:vAlign w:val="bottom"/>
            <w:tcBorders>
              <w:left w:val="single" w:sz="8" w:color="auto"/>
              <w:right w:val="single" w:sz="8" w:color="auto"/>
            </w:tcBorders>
          </w:tcPr>
          <w:p>
            <w:pPr>
              <w:spacing w:after="0"/>
              <w:rPr>
                <w:sz w:val="22"/>
                <w:szCs w:val="22"/>
                <w:color w:val="auto"/>
              </w:rPr>
            </w:pP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Our common stock is our only class of stock, with one vote per share</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Accountability to</w:t>
            </w:r>
          </w:p>
        </w:tc>
        <w:tc>
          <w:tcPr>
            <w:tcW w:w="9260" w:type="dxa"/>
            <w:vAlign w:val="bottom"/>
            <w:tcBorders>
              <w:right w:val="single" w:sz="8" w:color="auto"/>
            </w:tcBorders>
          </w:tcPr>
          <w:p>
            <w:pPr>
              <w:ind w:left="100"/>
              <w:spacing w:after="0" w:line="182"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Our directors are annually elected by majority vote, and we have a director resignation policy related to material changes</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vMerge w:val="continue"/>
          </w:tcPr>
          <w:p>
            <w:pPr>
              <w:spacing w:after="0"/>
              <w:rPr>
                <w:sz w:val="10"/>
                <w:szCs w:val="10"/>
                <w:color w:val="auto"/>
              </w:rPr>
            </w:pPr>
          </w:p>
        </w:tc>
        <w:tc>
          <w:tcPr>
            <w:tcW w:w="92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color w:val="auto"/>
              </w:rPr>
              <w:t>in a director’s principal occupation or employment and failure to receive a majority of votes cast</w:t>
            </w:r>
          </w:p>
        </w:tc>
        <w:tc>
          <w:tcPr>
            <w:tcW w:w="0" w:type="dxa"/>
            <w:vAlign w:val="bottom"/>
          </w:tcPr>
          <w:p>
            <w:pPr>
              <w:spacing w:after="0"/>
              <w:rPr>
                <w:sz w:val="1"/>
                <w:szCs w:val="1"/>
                <w:color w:val="auto"/>
              </w:rPr>
            </w:pPr>
          </w:p>
        </w:tc>
      </w:tr>
      <w:tr>
        <w:trPr>
          <w:trHeight w:val="93"/>
        </w:trPr>
        <w:tc>
          <w:tcPr>
            <w:tcW w:w="17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Stockholders</w:t>
            </w: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780" w:type="dxa"/>
            <w:vAlign w:val="bottom"/>
            <w:tcBorders>
              <w:left w:val="single" w:sz="8" w:color="auto"/>
              <w:right w:val="single" w:sz="8" w:color="auto"/>
            </w:tcBorders>
            <w:vMerge w:val="continue"/>
          </w:tcPr>
          <w:p>
            <w:pPr>
              <w:spacing w:after="0"/>
              <w:rPr>
                <w:sz w:val="3"/>
                <w:szCs w:val="3"/>
                <w:color w:val="auto"/>
              </w:rPr>
            </w:pPr>
          </w:p>
        </w:tc>
        <w:tc>
          <w:tcPr>
            <w:tcW w:w="9260" w:type="dxa"/>
            <w:vAlign w:val="bottom"/>
            <w:tcBorders>
              <w:bottom w:val="single" w:sz="8" w:color="0075C9"/>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1780" w:type="dxa"/>
            <w:vAlign w:val="bottom"/>
            <w:tcBorders>
              <w:left w:val="single" w:sz="8" w:color="auto"/>
              <w:right w:val="single" w:sz="8" w:color="auto"/>
            </w:tcBorders>
            <w:vMerge w:val="continue"/>
          </w:tcPr>
          <w:p>
            <w:pPr>
              <w:spacing w:after="0"/>
              <w:rPr>
                <w:sz w:val="5"/>
                <w:szCs w:val="5"/>
                <w:color w:val="auto"/>
              </w:rPr>
            </w:pPr>
          </w:p>
        </w:tc>
        <w:tc>
          <w:tcPr>
            <w:tcW w:w="9260" w:type="dxa"/>
            <w:vAlign w:val="bottom"/>
            <w:tcBorders>
              <w:right w:val="single" w:sz="8" w:color="auto"/>
            </w:tcBorders>
            <w:vMerge w:val="restart"/>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Stockholders have the right to call special meetings and act by written consent</w:t>
            </w:r>
          </w:p>
        </w:tc>
        <w:tc>
          <w:tcPr>
            <w:tcW w:w="0" w:type="dxa"/>
            <w:vAlign w:val="bottom"/>
          </w:tcPr>
          <w:p>
            <w:pPr>
              <w:spacing w:after="0"/>
              <w:rPr>
                <w:sz w:val="1"/>
                <w:szCs w:val="1"/>
                <w:color w:val="auto"/>
              </w:rPr>
            </w:pPr>
          </w:p>
        </w:tc>
      </w:tr>
      <w:tr>
        <w:trPr>
          <w:trHeight w:val="196"/>
        </w:trPr>
        <w:tc>
          <w:tcPr>
            <w:tcW w:w="1780" w:type="dxa"/>
            <w:vAlign w:val="bottom"/>
            <w:tcBorders>
              <w:left w:val="single" w:sz="8" w:color="auto"/>
              <w:right w:val="single" w:sz="8" w:color="auto"/>
            </w:tcBorders>
          </w:tcPr>
          <w:p>
            <w:pPr>
              <w:spacing w:after="0"/>
              <w:rPr>
                <w:sz w:val="16"/>
                <w:szCs w:val="16"/>
                <w:color w:val="auto"/>
              </w:rPr>
            </w:pPr>
          </w:p>
        </w:tc>
        <w:tc>
          <w:tcPr>
            <w:tcW w:w="9260" w:type="dxa"/>
            <w:vAlign w:val="bottom"/>
            <w:tcBorders>
              <w:bottom w:val="single" w:sz="8" w:color="0075C9"/>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Proxy access Bylaw (3%, 3 years, nominees for up to 25% of our Board)</w:t>
            </w:r>
          </w:p>
        </w:tc>
        <w:tc>
          <w:tcPr>
            <w:tcW w:w="0" w:type="dxa"/>
            <w:vAlign w:val="bottom"/>
          </w:tcPr>
          <w:p>
            <w:pPr>
              <w:spacing w:after="0"/>
              <w:rPr>
                <w:sz w:val="1"/>
                <w:szCs w:val="1"/>
                <w:color w:val="auto"/>
              </w:rPr>
            </w:pPr>
          </w:p>
        </w:tc>
      </w:tr>
      <w:tr>
        <w:trPr>
          <w:trHeight w:val="195"/>
        </w:trPr>
        <w:tc>
          <w:tcPr>
            <w:tcW w:w="1780" w:type="dxa"/>
            <w:vAlign w:val="bottom"/>
            <w:tcBorders>
              <w:left w:val="single" w:sz="8" w:color="auto"/>
              <w:right w:val="single" w:sz="8" w:color="auto"/>
            </w:tcBorders>
          </w:tcPr>
          <w:p>
            <w:pPr>
              <w:spacing w:after="0"/>
              <w:rPr>
                <w:sz w:val="16"/>
                <w:szCs w:val="16"/>
                <w:color w:val="auto"/>
              </w:rPr>
            </w:pPr>
          </w:p>
        </w:tc>
        <w:tc>
          <w:tcPr>
            <w:tcW w:w="9260" w:type="dxa"/>
            <w:vAlign w:val="bottom"/>
            <w:tcBorders>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9 of our 10 director nominees qualify as independent under the independence requirements of the Nasdaq Stock Market</w:t>
            </w: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right w:val="single" w:sz="8" w:color="auto"/>
            </w:tcBorders>
          </w:tcPr>
          <w:p>
            <w:pPr>
              <w:spacing w:after="0"/>
              <w:rPr>
                <w:sz w:val="18"/>
                <w:szCs w:val="18"/>
                <w:color w:val="auto"/>
              </w:rPr>
            </w:pPr>
          </w:p>
        </w:tc>
        <w:tc>
          <w:tcPr>
            <w:tcW w:w="926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(Nasdaq)</w:t>
            </w:r>
          </w:p>
        </w:tc>
        <w:tc>
          <w:tcPr>
            <w:tcW w:w="0" w:type="dxa"/>
            <w:vAlign w:val="bottom"/>
          </w:tcPr>
          <w:p>
            <w:pPr>
              <w:spacing w:after="0"/>
              <w:rPr>
                <w:sz w:val="1"/>
                <w:szCs w:val="1"/>
                <w:color w:val="auto"/>
              </w:rPr>
            </w:pPr>
          </w:p>
        </w:tc>
      </w:tr>
      <w:tr>
        <w:trPr>
          <w:trHeight w:val="42"/>
        </w:trPr>
        <w:tc>
          <w:tcPr>
            <w:tcW w:w="1780" w:type="dxa"/>
            <w:vAlign w:val="bottom"/>
            <w:tcBorders>
              <w:left w:val="single" w:sz="8" w:color="auto"/>
              <w:right w:val="single" w:sz="8" w:color="auto"/>
            </w:tcBorders>
          </w:tcPr>
          <w:p>
            <w:pPr>
              <w:spacing w:after="0"/>
              <w:rPr>
                <w:sz w:val="3"/>
                <w:szCs w:val="3"/>
                <w:color w:val="auto"/>
              </w:rPr>
            </w:pPr>
          </w:p>
        </w:tc>
        <w:tc>
          <w:tcPr>
            <w:tcW w:w="9260" w:type="dxa"/>
            <w:vAlign w:val="bottom"/>
            <w:tcBorders>
              <w:bottom w:val="single" w:sz="8" w:color="0075C9"/>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Board Independence</w:t>
            </w: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Our Board is led by an independent Chair</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vMerge w:val="continue"/>
          </w:tcPr>
          <w:p>
            <w:pPr>
              <w:spacing w:after="0"/>
              <w:rPr>
                <w:sz w:val="15"/>
                <w:szCs w:val="15"/>
                <w:color w:val="auto"/>
              </w:rPr>
            </w:pPr>
          </w:p>
        </w:tc>
        <w:tc>
          <w:tcPr>
            <w:tcW w:w="9260" w:type="dxa"/>
            <w:vAlign w:val="bottom"/>
            <w:tcBorders>
              <w:right w:val="single" w:sz="8" w:color="auto"/>
            </w:tcBorders>
          </w:tcPr>
          <w:p>
            <w:pPr>
              <w:ind w:left="100"/>
              <w:spacing w:after="0" w:line="182"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Our independent directors regularly meet without management present (executive sessions) that are led by our Chair and</w:t>
            </w:r>
          </w:p>
        </w:tc>
        <w:tc>
          <w:tcPr>
            <w:tcW w:w="0" w:type="dxa"/>
            <w:vAlign w:val="bottom"/>
          </w:tcPr>
          <w:p>
            <w:pPr>
              <w:spacing w:after="0"/>
              <w:rPr>
                <w:sz w:val="1"/>
                <w:szCs w:val="1"/>
                <w:color w:val="auto"/>
              </w:rPr>
            </w:pPr>
          </w:p>
        </w:tc>
      </w:tr>
      <w:tr>
        <w:trPr>
          <w:trHeight w:val="215"/>
        </w:trPr>
        <w:tc>
          <w:tcPr>
            <w:tcW w:w="1780" w:type="dxa"/>
            <w:vAlign w:val="bottom"/>
            <w:tcBorders>
              <w:left w:val="single" w:sz="8" w:color="auto"/>
              <w:right w:val="single" w:sz="8" w:color="auto"/>
            </w:tcBorders>
          </w:tcPr>
          <w:p>
            <w:pPr>
              <w:spacing w:after="0"/>
              <w:rPr>
                <w:sz w:val="18"/>
                <w:szCs w:val="18"/>
                <w:color w:val="auto"/>
              </w:rPr>
            </w:pPr>
          </w:p>
        </w:tc>
        <w:tc>
          <w:tcPr>
            <w:tcW w:w="926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have open access to management and third-party advisors</w:t>
            </w:r>
          </w:p>
        </w:tc>
        <w:tc>
          <w:tcPr>
            <w:tcW w:w="0" w:type="dxa"/>
            <w:vAlign w:val="bottom"/>
          </w:tcPr>
          <w:p>
            <w:pPr>
              <w:spacing w:after="0"/>
              <w:rPr>
                <w:sz w:val="1"/>
                <w:szCs w:val="1"/>
                <w:color w:val="auto"/>
              </w:rPr>
            </w:pPr>
          </w:p>
        </w:tc>
      </w:tr>
      <w:tr>
        <w:trPr>
          <w:trHeight w:val="43"/>
        </w:trPr>
        <w:tc>
          <w:tcPr>
            <w:tcW w:w="1780" w:type="dxa"/>
            <w:vAlign w:val="bottom"/>
            <w:tcBorders>
              <w:left w:val="single" w:sz="8" w:color="auto"/>
              <w:right w:val="single" w:sz="8" w:color="auto"/>
            </w:tcBorders>
          </w:tcPr>
          <w:p>
            <w:pPr>
              <w:spacing w:after="0"/>
              <w:rPr>
                <w:sz w:val="3"/>
                <w:szCs w:val="3"/>
                <w:color w:val="auto"/>
              </w:rPr>
            </w:pPr>
          </w:p>
        </w:tc>
        <w:tc>
          <w:tcPr>
            <w:tcW w:w="9260" w:type="dxa"/>
            <w:vAlign w:val="bottom"/>
            <w:tcBorders>
              <w:bottom w:val="single" w:sz="8" w:color="0075C9"/>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Our Board committees are comprised entirely of independent directors</w:t>
            </w:r>
          </w:p>
        </w:tc>
        <w:tc>
          <w:tcPr>
            <w:tcW w:w="0" w:type="dxa"/>
            <w:vAlign w:val="bottom"/>
          </w:tcPr>
          <w:p>
            <w:pPr>
              <w:spacing w:after="0"/>
              <w:rPr>
                <w:sz w:val="1"/>
                <w:szCs w:val="1"/>
                <w:color w:val="auto"/>
              </w:rPr>
            </w:pPr>
          </w:p>
        </w:tc>
      </w:tr>
      <w:tr>
        <w:trPr>
          <w:trHeight w:val="263"/>
        </w:trPr>
        <w:tc>
          <w:tcPr>
            <w:tcW w:w="1780" w:type="dxa"/>
            <w:vAlign w:val="bottom"/>
            <w:tcBorders>
              <w:left w:val="single" w:sz="8" w:color="auto"/>
              <w:right w:val="single" w:sz="8" w:color="auto"/>
            </w:tcBorders>
          </w:tcPr>
          <w:p>
            <w:pPr>
              <w:spacing w:after="0"/>
              <w:rPr>
                <w:sz w:val="22"/>
                <w:szCs w:val="22"/>
                <w:color w:val="auto"/>
              </w:rPr>
            </w:pP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7 of our independent directors joined since 2019</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Board Composition</w:t>
            </w: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Board tenure policy that seeks to maintain an average tenure of 10 years or less for independent directors</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Current average independent director tenure of approximately 7 years</w:t>
            </w:r>
          </w:p>
        </w:tc>
        <w:tc>
          <w:tcPr>
            <w:tcW w:w="0" w:type="dxa"/>
            <w:vAlign w:val="bottom"/>
          </w:tcPr>
          <w:p>
            <w:pPr>
              <w:spacing w:after="0"/>
              <w:rPr>
                <w:sz w:val="1"/>
                <w:szCs w:val="1"/>
                <w:color w:val="auto"/>
              </w:rPr>
            </w:pPr>
          </w:p>
        </w:tc>
      </w:tr>
      <w:tr>
        <w:trPr>
          <w:trHeight w:val="263"/>
        </w:trPr>
        <w:tc>
          <w:tcPr>
            <w:tcW w:w="1780" w:type="dxa"/>
            <w:vAlign w:val="bottom"/>
            <w:tcBorders>
              <w:left w:val="single" w:sz="8" w:color="auto"/>
              <w:right w:val="single" w:sz="8" w:color="auto"/>
            </w:tcBorders>
          </w:tcPr>
          <w:p>
            <w:pPr>
              <w:spacing w:after="0"/>
              <w:rPr>
                <w:sz w:val="22"/>
                <w:szCs w:val="22"/>
                <w:color w:val="auto"/>
              </w:rPr>
            </w:pP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Annual anonymous Board and committee evaluation process</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Board Policies and</w:t>
            </w: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Annual independent director evaluation of CEO</w:t>
            </w:r>
          </w:p>
        </w:tc>
        <w:tc>
          <w:tcPr>
            <w:tcW w:w="0" w:type="dxa"/>
            <w:vAlign w:val="bottom"/>
          </w:tcPr>
          <w:p>
            <w:pPr>
              <w:spacing w:after="0"/>
              <w:rPr>
                <w:sz w:val="1"/>
                <w:szCs w:val="1"/>
                <w:color w:val="auto"/>
              </w:rPr>
            </w:pPr>
          </w:p>
        </w:tc>
      </w:tr>
      <w:tr>
        <w:trPr>
          <w:trHeight w:val="74"/>
        </w:trPr>
        <w:tc>
          <w:tcPr>
            <w:tcW w:w="1780" w:type="dxa"/>
            <w:vAlign w:val="bottom"/>
            <w:tcBorders>
              <w:left w:val="single" w:sz="8" w:color="auto"/>
              <w:right w:val="single" w:sz="8" w:color="auto"/>
            </w:tcBorders>
            <w:vMerge w:val="continue"/>
          </w:tcPr>
          <w:p>
            <w:pPr>
              <w:spacing w:after="0"/>
              <w:rPr>
                <w:sz w:val="6"/>
                <w:szCs w:val="6"/>
                <w:color w:val="auto"/>
              </w:rPr>
            </w:pPr>
          </w:p>
        </w:tc>
        <w:tc>
          <w:tcPr>
            <w:tcW w:w="9260" w:type="dxa"/>
            <w:vAlign w:val="bottom"/>
            <w:tcBorders>
              <w:right w:val="single" w:sz="8" w:color="auto"/>
            </w:tcBorders>
            <w:vMerge w:val="restart"/>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ERM program, IT, privacy, AI and cybersecurity overseen by our Board</w:t>
            </w:r>
          </w:p>
        </w:tc>
        <w:tc>
          <w:tcPr>
            <w:tcW w:w="0" w:type="dxa"/>
            <w:vAlign w:val="bottom"/>
          </w:tcPr>
          <w:p>
            <w:pPr>
              <w:spacing w:after="0"/>
              <w:rPr>
                <w:sz w:val="1"/>
                <w:szCs w:val="1"/>
                <w:color w:val="auto"/>
              </w:rPr>
            </w:pPr>
          </w:p>
        </w:tc>
      </w:tr>
      <w:tr>
        <w:trPr>
          <w:trHeight w:val="181"/>
        </w:trPr>
        <w:tc>
          <w:tcPr>
            <w:tcW w:w="1780" w:type="dxa"/>
            <w:vAlign w:val="bottom"/>
            <w:tcBorders>
              <w:left w:val="single" w:sz="8" w:color="auto"/>
              <w:right w:val="single" w:sz="8" w:color="auto"/>
            </w:tcBorders>
          </w:tcPr>
          <w:p>
            <w:pPr>
              <w:ind w:left="160"/>
              <w:spacing w:after="0" w:line="176" w:lineRule="exact"/>
              <w:rPr>
                <w:sz w:val="20"/>
                <w:szCs w:val="20"/>
                <w:color w:val="auto"/>
              </w:rPr>
            </w:pPr>
            <w:r>
              <w:rPr>
                <w:rFonts w:ascii="Arial" w:cs="Arial" w:eastAsia="Arial" w:hAnsi="Arial"/>
                <w:sz w:val="16"/>
                <w:szCs w:val="16"/>
                <w:color w:val="auto"/>
              </w:rPr>
              <w:t>Practices</w:t>
            </w:r>
          </w:p>
        </w:tc>
        <w:tc>
          <w:tcPr>
            <w:tcW w:w="9260" w:type="dxa"/>
            <w:vAlign w:val="bottom"/>
            <w:tcBorders>
              <w:bottom w:val="single" w:sz="8" w:color="0075C9"/>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right w:val="single" w:sz="8" w:color="auto"/>
            </w:tcBorders>
          </w:tcPr>
          <w:p>
            <w:pPr>
              <w:spacing w:after="0"/>
              <w:rPr>
                <w:sz w:val="21"/>
                <w:szCs w:val="21"/>
                <w:color w:val="auto"/>
              </w:rPr>
            </w:pP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Annual compensation risk analysis overseen by the CMDC</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Board oversight of corporate social responsibility matters</w:t>
            </w:r>
          </w:p>
        </w:tc>
        <w:tc>
          <w:tcPr>
            <w:tcW w:w="0" w:type="dxa"/>
            <w:vAlign w:val="bottom"/>
          </w:tcPr>
          <w:p>
            <w:pPr>
              <w:spacing w:after="0"/>
              <w:rPr>
                <w:sz w:val="1"/>
                <w:szCs w:val="1"/>
                <w:color w:val="auto"/>
              </w:rPr>
            </w:pPr>
          </w:p>
        </w:tc>
      </w:tr>
      <w:tr>
        <w:trPr>
          <w:trHeight w:val="263"/>
        </w:trPr>
        <w:tc>
          <w:tcPr>
            <w:tcW w:w="1780" w:type="dxa"/>
            <w:vAlign w:val="bottom"/>
            <w:tcBorders>
              <w:left w:val="single" w:sz="8" w:color="auto"/>
              <w:right w:val="single" w:sz="8" w:color="auto"/>
            </w:tcBorders>
          </w:tcPr>
          <w:p>
            <w:pPr>
              <w:spacing w:after="0"/>
              <w:rPr>
                <w:sz w:val="22"/>
                <w:szCs w:val="22"/>
                <w:color w:val="auto"/>
              </w:rPr>
            </w:pP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Significant stock ownership requirements for our CEO, Executive Vice Presidents, Chief Accounting Officer and directors</w:t>
            </w:r>
          </w:p>
        </w:tc>
        <w:tc>
          <w:tcPr>
            <w:tcW w:w="0" w:type="dxa"/>
            <w:vAlign w:val="bottom"/>
          </w:tcPr>
          <w:p>
            <w:pPr>
              <w:spacing w:after="0"/>
              <w:rPr>
                <w:sz w:val="1"/>
                <w:szCs w:val="1"/>
                <w:color w:val="auto"/>
              </w:rPr>
            </w:pPr>
          </w:p>
        </w:tc>
      </w:tr>
      <w:tr>
        <w:trPr>
          <w:trHeight w:val="209"/>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Risk Mitigation and</w:t>
            </w:r>
          </w:p>
        </w:tc>
        <w:tc>
          <w:tcPr>
            <w:tcW w:w="9260" w:type="dxa"/>
            <w:vAlign w:val="bottom"/>
            <w:tcBorders>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Clawback policies that exceed Dodd-Frank requirements</w:t>
            </w:r>
          </w:p>
        </w:tc>
        <w:tc>
          <w:tcPr>
            <w:tcW w:w="0" w:type="dxa"/>
            <w:vAlign w:val="bottom"/>
          </w:tcPr>
          <w:p>
            <w:pPr>
              <w:spacing w:after="0"/>
              <w:rPr>
                <w:sz w:val="1"/>
                <w:szCs w:val="1"/>
                <w:color w:val="auto"/>
              </w:rPr>
            </w:pPr>
          </w:p>
        </w:tc>
      </w:tr>
      <w:tr>
        <w:trPr>
          <w:trHeight w:val="41"/>
        </w:trPr>
        <w:tc>
          <w:tcPr>
            <w:tcW w:w="17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Alignment of Interests</w:t>
            </w:r>
          </w:p>
        </w:tc>
        <w:tc>
          <w:tcPr>
            <w:tcW w:w="9260" w:type="dxa"/>
            <w:vAlign w:val="bottom"/>
            <w:tcBorders>
              <w:bottom w:val="single" w:sz="8" w:color="0075C9"/>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right w:val="single" w:sz="8" w:color="auto"/>
            </w:tcBorders>
            <w:vMerge w:val="continue"/>
          </w:tcPr>
          <w:p>
            <w:pPr>
              <w:spacing w:after="0"/>
              <w:rPr>
                <w:sz w:val="21"/>
                <w:szCs w:val="21"/>
                <w:color w:val="auto"/>
              </w:rPr>
            </w:pPr>
          </w:p>
        </w:tc>
        <w:tc>
          <w:tcPr>
            <w:tcW w:w="9260" w:type="dxa"/>
            <w:vAlign w:val="bottom"/>
            <w:tcBorders>
              <w:bottom w:val="single" w:sz="8" w:color="0075C9"/>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Corporate Governance Principles and Comprehensive Code of Business Conduct</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9260" w:type="dxa"/>
            <w:vAlign w:val="bottom"/>
            <w:tcBorders>
              <w:bottom w:val="single" w:sz="8" w:color="auto"/>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Related Person Transaction Policy and Conflicts of Interest and Outside Activities Policy</w:t>
            </w:r>
          </w:p>
        </w:tc>
        <w:tc>
          <w:tcPr>
            <w:tcW w:w="0" w:type="dxa"/>
            <w:vAlign w:val="bottom"/>
          </w:tcPr>
          <w:p>
            <w:pPr>
              <w:spacing w:after="0"/>
              <w:rPr>
                <w:sz w:val="1"/>
                <w:szCs w:val="1"/>
                <w:color w:val="auto"/>
              </w:rPr>
            </w:pPr>
          </w:p>
        </w:tc>
      </w:tr>
      <w:tr>
        <w:trPr>
          <w:trHeight w:val="416"/>
        </w:trPr>
        <w:tc>
          <w:tcPr>
            <w:tcW w:w="1780" w:type="dxa"/>
            <w:vAlign w:val="bottom"/>
          </w:tcPr>
          <w:p>
            <w:pPr>
              <w:spacing w:after="0"/>
              <w:rPr>
                <w:sz w:val="24"/>
                <w:szCs w:val="24"/>
                <w:color w:val="auto"/>
              </w:rPr>
            </w:pPr>
          </w:p>
        </w:tc>
        <w:tc>
          <w:tcPr>
            <w:tcW w:w="9260" w:type="dxa"/>
            <w:vAlign w:val="bottom"/>
          </w:tcPr>
          <w:p>
            <w:pPr>
              <w:ind w:left="6780"/>
              <w:spacing w:after="0"/>
              <w:rPr>
                <w:sz w:val="20"/>
                <w:szCs w:val="20"/>
                <w:color w:val="auto"/>
              </w:rPr>
            </w:pPr>
            <w:r>
              <w:rPr>
                <w:rFonts w:ascii="Arial" w:cs="Arial" w:eastAsia="Arial" w:hAnsi="Arial"/>
                <w:sz w:val="18"/>
                <w:szCs w:val="18"/>
                <w:color w:val="0075C9"/>
                <w:w w:val="99"/>
              </w:rPr>
              <w:t xml:space="preserve">   2026 Proxy Statement   </w:t>
            </w:r>
            <w:r>
              <w:rPr>
                <w:rFonts w:ascii="Arial" w:cs="Arial" w:eastAsia="Arial" w:hAnsi="Arial"/>
                <w:sz w:val="16"/>
                <w:szCs w:val="16"/>
                <w:color w:val="0075C9"/>
                <w:w w:val="99"/>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-173355</wp:posOffset>
            </wp:positionV>
            <wp:extent cx="41973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Corporate Governance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Commitment to Stockholder Engagement</w:t>
      </w:r>
    </w:p>
    <w:p>
      <w:pPr>
        <w:spacing w:after="0" w:line="11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We value the views of our stockholders and feedback received from them serves as a valuable input to Board and committee discussions and informs actions designed to increase long-term stockholder value. To support maintaining an open dialogue with our stockholders, the CGC leads our Board’s efforts on director-stockholder engagement and directs discussions with stockholders to the appropriate Board and committee members. To demonstrate our commitment to stockholder engagement, we have adopted a practice in recent years that our independent directors, led by our Chair, seek to engage with our largest stockholders to better understand their perspectives on a variety of issues, including our business strategy, capital allocation, corporate governance, executive compensation and corporate social responsibility initiatives.</w:t>
      </w:r>
    </w:p>
    <w:p>
      <w:pPr>
        <w:spacing w:after="0" w:line="74"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In addition, our CFO and investor relations group lead our management team in investor meetings throughout the year to discuss our business, strategy and financial results. Meetings included in-person and virtual meetings, telephone and webcast conferences.</w:t>
      </w:r>
    </w:p>
    <w:p>
      <w:pPr>
        <w:spacing w:after="0" w:line="48" w:lineRule="exact"/>
        <w:rPr>
          <w:sz w:val="20"/>
          <w:szCs w:val="20"/>
          <w:color w:val="auto"/>
        </w:rPr>
      </w:pPr>
    </w:p>
    <w:p>
      <w:pPr>
        <w:ind w:left="120" w:right="820"/>
        <w:spacing w:after="0" w:line="286" w:lineRule="auto"/>
        <w:rPr>
          <w:sz w:val="20"/>
          <w:szCs w:val="20"/>
          <w:color w:val="auto"/>
        </w:rPr>
      </w:pPr>
      <w:r>
        <w:rPr>
          <w:rFonts w:ascii="Arial" w:cs="Arial" w:eastAsia="Arial" w:hAnsi="Arial"/>
          <w:sz w:val="16"/>
          <w:szCs w:val="16"/>
          <w:color w:val="auto"/>
        </w:rPr>
        <w:t>We remain committed to regular dialogue with our stockholders to increase transparency and better understand our stockholder base and their perspectives.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Board Leadership Structure</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Independent Chair Leadership</w:t>
      </w:r>
    </w:p>
    <w:p>
      <w:pPr>
        <w:spacing w:after="0" w:line="108"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The Board regularly reviews its leadership structure to evaluate whether this structure continues to best serve the needs of the company and its stockholders. We believe that having an independent Chair promotes a greater role for independent directors in the oversight of the company, including overseeing the strategic direction of the company and oversight of material risks facing the company. Additionally, it encourages active participation by the independent directors in the work of our Board, enhances our Board’s role of representing stockholders’ interests and improves our Board’s ability to supervise and evaluate our CEO and other NEOs. Further, separation of the Chair and CEO roles allows our CEO to focus on operating and managing the company while leveraging our independent Chair’s experience and perspectives. Ms. Dorsa, an independent director, currently serves as the Chair of our Board. Ms. Dorsa has notified the Board that she is not standing for reelection at the 2026 Annual Meeting. Dr. Freire, also an independent director, will assume the role as Chair immediately after the 2026 Annual Meeting. Among other responsibilities, our Chair:</w:t>
      </w:r>
    </w:p>
    <w:p>
      <w:pPr>
        <w:spacing w:after="0" w:line="48" w:lineRule="exact"/>
        <w:rPr>
          <w:sz w:val="20"/>
          <w:szCs w:val="20"/>
          <w:color w:val="auto"/>
        </w:rPr>
      </w:pPr>
    </w:p>
    <w:p>
      <w:pPr>
        <w:ind w:left="760" w:hanging="320"/>
        <w:spacing w:after="0"/>
        <w:tabs>
          <w:tab w:leader="none" w:pos="760" w:val="left"/>
        </w:tabs>
        <w:numPr>
          <w:ilvl w:val="0"/>
          <w:numId w:val="58"/>
        </w:numPr>
        <w:rPr>
          <w:rFonts w:ascii="Arial" w:cs="Arial" w:eastAsia="Arial" w:hAnsi="Arial"/>
          <w:sz w:val="16"/>
          <w:szCs w:val="16"/>
          <w:color w:val="0075C9"/>
        </w:rPr>
      </w:pPr>
      <w:r>
        <w:rPr>
          <w:rFonts w:ascii="Arial" w:cs="Arial" w:eastAsia="Arial" w:hAnsi="Arial"/>
          <w:sz w:val="16"/>
          <w:szCs w:val="16"/>
          <w:color w:val="auto"/>
        </w:rPr>
        <w:t>presides at meetings of our Board, executive sessions of our independent directors and our annual meetings of stockholders;</w:t>
      </w:r>
    </w:p>
    <w:p>
      <w:pPr>
        <w:spacing w:after="0" w:line="86" w:lineRule="exact"/>
        <w:rPr>
          <w:rFonts w:ascii="Arial" w:cs="Arial" w:eastAsia="Arial" w:hAnsi="Arial"/>
          <w:sz w:val="16"/>
          <w:szCs w:val="16"/>
          <w:color w:val="0075C9"/>
        </w:rPr>
      </w:pPr>
    </w:p>
    <w:p>
      <w:pPr>
        <w:ind w:left="760" w:hanging="320"/>
        <w:spacing w:after="0"/>
        <w:tabs>
          <w:tab w:leader="none" w:pos="760" w:val="left"/>
        </w:tabs>
        <w:numPr>
          <w:ilvl w:val="0"/>
          <w:numId w:val="58"/>
        </w:numPr>
        <w:rPr>
          <w:rFonts w:ascii="Arial" w:cs="Arial" w:eastAsia="Arial" w:hAnsi="Arial"/>
          <w:sz w:val="16"/>
          <w:szCs w:val="16"/>
          <w:color w:val="0075C9"/>
        </w:rPr>
      </w:pPr>
      <w:r>
        <w:rPr>
          <w:rFonts w:ascii="Arial" w:cs="Arial" w:eastAsia="Arial" w:hAnsi="Arial"/>
          <w:sz w:val="16"/>
          <w:szCs w:val="16"/>
          <w:color w:val="auto"/>
        </w:rPr>
        <w:t>reviews and assists in setting the agenda and schedule for our Board meetings in collaboration with our CEO;</w:t>
      </w:r>
    </w:p>
    <w:p>
      <w:pPr>
        <w:spacing w:after="0" w:line="86" w:lineRule="exact"/>
        <w:rPr>
          <w:rFonts w:ascii="Arial" w:cs="Arial" w:eastAsia="Arial" w:hAnsi="Arial"/>
          <w:sz w:val="16"/>
          <w:szCs w:val="16"/>
          <w:color w:val="0075C9"/>
        </w:rPr>
      </w:pPr>
    </w:p>
    <w:p>
      <w:pPr>
        <w:ind w:left="760" w:hanging="320"/>
        <w:spacing w:after="0"/>
        <w:tabs>
          <w:tab w:leader="none" w:pos="760" w:val="left"/>
        </w:tabs>
        <w:numPr>
          <w:ilvl w:val="0"/>
          <w:numId w:val="58"/>
        </w:numPr>
        <w:rPr>
          <w:rFonts w:ascii="Arial" w:cs="Arial" w:eastAsia="Arial" w:hAnsi="Arial"/>
          <w:sz w:val="16"/>
          <w:szCs w:val="16"/>
          <w:color w:val="0075C9"/>
        </w:rPr>
      </w:pPr>
      <w:r>
        <w:rPr>
          <w:rFonts w:ascii="Arial" w:cs="Arial" w:eastAsia="Arial" w:hAnsi="Arial"/>
          <w:sz w:val="16"/>
          <w:szCs w:val="16"/>
          <w:color w:val="auto"/>
        </w:rPr>
        <w:t>advises the committee chairs in fulfilling their responsibilities to our Board;</w:t>
      </w:r>
    </w:p>
    <w:p>
      <w:pPr>
        <w:spacing w:after="0" w:line="86" w:lineRule="exact"/>
        <w:rPr>
          <w:rFonts w:ascii="Arial" w:cs="Arial" w:eastAsia="Arial" w:hAnsi="Arial"/>
          <w:sz w:val="16"/>
          <w:szCs w:val="16"/>
          <w:color w:val="0075C9"/>
        </w:rPr>
      </w:pPr>
    </w:p>
    <w:p>
      <w:pPr>
        <w:ind w:left="760" w:hanging="320"/>
        <w:spacing w:after="0"/>
        <w:tabs>
          <w:tab w:leader="none" w:pos="760" w:val="left"/>
        </w:tabs>
        <w:numPr>
          <w:ilvl w:val="0"/>
          <w:numId w:val="58"/>
        </w:numPr>
        <w:rPr>
          <w:rFonts w:ascii="Arial" w:cs="Arial" w:eastAsia="Arial" w:hAnsi="Arial"/>
          <w:sz w:val="16"/>
          <w:szCs w:val="16"/>
          <w:color w:val="0075C9"/>
        </w:rPr>
      </w:pPr>
      <w:r>
        <w:rPr>
          <w:rFonts w:ascii="Arial" w:cs="Arial" w:eastAsia="Arial" w:hAnsi="Arial"/>
          <w:sz w:val="16"/>
          <w:szCs w:val="16"/>
          <w:color w:val="auto"/>
        </w:rPr>
        <w:t>recommends to our Board the retention of any advisors who report directly to our Board;</w:t>
      </w:r>
    </w:p>
    <w:p>
      <w:pPr>
        <w:spacing w:after="0" w:line="86" w:lineRule="exact"/>
        <w:rPr>
          <w:rFonts w:ascii="Arial" w:cs="Arial" w:eastAsia="Arial" w:hAnsi="Arial"/>
          <w:sz w:val="16"/>
          <w:szCs w:val="16"/>
          <w:color w:val="0075C9"/>
        </w:rPr>
      </w:pPr>
    </w:p>
    <w:p>
      <w:pPr>
        <w:ind w:left="760" w:hanging="320"/>
        <w:spacing w:after="0"/>
        <w:tabs>
          <w:tab w:leader="none" w:pos="760" w:val="left"/>
        </w:tabs>
        <w:numPr>
          <w:ilvl w:val="0"/>
          <w:numId w:val="58"/>
        </w:numPr>
        <w:rPr>
          <w:rFonts w:ascii="Arial" w:cs="Arial" w:eastAsia="Arial" w:hAnsi="Arial"/>
          <w:sz w:val="16"/>
          <w:szCs w:val="16"/>
          <w:color w:val="0075C9"/>
        </w:rPr>
      </w:pPr>
      <w:r>
        <w:rPr>
          <w:rFonts w:ascii="Arial" w:cs="Arial" w:eastAsia="Arial" w:hAnsi="Arial"/>
          <w:sz w:val="16"/>
          <w:szCs w:val="16"/>
          <w:color w:val="auto"/>
        </w:rPr>
        <w:t>serves as a liaison for stockholder communications with our Board;</w:t>
      </w:r>
    </w:p>
    <w:p>
      <w:pPr>
        <w:spacing w:after="0" w:line="86" w:lineRule="exact"/>
        <w:rPr>
          <w:rFonts w:ascii="Arial" w:cs="Arial" w:eastAsia="Arial" w:hAnsi="Arial"/>
          <w:sz w:val="16"/>
          <w:szCs w:val="16"/>
          <w:color w:val="0075C9"/>
        </w:rPr>
      </w:pPr>
    </w:p>
    <w:p>
      <w:pPr>
        <w:ind w:left="760" w:hanging="320"/>
        <w:spacing w:after="0"/>
        <w:tabs>
          <w:tab w:leader="none" w:pos="760" w:val="left"/>
        </w:tabs>
        <w:numPr>
          <w:ilvl w:val="0"/>
          <w:numId w:val="58"/>
        </w:numPr>
        <w:rPr>
          <w:rFonts w:ascii="Arial" w:cs="Arial" w:eastAsia="Arial" w:hAnsi="Arial"/>
          <w:sz w:val="16"/>
          <w:szCs w:val="16"/>
          <w:color w:val="0075C9"/>
        </w:rPr>
      </w:pPr>
      <w:r>
        <w:rPr>
          <w:rFonts w:ascii="Arial" w:cs="Arial" w:eastAsia="Arial" w:hAnsi="Arial"/>
          <w:sz w:val="16"/>
          <w:szCs w:val="16"/>
          <w:color w:val="auto"/>
        </w:rPr>
        <w:t>leads the process of evaluating our CEO; and</w:t>
      </w:r>
    </w:p>
    <w:p>
      <w:pPr>
        <w:spacing w:after="0" w:line="86" w:lineRule="exact"/>
        <w:rPr>
          <w:rFonts w:ascii="Arial" w:cs="Arial" w:eastAsia="Arial" w:hAnsi="Arial"/>
          <w:sz w:val="16"/>
          <w:szCs w:val="16"/>
          <w:color w:val="0075C9"/>
        </w:rPr>
      </w:pPr>
    </w:p>
    <w:p>
      <w:pPr>
        <w:ind w:left="760" w:hanging="320"/>
        <w:spacing w:after="0"/>
        <w:tabs>
          <w:tab w:leader="none" w:pos="760" w:val="left"/>
        </w:tabs>
        <w:numPr>
          <w:ilvl w:val="0"/>
          <w:numId w:val="58"/>
        </w:numPr>
        <w:rPr>
          <w:rFonts w:ascii="Arial" w:cs="Arial" w:eastAsia="Arial" w:hAnsi="Arial"/>
          <w:sz w:val="16"/>
          <w:szCs w:val="16"/>
          <w:color w:val="0075C9"/>
        </w:rPr>
      </w:pPr>
      <w:r>
        <w:rPr>
          <w:rFonts w:ascii="Arial" w:cs="Arial" w:eastAsia="Arial" w:hAnsi="Arial"/>
          <w:sz w:val="16"/>
          <w:szCs w:val="16"/>
          <w:color w:val="auto"/>
        </w:rPr>
        <w:t>discharges such other responsibilities as our Board may assign from time to time.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Director Independence</w:t>
      </w:r>
    </w:p>
    <w:p>
      <w:pPr>
        <w:spacing w:after="0" w:line="112"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All of our directors and nominees for director, other than Mr. Viehbacher, our President and CEO, satisfy the Nasdaq independence requirements, as determined by our Board. All members of the Board’s standing committees satisfy the Nasdaq independence requirements. In addition, all members of our Audit Committee and our CMDC meet the additional SEC and Nasdaq independence and expertise requirements applicable specifically to audit and compensation committee members, respectively, as determined by our Board.</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Process for Selecting Directors and Director Qualifications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Board Composition</w:t>
      </w:r>
    </w:p>
    <w:p>
      <w:pPr>
        <w:spacing w:after="0" w:line="108"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Board composition is one of the most critical areas of focus for our Board. Reflecting our Board’s commitment to refreshment, seven of our independent directors have joined since 2019. Our CGC screens and recommends candidates for nomination by the full Board and, among other things, considers feedback received during the annual Board and committee evaluation process and stockholder engagement, our qualification guidelines and skills matrix and director commitment levels. Candidates who are recommended by stockholders will be considered in the same manner as other candidates. For all potential candidates, our CGC will consider all factors it deems relevant, including at a minimum those listed below in the subsection entitled “Director Qualifications.” Director nominations are recommended by our CGC to our Board and must be approved by our Board. For more information on the process for nomination of directors by stockholders please see “Stockholder Proposals” on page 72.</w:t>
      </w:r>
    </w:p>
    <w:p>
      <w:pPr>
        <w:spacing w:after="0" w:line="12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-12-</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Corporate Governance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Director Qualifications</w:t>
      </w:r>
    </w:p>
    <w:p>
      <w:pPr>
        <w:spacing w:after="0" w:line="149" w:lineRule="exact"/>
        <w:rPr>
          <w:sz w:val="20"/>
          <w:szCs w:val="20"/>
          <w:color w:val="auto"/>
        </w:rPr>
      </w:pPr>
    </w:p>
    <w:p>
      <w:pPr>
        <w:ind w:left="440" w:right="40" w:hanging="324"/>
        <w:spacing w:after="0" w:line="266" w:lineRule="auto"/>
        <w:tabs>
          <w:tab w:leader="none" w:pos="440" w:val="left"/>
        </w:tabs>
        <w:numPr>
          <w:ilvl w:val="0"/>
          <w:numId w:val="59"/>
        </w:numPr>
        <w:rPr>
          <w:rFonts w:ascii="Arial" w:cs="Arial" w:eastAsia="Arial" w:hAnsi="Arial"/>
          <w:sz w:val="16"/>
          <w:szCs w:val="16"/>
          <w:color w:val="0075C9"/>
        </w:rPr>
      </w:pPr>
      <w:r>
        <w:rPr>
          <w:rFonts w:ascii="Arial" w:cs="Arial" w:eastAsia="Arial" w:hAnsi="Arial"/>
          <w:sz w:val="16"/>
          <w:szCs w:val="16"/>
          <w:b w:val="1"/>
          <w:bCs w:val="1"/>
          <w:color w:val="auto"/>
        </w:rPr>
        <w:t xml:space="preserve">General Qualifications and Standards. </w:t>
      </w:r>
      <w:r>
        <w:rPr>
          <w:rFonts w:ascii="Arial" w:cs="Arial" w:eastAsia="Arial" w:hAnsi="Arial"/>
          <w:sz w:val="16"/>
          <w:szCs w:val="16"/>
          <w:color w:val="auto"/>
        </w:rPr>
        <w:t>Our Corporate Governance Principles and Code of Business Conduct provide that our directors should</w:t>
      </w:r>
      <w:r>
        <w:rPr>
          <w:rFonts w:ascii="Arial" w:cs="Arial" w:eastAsia="Arial" w:hAnsi="Arial"/>
          <w:sz w:val="16"/>
          <w:szCs w:val="16"/>
          <w:b w:val="1"/>
          <w:bCs w:val="1"/>
          <w:color w:val="auto"/>
        </w:rPr>
        <w:t xml:space="preserve"> </w:t>
      </w:r>
      <w:r>
        <w:rPr>
          <w:rFonts w:ascii="Arial" w:cs="Arial" w:eastAsia="Arial" w:hAnsi="Arial"/>
          <w:sz w:val="16"/>
          <w:szCs w:val="16"/>
          <w:color w:val="auto"/>
        </w:rPr>
        <w:t>possess the highest personal and professional ethics and integrity, understand and be aligned with our core values and be committed to representing the long-term interests of our stockholders. Our directors must also be inquisitive and objective and have practical wisdom and mature judgment.</w:t>
      </w:r>
    </w:p>
    <w:p>
      <w:pPr>
        <w:spacing w:after="0" w:line="76" w:lineRule="exact"/>
        <w:rPr>
          <w:rFonts w:ascii="Arial" w:cs="Arial" w:eastAsia="Arial" w:hAnsi="Arial"/>
          <w:sz w:val="16"/>
          <w:szCs w:val="16"/>
          <w:color w:val="0075C9"/>
        </w:rPr>
      </w:pPr>
    </w:p>
    <w:p>
      <w:pPr>
        <w:ind w:left="440" w:right="40" w:hanging="324"/>
        <w:spacing w:after="0" w:line="252" w:lineRule="auto"/>
        <w:tabs>
          <w:tab w:leader="none" w:pos="440" w:val="left"/>
        </w:tabs>
        <w:numPr>
          <w:ilvl w:val="0"/>
          <w:numId w:val="59"/>
        </w:numPr>
        <w:rPr>
          <w:rFonts w:ascii="Arial" w:cs="Arial" w:eastAsia="Arial" w:hAnsi="Arial"/>
          <w:sz w:val="16"/>
          <w:szCs w:val="16"/>
          <w:color w:val="0075C9"/>
        </w:rPr>
      </w:pPr>
      <w:r>
        <w:rPr>
          <w:rFonts w:ascii="Arial" w:cs="Arial" w:eastAsia="Arial" w:hAnsi="Arial"/>
          <w:sz w:val="16"/>
          <w:szCs w:val="16"/>
          <w:b w:val="1"/>
          <w:bCs w:val="1"/>
          <w:color w:val="auto"/>
        </w:rPr>
        <w:t xml:space="preserve">Director Term and Resignation. </w:t>
      </w:r>
      <w:r>
        <w:rPr>
          <w:rFonts w:ascii="Arial" w:cs="Arial" w:eastAsia="Arial" w:hAnsi="Arial"/>
          <w:sz w:val="16"/>
          <w:szCs w:val="16"/>
          <w:color w:val="auto"/>
        </w:rPr>
        <w:t>Our Board does not believe that arbitrary term limits on directors’ service are appropriate. In 2023, we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our Corporate Governance Principles to eliminate our age-based resignation policy and instituted a policy that seeks to maintain an average tenure of 10 years or less for independent directors. In addition, under our Bylaws and Corporate Governance Principles, when a director is nominated as a candidate, he or she must submit an irrevocable resignation that becomes effective if (i) the director does not receive a majority of votes cast at the next annual meeting at which he or she is up for reelection or (ii) after his or her most recent election to our Board by stockholders, a director has a material change in principal employment or principal occupation. Upon submission of an irrevocable resignation, our Board will decide whether it is in the best interests of the company and our stockholders to accept or reject the resignation. Ms. Dorsa has notified the Board that she is not standing for reelection at the 2026 Annual Meeting.</w:t>
      </w:r>
    </w:p>
    <w:p>
      <w:pPr>
        <w:spacing w:after="0" w:line="88" w:lineRule="exact"/>
        <w:rPr>
          <w:rFonts w:ascii="Arial" w:cs="Arial" w:eastAsia="Arial" w:hAnsi="Arial"/>
          <w:sz w:val="16"/>
          <w:szCs w:val="16"/>
          <w:color w:val="0075C9"/>
        </w:rPr>
      </w:pPr>
    </w:p>
    <w:p>
      <w:pPr>
        <w:ind w:left="440" w:right="40" w:hanging="324"/>
        <w:spacing w:after="0" w:line="250" w:lineRule="auto"/>
        <w:tabs>
          <w:tab w:leader="none" w:pos="440" w:val="left"/>
        </w:tabs>
        <w:numPr>
          <w:ilvl w:val="0"/>
          <w:numId w:val="59"/>
        </w:numPr>
        <w:rPr>
          <w:rFonts w:ascii="Arial" w:cs="Arial" w:eastAsia="Arial" w:hAnsi="Arial"/>
          <w:sz w:val="16"/>
          <w:szCs w:val="16"/>
          <w:color w:val="0075C9"/>
        </w:rPr>
      </w:pPr>
      <w:r>
        <w:rPr>
          <w:rFonts w:ascii="Arial" w:cs="Arial" w:eastAsia="Arial" w:hAnsi="Arial"/>
          <w:sz w:val="16"/>
          <w:szCs w:val="16"/>
          <w:b w:val="1"/>
          <w:bCs w:val="1"/>
          <w:color w:val="auto"/>
        </w:rPr>
        <w:t xml:space="preserve">Culture. </w:t>
      </w:r>
      <w:r>
        <w:rPr>
          <w:rFonts w:ascii="Arial" w:cs="Arial" w:eastAsia="Arial" w:hAnsi="Arial"/>
          <w:sz w:val="16"/>
          <w:szCs w:val="16"/>
          <w:color w:val="auto"/>
        </w:rPr>
        <w:t>Our Board believes that diversity of skills, backgrounds, perspectives and experience is a benefit to our Board as a whole and is key to</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representing the interests of stockholders effectively. As set forth in our Corporate Governance Principles, we endeavor to have a Board that collectively represents a variety of experience at strategic and policy-making levels in business, government, education, healthcare, science and technology and the international arena, and collectively has knowledge and expertise in relevant functional areas such as accounting and finance, risk management and compliance, strategic and business planning, corporate governance, cybersecurity, human resources, marketing, commercial and R&amp;D. Consistent with our Corporate Governance Principles, in selecting nominees to our Board, our CGC considers the diversity of skills, background, perspectives and experience that a potential nominee possesses and the extent to which such diversity would enhance the skills, backgrounds, views and experience of our Board as a whole. We do not have a formal policy on requiring women and minorities to be included in the initial pool of candidates, however, the CGC search process involves the identification of a broad and diverse pool of candidates to allow us to find potential Board nominees.</w:t>
      </w:r>
    </w:p>
    <w:p>
      <w:pPr>
        <w:spacing w:after="0" w:line="94" w:lineRule="exact"/>
        <w:rPr>
          <w:rFonts w:ascii="Arial" w:cs="Arial" w:eastAsia="Arial" w:hAnsi="Arial"/>
          <w:sz w:val="16"/>
          <w:szCs w:val="16"/>
          <w:color w:val="0075C9"/>
        </w:rPr>
      </w:pPr>
    </w:p>
    <w:p>
      <w:pPr>
        <w:ind w:left="440" w:right="140" w:hanging="324"/>
        <w:spacing w:after="0" w:line="256" w:lineRule="auto"/>
        <w:tabs>
          <w:tab w:leader="none" w:pos="440" w:val="left"/>
        </w:tabs>
        <w:numPr>
          <w:ilvl w:val="0"/>
          <w:numId w:val="59"/>
        </w:numPr>
        <w:rPr>
          <w:rFonts w:ascii="Arial" w:cs="Arial" w:eastAsia="Arial" w:hAnsi="Arial"/>
          <w:sz w:val="16"/>
          <w:szCs w:val="16"/>
          <w:color w:val="0075C9"/>
        </w:rPr>
      </w:pPr>
      <w:r>
        <w:rPr>
          <w:rFonts w:ascii="Arial" w:cs="Arial" w:eastAsia="Arial" w:hAnsi="Arial"/>
          <w:sz w:val="16"/>
          <w:szCs w:val="16"/>
          <w:b w:val="1"/>
          <w:bCs w:val="1"/>
          <w:color w:val="auto"/>
        </w:rPr>
        <w:t xml:space="preserve">Director Orientation and Continuing Education. </w:t>
      </w:r>
      <w:r>
        <w:rPr>
          <w:rFonts w:ascii="Arial" w:cs="Arial" w:eastAsia="Arial" w:hAnsi="Arial"/>
          <w:sz w:val="16"/>
          <w:szCs w:val="16"/>
          <w:color w:val="auto"/>
        </w:rPr>
        <w:t>We provide orientation for new directors and provide ongoing education to directors by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them with materials and briefing sessions on subjects that we believe will assist them in discharging their duties. In addition to periodic educational sessions, our Board has one meeting a year that is principally dedicated to Board education. We also make director education program information available to directors on a regular basis, encourage directors to attend director education programs and reimburse the costs of attending such programs.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Our Nomination Processes</w:t>
      </w:r>
    </w:p>
    <w:p>
      <w:pPr>
        <w:spacing w:after="0" w:line="108"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Our CGC leads our Board’s process for identifying, evaluating and selecting directors. Our CGC uses a variety of methods to help identify potential Board candidates and considers an assessment of current Board skills, backgrounds, perspectives and experiences to evaluate candidates for recommendation to our Board for approval. Our CGC assesses potential candidates based on their history of achievement, the breadth of their business experiences, whether they bring specific skills or expertise in areas that our CGC has identified as desired and whether they possess personal attributes and experiences that will contribute to the sound functioning of our Board.</w:t>
      </w:r>
    </w:p>
    <w:p>
      <w:pPr>
        <w:spacing w:after="0" w:line="126"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-13-</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120"/>
        <w:spacing w:after="0"/>
        <w:rPr>
          <w:sz w:val="20"/>
          <w:szCs w:val="20"/>
          <w:color w:val="auto"/>
        </w:rPr>
      </w:pPr>
      <w:r>
        <w:rPr>
          <w:rFonts w:ascii="Arial" w:cs="Arial" w:eastAsia="Arial" w:hAnsi="Arial"/>
          <w:sz w:val="19"/>
          <w:szCs w:val="19"/>
          <w:color w:val="0075C9"/>
        </w:rPr>
        <w:t>Corporate Governance</w:t>
      </w:r>
    </w:p>
    <w:p>
      <w:pPr>
        <w:spacing w:after="0" w:line="154"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Our Board’s process (i) leverages the Board’s succession and refreshment practices to identify skills and expertise needed on our Board, (ii) uses an independent search firm to support our CGC in conducting a broad search through a diverse pool of potential candidates and to help identify, evaluate and conduct diligence on potential candidates and (iii) provides stockholders with greater transparency on the nomination process and its objectives. Our process comprises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7003415" cy="29317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03415" cy="2931795"/>
                    </a:xfrm>
                    <a:prstGeom prst="rect">
                      <a:avLst/>
                    </a:prstGeom>
                    <a:noFill/>
                  </pic:spPr>
                </pic:pic>
              </a:graphicData>
            </a:graphic>
          </wp:anchor>
        </w:drawing>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Nomination Process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1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Step 1</w:t>
            </w:r>
          </w:p>
        </w:tc>
        <w:tc>
          <w:tcPr>
            <w:tcW w:w="96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Assessment of Board Needs</w:t>
            </w:r>
          </w:p>
        </w:tc>
        <w:tc>
          <w:tcPr>
            <w:tcW w:w="0" w:type="dxa"/>
            <w:vAlign w:val="bottom"/>
          </w:tcPr>
          <w:p>
            <w:pPr>
              <w:spacing w:after="0"/>
              <w:rPr>
                <w:sz w:val="1"/>
                <w:szCs w:val="1"/>
                <w:color w:val="auto"/>
              </w:rPr>
            </w:pPr>
          </w:p>
        </w:tc>
      </w:tr>
      <w:tr>
        <w:trPr>
          <w:trHeight w:val="86"/>
        </w:trPr>
        <w:tc>
          <w:tcPr>
            <w:tcW w:w="1340" w:type="dxa"/>
            <w:vAlign w:val="bottom"/>
            <w:tcBorders>
              <w:right w:val="single" w:sz="8" w:color="auto"/>
            </w:tcBorders>
            <w:vMerge w:val="continue"/>
          </w:tcPr>
          <w:p>
            <w:pPr>
              <w:spacing w:after="0"/>
              <w:rPr>
                <w:sz w:val="7"/>
                <w:szCs w:val="7"/>
                <w:color w:val="auto"/>
              </w:rPr>
            </w:pPr>
          </w:p>
        </w:tc>
        <w:tc>
          <w:tcPr>
            <w:tcW w:w="9680" w:type="dxa"/>
            <w:vAlign w:val="bottom"/>
            <w:vMerge w:val="restart"/>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Determine what skills and expertise may be needed on our Board</w:t>
            </w:r>
          </w:p>
        </w:tc>
        <w:tc>
          <w:tcPr>
            <w:tcW w:w="0" w:type="dxa"/>
            <w:vAlign w:val="bottom"/>
          </w:tcPr>
          <w:p>
            <w:pPr>
              <w:spacing w:after="0"/>
              <w:rPr>
                <w:sz w:val="1"/>
                <w:szCs w:val="1"/>
                <w:color w:val="auto"/>
              </w:rPr>
            </w:pPr>
          </w:p>
        </w:tc>
      </w:tr>
      <w:tr>
        <w:trPr>
          <w:trHeight w:val="137"/>
        </w:trPr>
        <w:tc>
          <w:tcPr>
            <w:tcW w:w="1340" w:type="dxa"/>
            <w:vAlign w:val="bottom"/>
            <w:tcBorders>
              <w:bottom w:val="single" w:sz="8" w:color="auto"/>
              <w:right w:val="single" w:sz="8" w:color="auto"/>
            </w:tcBorders>
          </w:tcPr>
          <w:p>
            <w:pPr>
              <w:spacing w:after="0"/>
              <w:rPr>
                <w:sz w:val="11"/>
                <w:szCs w:val="11"/>
                <w:color w:val="auto"/>
              </w:rPr>
            </w:pPr>
          </w:p>
        </w:tc>
        <w:tc>
          <w:tcPr>
            <w:tcW w:w="9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340" w:type="dxa"/>
            <w:vAlign w:val="bottom"/>
            <w:tcBorders>
              <w:right w:val="single" w:sz="8" w:color="auto"/>
            </w:tcBorders>
          </w:tcPr>
          <w:p>
            <w:pPr>
              <w:spacing w:after="0"/>
              <w:rPr>
                <w:sz w:val="18"/>
                <w:szCs w:val="18"/>
                <w:color w:val="auto"/>
              </w:rPr>
            </w:pPr>
          </w:p>
        </w:tc>
        <w:tc>
          <w:tcPr>
            <w:tcW w:w="96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Identify a Broad Candidate Pool</w:t>
            </w:r>
          </w:p>
        </w:tc>
        <w:tc>
          <w:tcPr>
            <w:tcW w:w="0" w:type="dxa"/>
            <w:vAlign w:val="bottom"/>
          </w:tcPr>
          <w:p>
            <w:pPr>
              <w:spacing w:after="0"/>
              <w:rPr>
                <w:sz w:val="1"/>
                <w:szCs w:val="1"/>
                <w:color w:val="auto"/>
              </w:rPr>
            </w:pPr>
          </w:p>
        </w:tc>
      </w:tr>
      <w:tr>
        <w:trPr>
          <w:trHeight w:val="229"/>
        </w:trPr>
        <w:tc>
          <w:tcPr>
            <w:tcW w:w="1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Step 2</w:t>
            </w:r>
          </w:p>
        </w:tc>
        <w:tc>
          <w:tcPr>
            <w:tcW w:w="9680" w:type="dxa"/>
            <w:vAlign w:val="bottom"/>
            <w:tcBorders>
              <w:bottom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Independent search firms</w:t>
            </w:r>
          </w:p>
        </w:tc>
        <w:tc>
          <w:tcPr>
            <w:tcW w:w="0" w:type="dxa"/>
            <w:vAlign w:val="bottom"/>
          </w:tcPr>
          <w:p>
            <w:pPr>
              <w:spacing w:after="0"/>
              <w:rPr>
                <w:sz w:val="1"/>
                <w:szCs w:val="1"/>
                <w:color w:val="auto"/>
              </w:rPr>
            </w:pPr>
          </w:p>
        </w:tc>
      </w:tr>
      <w:tr>
        <w:trPr>
          <w:trHeight w:val="86"/>
        </w:trPr>
        <w:tc>
          <w:tcPr>
            <w:tcW w:w="1340" w:type="dxa"/>
            <w:vAlign w:val="bottom"/>
            <w:tcBorders>
              <w:right w:val="single" w:sz="8" w:color="auto"/>
            </w:tcBorders>
            <w:vMerge w:val="continue"/>
          </w:tcPr>
          <w:p>
            <w:pPr>
              <w:spacing w:after="0"/>
              <w:rPr>
                <w:sz w:val="7"/>
                <w:szCs w:val="7"/>
                <w:color w:val="auto"/>
              </w:rPr>
            </w:pPr>
          </w:p>
        </w:tc>
        <w:tc>
          <w:tcPr>
            <w:tcW w:w="9680" w:type="dxa"/>
            <w:vAlign w:val="bottom"/>
            <w:vMerge w:val="restart"/>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Independent director recommendations</w:t>
            </w:r>
          </w:p>
        </w:tc>
        <w:tc>
          <w:tcPr>
            <w:tcW w:w="0" w:type="dxa"/>
            <w:vAlign w:val="bottom"/>
          </w:tcPr>
          <w:p>
            <w:pPr>
              <w:spacing w:after="0"/>
              <w:rPr>
                <w:sz w:val="1"/>
                <w:szCs w:val="1"/>
                <w:color w:val="auto"/>
              </w:rPr>
            </w:pPr>
          </w:p>
        </w:tc>
      </w:tr>
      <w:tr>
        <w:trPr>
          <w:trHeight w:val="142"/>
        </w:trPr>
        <w:tc>
          <w:tcPr>
            <w:tcW w:w="1340" w:type="dxa"/>
            <w:vAlign w:val="bottom"/>
            <w:tcBorders>
              <w:right w:val="single" w:sz="8" w:color="auto"/>
            </w:tcBorders>
          </w:tcPr>
          <w:p>
            <w:pPr>
              <w:spacing w:after="0"/>
              <w:rPr>
                <w:sz w:val="11"/>
                <w:szCs w:val="11"/>
                <w:color w:val="auto"/>
              </w:rPr>
            </w:pPr>
          </w:p>
        </w:tc>
        <w:tc>
          <w:tcPr>
            <w:tcW w:w="9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right w:val="single" w:sz="8" w:color="auto"/>
            </w:tcBorders>
          </w:tcPr>
          <w:p>
            <w:pPr>
              <w:spacing w:after="0"/>
              <w:rPr>
                <w:sz w:val="19"/>
                <w:szCs w:val="19"/>
                <w:color w:val="auto"/>
              </w:rPr>
            </w:pPr>
          </w:p>
        </w:tc>
        <w:tc>
          <w:tcPr>
            <w:tcW w:w="9680" w:type="dxa"/>
            <w:vAlign w:val="bottom"/>
            <w:tcBorders>
              <w:bottom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Stockholder recommendations</w:t>
            </w:r>
          </w:p>
        </w:tc>
        <w:tc>
          <w:tcPr>
            <w:tcW w:w="0" w:type="dxa"/>
            <w:vAlign w:val="bottom"/>
          </w:tcPr>
          <w:p>
            <w:pPr>
              <w:spacing w:after="0"/>
              <w:rPr>
                <w:sz w:val="1"/>
                <w:szCs w:val="1"/>
                <w:color w:val="auto"/>
              </w:rPr>
            </w:pPr>
          </w:p>
        </w:tc>
      </w:tr>
      <w:tr>
        <w:trPr>
          <w:trHeight w:val="156"/>
        </w:trPr>
        <w:tc>
          <w:tcPr>
            <w:tcW w:w="1340" w:type="dxa"/>
            <w:vAlign w:val="bottom"/>
            <w:tcBorders>
              <w:right w:val="single" w:sz="8" w:color="auto"/>
            </w:tcBorders>
          </w:tcPr>
          <w:p>
            <w:pPr>
              <w:spacing w:after="0"/>
              <w:rPr>
                <w:sz w:val="13"/>
                <w:szCs w:val="13"/>
                <w:color w:val="auto"/>
              </w:rPr>
            </w:pPr>
          </w:p>
        </w:tc>
        <w:tc>
          <w:tcPr>
            <w:tcW w:w="9680" w:type="dxa"/>
            <w:vAlign w:val="bottom"/>
          </w:tcPr>
          <w:p>
            <w:pPr>
              <w:ind w:left="100"/>
              <w:spacing w:after="0" w:line="155" w:lineRule="exact"/>
              <w:rPr>
                <w:sz w:val="20"/>
                <w:szCs w:val="20"/>
                <w:color w:val="auto"/>
              </w:rPr>
            </w:pPr>
            <w:r>
              <w:rPr>
                <w:rFonts w:ascii="Arial" w:cs="Arial" w:eastAsia="Arial" w:hAnsi="Arial"/>
                <w:sz w:val="16"/>
                <w:szCs w:val="16"/>
                <w:color w:val="auto"/>
              </w:rPr>
              <w:t>Comprehensive Candidate Review</w:t>
            </w:r>
          </w:p>
        </w:tc>
        <w:tc>
          <w:tcPr>
            <w:tcW w:w="0" w:type="dxa"/>
            <w:vAlign w:val="bottom"/>
          </w:tcPr>
          <w:p>
            <w:pPr>
              <w:spacing w:after="0"/>
              <w:rPr>
                <w:sz w:val="1"/>
                <w:szCs w:val="1"/>
                <w:color w:val="auto"/>
              </w:rPr>
            </w:pPr>
          </w:p>
        </w:tc>
      </w:tr>
      <w:tr>
        <w:trPr>
          <w:trHeight w:val="229"/>
        </w:trPr>
        <w:tc>
          <w:tcPr>
            <w:tcW w:w="1340" w:type="dxa"/>
            <w:vAlign w:val="bottom"/>
            <w:tcBorders>
              <w:right w:val="single" w:sz="8" w:color="auto"/>
            </w:tcBorders>
          </w:tcPr>
          <w:p>
            <w:pPr>
              <w:spacing w:after="0"/>
              <w:rPr>
                <w:sz w:val="19"/>
                <w:szCs w:val="19"/>
                <w:color w:val="auto"/>
              </w:rPr>
            </w:pPr>
          </w:p>
        </w:tc>
        <w:tc>
          <w:tcPr>
            <w:tcW w:w="9680" w:type="dxa"/>
            <w:vAlign w:val="bottom"/>
          </w:tcPr>
          <w:p>
            <w:pPr>
              <w:ind w:left="42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Candidates identified from the pool are comprehensively reviewed and the subject of discussion during CGC meetings.</w:t>
            </w:r>
          </w:p>
        </w:tc>
        <w:tc>
          <w:tcPr>
            <w:tcW w:w="0" w:type="dxa"/>
            <w:vAlign w:val="bottom"/>
          </w:tcPr>
          <w:p>
            <w:pPr>
              <w:spacing w:after="0"/>
              <w:rPr>
                <w:sz w:val="1"/>
                <w:szCs w:val="1"/>
                <w:color w:val="auto"/>
              </w:rPr>
            </w:pPr>
          </w:p>
        </w:tc>
      </w:tr>
      <w:tr>
        <w:trPr>
          <w:trHeight w:val="189"/>
        </w:trPr>
        <w:tc>
          <w:tcPr>
            <w:tcW w:w="1340" w:type="dxa"/>
            <w:vAlign w:val="bottom"/>
            <w:tcBorders>
              <w:right w:val="single" w:sz="8" w:color="auto"/>
            </w:tcBorders>
          </w:tcPr>
          <w:p>
            <w:pPr>
              <w:spacing w:after="0"/>
              <w:rPr>
                <w:sz w:val="16"/>
                <w:szCs w:val="16"/>
                <w:color w:val="auto"/>
              </w:rPr>
            </w:pPr>
          </w:p>
        </w:tc>
        <w:tc>
          <w:tcPr>
            <w:tcW w:w="9680" w:type="dxa"/>
            <w:vAlign w:val="bottom"/>
          </w:tcPr>
          <w:p>
            <w:pPr>
              <w:ind w:left="740"/>
              <w:spacing w:after="0"/>
              <w:rPr>
                <w:sz w:val="20"/>
                <w:szCs w:val="20"/>
                <w:color w:val="auto"/>
              </w:rPr>
            </w:pPr>
            <w:r>
              <w:rPr>
                <w:rFonts w:ascii="Arial" w:cs="Arial" w:eastAsia="Arial" w:hAnsi="Arial"/>
                <w:sz w:val="16"/>
                <w:szCs w:val="16"/>
                <w:color w:val="auto"/>
              </w:rPr>
              <w:t>During these meetings, our CGC identifies candidate(s) on the basis of their skills, background, perspectives, experience</w:t>
            </w:r>
          </w:p>
        </w:tc>
        <w:tc>
          <w:tcPr>
            <w:tcW w:w="0" w:type="dxa"/>
            <w:vAlign w:val="bottom"/>
          </w:tcPr>
          <w:p>
            <w:pPr>
              <w:spacing w:after="0"/>
              <w:rPr>
                <w:sz w:val="1"/>
                <w:szCs w:val="1"/>
                <w:color w:val="auto"/>
              </w:rPr>
            </w:pPr>
          </w:p>
        </w:tc>
      </w:tr>
      <w:tr>
        <w:trPr>
          <w:trHeight w:val="215"/>
        </w:trPr>
        <w:tc>
          <w:tcPr>
            <w:tcW w:w="1340" w:type="dxa"/>
            <w:vAlign w:val="bottom"/>
            <w:tcBorders>
              <w:right w:val="single" w:sz="8" w:color="auto"/>
            </w:tcBorders>
          </w:tcPr>
          <w:p>
            <w:pPr>
              <w:spacing w:after="0"/>
              <w:rPr>
                <w:sz w:val="18"/>
                <w:szCs w:val="18"/>
                <w:color w:val="auto"/>
              </w:rPr>
            </w:pPr>
          </w:p>
        </w:tc>
        <w:tc>
          <w:tcPr>
            <w:tcW w:w="9680" w:type="dxa"/>
            <w:vAlign w:val="bottom"/>
          </w:tcPr>
          <w:p>
            <w:pPr>
              <w:ind w:left="740"/>
              <w:spacing w:after="0"/>
              <w:rPr>
                <w:sz w:val="20"/>
                <w:szCs w:val="20"/>
                <w:color w:val="auto"/>
              </w:rPr>
            </w:pPr>
            <w:r>
              <w:rPr>
                <w:rFonts w:ascii="Arial" w:cs="Arial" w:eastAsia="Arial" w:hAnsi="Arial"/>
                <w:sz w:val="16"/>
                <w:szCs w:val="16"/>
                <w:color w:val="auto"/>
              </w:rPr>
              <w:t>and expected contribution to our Board</w:t>
            </w:r>
          </w:p>
        </w:tc>
        <w:tc>
          <w:tcPr>
            <w:tcW w:w="0" w:type="dxa"/>
            <w:vAlign w:val="bottom"/>
          </w:tcPr>
          <w:p>
            <w:pPr>
              <w:spacing w:after="0"/>
              <w:rPr>
                <w:sz w:val="1"/>
                <w:szCs w:val="1"/>
                <w:color w:val="auto"/>
              </w:rPr>
            </w:pPr>
          </w:p>
        </w:tc>
      </w:tr>
      <w:tr>
        <w:trPr>
          <w:trHeight w:val="29"/>
        </w:trPr>
        <w:tc>
          <w:tcPr>
            <w:tcW w:w="1340" w:type="dxa"/>
            <w:vAlign w:val="bottom"/>
            <w:tcBorders>
              <w:right w:val="single" w:sz="8" w:color="auto"/>
            </w:tcBorders>
          </w:tcPr>
          <w:p>
            <w:pPr>
              <w:spacing w:after="0"/>
              <w:rPr>
                <w:sz w:val="2"/>
                <w:szCs w:val="2"/>
                <w:color w:val="auto"/>
              </w:rPr>
            </w:pPr>
          </w:p>
        </w:tc>
        <w:tc>
          <w:tcPr>
            <w:tcW w:w="9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 xml:space="preserve">Step 3          </w:t>
            </w:r>
          </w:p>
        </w:tc>
        <w:tc>
          <w:tcPr>
            <w:tcW w:w="96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Based on these meetings, our CGC identifies candidate(s) for potential nomination to our Board</w:t>
            </w:r>
          </w:p>
        </w:tc>
        <w:tc>
          <w:tcPr>
            <w:tcW w:w="0" w:type="dxa"/>
            <w:vAlign w:val="bottom"/>
          </w:tcPr>
          <w:p>
            <w:pPr>
              <w:spacing w:after="0"/>
              <w:rPr>
                <w:sz w:val="1"/>
                <w:szCs w:val="1"/>
                <w:color w:val="auto"/>
              </w:rPr>
            </w:pPr>
          </w:p>
        </w:tc>
      </w:tr>
      <w:tr>
        <w:trPr>
          <w:trHeight w:val="143"/>
        </w:trPr>
        <w:tc>
          <w:tcPr>
            <w:tcW w:w="1340" w:type="dxa"/>
            <w:vAlign w:val="bottom"/>
            <w:tcBorders>
              <w:right w:val="single" w:sz="8" w:color="auto"/>
            </w:tcBorders>
            <w:vMerge w:val="continue"/>
          </w:tcPr>
          <w:p>
            <w:pPr>
              <w:spacing w:after="0"/>
              <w:rPr>
                <w:sz w:val="12"/>
                <w:szCs w:val="12"/>
                <w:color w:val="auto"/>
              </w:rPr>
            </w:pPr>
          </w:p>
        </w:tc>
        <w:tc>
          <w:tcPr>
            <w:tcW w:w="9680" w:type="dxa"/>
            <w:vAlign w:val="bottom"/>
          </w:tcPr>
          <w:p>
            <w:pPr>
              <w:ind w:left="100"/>
              <w:spacing w:after="0" w:line="143" w:lineRule="exact"/>
              <w:rPr>
                <w:sz w:val="20"/>
                <w:szCs w:val="20"/>
                <w:color w:val="auto"/>
              </w:rPr>
            </w:pPr>
            <w:r>
              <w:rPr>
                <w:rFonts w:ascii="Arial" w:cs="Arial" w:eastAsia="Arial" w:hAnsi="Arial"/>
                <w:sz w:val="16"/>
                <w:szCs w:val="16"/>
                <w:color w:val="auto"/>
              </w:rPr>
              <w:t>The candidate(s) recommended by our CGC are made available to be interviewed by all Board members</w:t>
            </w:r>
          </w:p>
        </w:tc>
        <w:tc>
          <w:tcPr>
            <w:tcW w:w="0" w:type="dxa"/>
            <w:vAlign w:val="bottom"/>
          </w:tcPr>
          <w:p>
            <w:pPr>
              <w:spacing w:after="0"/>
              <w:rPr>
                <w:sz w:val="1"/>
                <w:szCs w:val="1"/>
                <w:color w:val="auto"/>
              </w:rPr>
            </w:pPr>
          </w:p>
        </w:tc>
      </w:tr>
      <w:tr>
        <w:trPr>
          <w:trHeight w:val="229"/>
        </w:trPr>
        <w:tc>
          <w:tcPr>
            <w:tcW w:w="1340" w:type="dxa"/>
            <w:vAlign w:val="bottom"/>
            <w:tcBorders>
              <w:right w:val="single" w:sz="8" w:color="auto"/>
            </w:tcBorders>
          </w:tcPr>
          <w:p>
            <w:pPr>
              <w:spacing w:after="0"/>
              <w:rPr>
                <w:sz w:val="19"/>
                <w:szCs w:val="19"/>
                <w:color w:val="auto"/>
              </w:rPr>
            </w:pPr>
          </w:p>
        </w:tc>
        <w:tc>
          <w:tcPr>
            <w:tcW w:w="9680" w:type="dxa"/>
            <w:vAlign w:val="bottom"/>
          </w:tcPr>
          <w:p>
            <w:pPr>
              <w:ind w:left="42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Directors interview candidate(s) to assess their skills, backgrounds, perspectives, experiences and expected contribution to</w:t>
            </w:r>
          </w:p>
        </w:tc>
        <w:tc>
          <w:tcPr>
            <w:tcW w:w="0" w:type="dxa"/>
            <w:vAlign w:val="bottom"/>
          </w:tcPr>
          <w:p>
            <w:pPr>
              <w:spacing w:after="0"/>
              <w:rPr>
                <w:sz w:val="1"/>
                <w:szCs w:val="1"/>
                <w:color w:val="auto"/>
              </w:rPr>
            </w:pPr>
          </w:p>
        </w:tc>
      </w:tr>
      <w:tr>
        <w:trPr>
          <w:trHeight w:val="163"/>
        </w:trPr>
        <w:tc>
          <w:tcPr>
            <w:tcW w:w="1340" w:type="dxa"/>
            <w:vAlign w:val="bottom"/>
            <w:tcBorders>
              <w:right w:val="single" w:sz="8" w:color="auto"/>
            </w:tcBorders>
          </w:tcPr>
          <w:p>
            <w:pPr>
              <w:spacing w:after="0"/>
              <w:rPr>
                <w:sz w:val="14"/>
                <w:szCs w:val="14"/>
                <w:color w:val="auto"/>
              </w:rPr>
            </w:pPr>
          </w:p>
        </w:tc>
        <w:tc>
          <w:tcPr>
            <w:tcW w:w="9680" w:type="dxa"/>
            <w:vAlign w:val="bottom"/>
          </w:tcPr>
          <w:p>
            <w:pPr>
              <w:ind w:left="740"/>
              <w:spacing w:after="0" w:line="163" w:lineRule="exact"/>
              <w:rPr>
                <w:sz w:val="20"/>
                <w:szCs w:val="20"/>
                <w:color w:val="auto"/>
              </w:rPr>
            </w:pPr>
            <w:r>
              <w:rPr>
                <w:rFonts w:ascii="Arial" w:cs="Arial" w:eastAsia="Arial" w:hAnsi="Arial"/>
                <w:sz w:val="16"/>
                <w:szCs w:val="16"/>
                <w:color w:val="auto"/>
              </w:rPr>
              <w:t>our Board</w:t>
            </w:r>
          </w:p>
        </w:tc>
        <w:tc>
          <w:tcPr>
            <w:tcW w:w="0" w:type="dxa"/>
            <w:vAlign w:val="bottom"/>
          </w:tcPr>
          <w:p>
            <w:pPr>
              <w:spacing w:after="0"/>
              <w:rPr>
                <w:sz w:val="1"/>
                <w:szCs w:val="1"/>
                <w:color w:val="auto"/>
              </w:rPr>
            </w:pPr>
          </w:p>
        </w:tc>
      </w:tr>
      <w:tr>
        <w:trPr>
          <w:trHeight w:val="229"/>
        </w:trPr>
        <w:tc>
          <w:tcPr>
            <w:tcW w:w="1340" w:type="dxa"/>
            <w:vAlign w:val="bottom"/>
            <w:tcBorders>
              <w:right w:val="single" w:sz="8" w:color="auto"/>
            </w:tcBorders>
          </w:tcPr>
          <w:p>
            <w:pPr>
              <w:spacing w:after="0"/>
              <w:rPr>
                <w:sz w:val="19"/>
                <w:szCs w:val="19"/>
                <w:color w:val="auto"/>
              </w:rPr>
            </w:pPr>
          </w:p>
        </w:tc>
        <w:tc>
          <w:tcPr>
            <w:tcW w:w="9680" w:type="dxa"/>
            <w:vAlign w:val="bottom"/>
          </w:tcPr>
          <w:p>
            <w:pPr>
              <w:ind w:left="42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During a CGC meeting open to all directors, candidate(s) are evaluated by our CGC based on the evaluations of directors</w:t>
            </w:r>
          </w:p>
        </w:tc>
        <w:tc>
          <w:tcPr>
            <w:tcW w:w="0" w:type="dxa"/>
            <w:vAlign w:val="bottom"/>
          </w:tcPr>
          <w:p>
            <w:pPr>
              <w:spacing w:after="0"/>
              <w:rPr>
                <w:sz w:val="1"/>
                <w:szCs w:val="1"/>
                <w:color w:val="auto"/>
              </w:rPr>
            </w:pPr>
          </w:p>
        </w:tc>
      </w:tr>
      <w:tr>
        <w:trPr>
          <w:trHeight w:val="163"/>
        </w:trPr>
        <w:tc>
          <w:tcPr>
            <w:tcW w:w="1340" w:type="dxa"/>
            <w:vAlign w:val="bottom"/>
            <w:tcBorders>
              <w:right w:val="single" w:sz="8" w:color="auto"/>
            </w:tcBorders>
          </w:tcPr>
          <w:p>
            <w:pPr>
              <w:spacing w:after="0"/>
              <w:rPr>
                <w:sz w:val="14"/>
                <w:szCs w:val="14"/>
                <w:color w:val="auto"/>
              </w:rPr>
            </w:pPr>
          </w:p>
        </w:tc>
        <w:tc>
          <w:tcPr>
            <w:tcW w:w="9680" w:type="dxa"/>
            <w:vAlign w:val="bottom"/>
          </w:tcPr>
          <w:p>
            <w:pPr>
              <w:ind w:left="740"/>
              <w:spacing w:after="0" w:line="163" w:lineRule="exact"/>
              <w:rPr>
                <w:sz w:val="20"/>
                <w:szCs w:val="20"/>
                <w:color w:val="auto"/>
              </w:rPr>
            </w:pPr>
            <w:r>
              <w:rPr>
                <w:rFonts w:ascii="Arial" w:cs="Arial" w:eastAsia="Arial" w:hAnsi="Arial"/>
                <w:sz w:val="16"/>
                <w:szCs w:val="16"/>
                <w:color w:val="auto"/>
              </w:rPr>
              <w:t>who interviewed the candidate(s)</w:t>
            </w:r>
          </w:p>
        </w:tc>
        <w:tc>
          <w:tcPr>
            <w:tcW w:w="0" w:type="dxa"/>
            <w:vAlign w:val="bottom"/>
          </w:tcPr>
          <w:p>
            <w:pPr>
              <w:spacing w:after="0"/>
              <w:rPr>
                <w:sz w:val="1"/>
                <w:szCs w:val="1"/>
                <w:color w:val="auto"/>
              </w:rPr>
            </w:pPr>
          </w:p>
        </w:tc>
      </w:tr>
      <w:tr>
        <w:trPr>
          <w:trHeight w:val="278"/>
        </w:trPr>
        <w:tc>
          <w:tcPr>
            <w:tcW w:w="1340" w:type="dxa"/>
            <w:vAlign w:val="bottom"/>
            <w:tcBorders>
              <w:bottom w:val="single" w:sz="8" w:color="auto"/>
              <w:right w:val="single" w:sz="8" w:color="auto"/>
            </w:tcBorders>
          </w:tcPr>
          <w:p>
            <w:pPr>
              <w:spacing w:after="0"/>
              <w:rPr>
                <w:sz w:val="24"/>
                <w:szCs w:val="24"/>
                <w:color w:val="auto"/>
              </w:rPr>
            </w:pPr>
          </w:p>
        </w:tc>
        <w:tc>
          <w:tcPr>
            <w:tcW w:w="9680" w:type="dxa"/>
            <w:vAlign w:val="bottom"/>
            <w:tcBorders>
              <w:bottom w:val="single" w:sz="8" w:color="auto"/>
            </w:tcBorders>
          </w:tcPr>
          <w:p>
            <w:pPr>
              <w:ind w:left="42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Simultaneous due diligence and reference checks are conducted</w:t>
            </w:r>
          </w:p>
        </w:tc>
        <w:tc>
          <w:tcPr>
            <w:tcW w:w="0" w:type="dxa"/>
            <w:vAlign w:val="bottom"/>
          </w:tcPr>
          <w:p>
            <w:pPr>
              <w:spacing w:after="0"/>
              <w:rPr>
                <w:sz w:val="1"/>
                <w:szCs w:val="1"/>
                <w:color w:val="auto"/>
              </w:rPr>
            </w:pPr>
          </w:p>
        </w:tc>
      </w:tr>
      <w:tr>
        <w:trPr>
          <w:trHeight w:val="222"/>
        </w:trPr>
        <w:tc>
          <w:tcPr>
            <w:tcW w:w="1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Step 4</w:t>
            </w:r>
          </w:p>
        </w:tc>
        <w:tc>
          <w:tcPr>
            <w:tcW w:w="96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Based on these meetings and the basis of due diligence and reference checks, our CGC makes a recommendation to our Board</w:t>
            </w:r>
          </w:p>
        </w:tc>
        <w:tc>
          <w:tcPr>
            <w:tcW w:w="0" w:type="dxa"/>
            <w:vAlign w:val="bottom"/>
          </w:tcPr>
          <w:p>
            <w:pPr>
              <w:spacing w:after="0"/>
              <w:rPr>
                <w:sz w:val="1"/>
                <w:szCs w:val="1"/>
                <w:color w:val="auto"/>
              </w:rPr>
            </w:pPr>
          </w:p>
        </w:tc>
      </w:tr>
      <w:tr>
        <w:trPr>
          <w:trHeight w:val="93"/>
        </w:trPr>
        <w:tc>
          <w:tcPr>
            <w:tcW w:w="1340" w:type="dxa"/>
            <w:vAlign w:val="bottom"/>
            <w:tcBorders>
              <w:right w:val="single" w:sz="8" w:color="auto"/>
            </w:tcBorders>
            <w:vMerge w:val="continue"/>
          </w:tcPr>
          <w:p>
            <w:pPr>
              <w:spacing w:after="0"/>
              <w:rPr>
                <w:sz w:val="8"/>
                <w:szCs w:val="8"/>
                <w:color w:val="auto"/>
              </w:rPr>
            </w:pPr>
          </w:p>
        </w:tc>
        <w:tc>
          <w:tcPr>
            <w:tcW w:w="9680" w:type="dxa"/>
            <w:vAlign w:val="bottom"/>
            <w:vMerge w:val="restart"/>
          </w:tcPr>
          <w:p>
            <w:pPr>
              <w:ind w:left="100"/>
              <w:spacing w:after="0" w:line="184" w:lineRule="exact"/>
              <w:rPr>
                <w:sz w:val="20"/>
                <w:szCs w:val="20"/>
                <w:color w:val="auto"/>
              </w:rPr>
            </w:pPr>
            <w:r>
              <w:rPr>
                <w:rFonts w:ascii="MS PGothic" w:cs="MS PGothic" w:eastAsia="MS PGothic" w:hAnsi="MS PGothic"/>
                <w:sz w:val="16"/>
                <w:szCs w:val="16"/>
                <w:color w:val="0075C9"/>
              </w:rPr>
              <w:t>✓</w:t>
            </w:r>
            <w:r>
              <w:rPr>
                <w:rFonts w:ascii="Arial" w:cs="Arial" w:eastAsia="Arial" w:hAnsi="Arial"/>
                <w:sz w:val="16"/>
                <w:szCs w:val="16"/>
                <w:color w:val="auto"/>
              </w:rPr>
              <w:t xml:space="preserve">  Our CGC presents selected candidate(s) to our Board for review and nomination</w:t>
            </w:r>
          </w:p>
        </w:tc>
        <w:tc>
          <w:tcPr>
            <w:tcW w:w="0" w:type="dxa"/>
            <w:vAlign w:val="bottom"/>
          </w:tcPr>
          <w:p>
            <w:pPr>
              <w:spacing w:after="0"/>
              <w:rPr>
                <w:sz w:val="1"/>
                <w:szCs w:val="1"/>
                <w:color w:val="auto"/>
              </w:rPr>
            </w:pPr>
          </w:p>
        </w:tc>
      </w:tr>
      <w:tr>
        <w:trPr>
          <w:trHeight w:val="137"/>
        </w:trPr>
        <w:tc>
          <w:tcPr>
            <w:tcW w:w="1340" w:type="dxa"/>
            <w:vAlign w:val="bottom"/>
            <w:tcBorders>
              <w:bottom w:val="single" w:sz="8" w:color="auto"/>
              <w:right w:val="single" w:sz="8" w:color="auto"/>
            </w:tcBorders>
          </w:tcPr>
          <w:p>
            <w:pPr>
              <w:spacing w:after="0"/>
              <w:rPr>
                <w:sz w:val="11"/>
                <w:szCs w:val="11"/>
                <w:color w:val="auto"/>
              </w:rPr>
            </w:pPr>
          </w:p>
        </w:tc>
        <w:tc>
          <w:tcPr>
            <w:tcW w:w="9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Board Succession Planning and Refreshment</w:t>
      </w:r>
    </w:p>
    <w:p>
      <w:pPr>
        <w:spacing w:after="0" w:line="10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Our CGC continually reviews our Board’s composition to identify the skills needed on our Board to help oversee our company both in the near term and into the future. Ongoing strategic board succession planning, along with our average board tenure policy, are designed to ensure that our Board continues to maintain an appropriate mix of skills, backgrounds, perspectives and experiences to provide fresh perspectives and effective oversight and guidance to management.</w:t>
      </w:r>
    </w:p>
    <w:p>
      <w:pPr>
        <w:spacing w:after="0" w:line="70" w:lineRule="exact"/>
        <w:rPr>
          <w:sz w:val="20"/>
          <w:szCs w:val="20"/>
          <w:color w:val="auto"/>
        </w:rPr>
      </w:pPr>
    </w:p>
    <w:p>
      <w:pPr>
        <w:jc w:val="both"/>
        <w:ind w:left="120" w:right="540"/>
        <w:spacing w:after="0" w:line="266" w:lineRule="auto"/>
        <w:rPr>
          <w:sz w:val="20"/>
          <w:szCs w:val="20"/>
          <w:color w:val="auto"/>
        </w:rPr>
      </w:pPr>
      <w:r>
        <w:rPr>
          <w:rFonts w:ascii="Arial" w:cs="Arial" w:eastAsia="Arial" w:hAnsi="Arial"/>
          <w:sz w:val="16"/>
          <w:szCs w:val="16"/>
          <w:color w:val="auto"/>
        </w:rPr>
        <w:t>Our CGC evaluates what additional skills and expertise may be needed near term and in the future based on the company’s strategy and potential director departures. Our CGC then compares those skills to those of the current directors to identify additional skills and experiences that would be beneficial to our Board. Our CGC then seeks to identify and recruit individuals who have the qualifications identified through this process.</w:t>
      </w:r>
    </w:p>
    <w:p>
      <w:pPr>
        <w:spacing w:after="0" w:line="63"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Our Board does not believe that arbitrary term limits on directors’ service are appropriate. In 2023, in consideration of a number of factors, including stockholder feedback, we amended our Corporate Governance Principles to eliminate our age-based resignation policy and instituted a policy that seeks to maintain an average tenure of 10 years or less for independent directors. We believe this policy promotes better succession planning by balancing the benefit of fresh perspectives that new directors may bring with the institutional knowledge and experience that longer-tenured directors possess.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Board Committee Refreshment</w:t>
      </w:r>
    </w:p>
    <w:p>
      <w:pPr>
        <w:spacing w:after="0" w:line="108"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Our Board, led by our CGC, reviews and determines the composition of committees and appoints the committee Chairs. Through periodic committee refreshment, we balance the benefits derived from continuity and depth of experience with those gained from fresh perspectives and enhancements to our directors’ understanding of different aspects of our business.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Regular Board and Committee Evaluations</w:t>
      </w:r>
    </w:p>
    <w:p>
      <w:pPr>
        <w:spacing w:after="0" w:line="112"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Board and committee evaluations are critical to supporting the effective functioning of our Board. Through evaluations, our directors review where they believe our Board functions effectively and, importantly, areas where our Board believes there may be opportunities for improvement.</w:t>
      </w:r>
    </w:p>
    <w:p>
      <w:pPr>
        <w:spacing w:after="0" w:line="61" w:lineRule="exact"/>
        <w:rPr>
          <w:sz w:val="20"/>
          <w:szCs w:val="20"/>
          <w:color w:val="auto"/>
        </w:rPr>
      </w:pPr>
    </w:p>
    <w:p>
      <w:pPr>
        <w:ind w:left="980" w:right="60" w:hanging="432"/>
        <w:spacing w:after="0" w:line="266" w:lineRule="auto"/>
        <w:tabs>
          <w:tab w:leader="none" w:pos="980" w:val="left"/>
        </w:tabs>
        <w:numPr>
          <w:ilvl w:val="0"/>
          <w:numId w:val="60"/>
        </w:numPr>
        <w:rPr>
          <w:rFonts w:ascii="Arial" w:cs="Arial" w:eastAsia="Arial" w:hAnsi="Arial"/>
          <w:sz w:val="16"/>
          <w:szCs w:val="16"/>
          <w:color w:val="0075C9"/>
        </w:rPr>
      </w:pPr>
      <w:r>
        <w:rPr>
          <w:rFonts w:ascii="Arial" w:cs="Arial" w:eastAsia="Arial" w:hAnsi="Arial"/>
          <w:sz w:val="16"/>
          <w:szCs w:val="16"/>
          <w:b w:val="1"/>
          <w:bCs w:val="1"/>
          <w:color w:val="auto"/>
        </w:rPr>
        <w:t xml:space="preserve">Formal Evaluation Process. </w:t>
      </w:r>
      <w:r>
        <w:rPr>
          <w:rFonts w:ascii="Arial" w:cs="Arial" w:eastAsia="Arial" w:hAnsi="Arial"/>
          <w:sz w:val="16"/>
          <w:szCs w:val="16"/>
          <w:color w:val="auto"/>
        </w:rPr>
        <w:t>Our CGC oversees our Board evaluation process. In consultation with the Chair of our Board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Chairs, a framework for evaluation is established, including a review of topics for evaluation that are incorporated in the evaluation forms. Anonymous form evaluations are collected, compiled and distributed in advance of the</w:t>
      </w:r>
    </w:p>
    <w:p>
      <w:pPr>
        <w:spacing w:after="0" w:line="11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-14-</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120"/>
        <w:spacing w:after="0"/>
        <w:rPr>
          <w:sz w:val="20"/>
          <w:szCs w:val="20"/>
          <w:color w:val="auto"/>
        </w:rPr>
      </w:pPr>
      <w:r>
        <w:rPr>
          <w:rFonts w:ascii="Arial" w:cs="Arial" w:eastAsia="Arial" w:hAnsi="Arial"/>
          <w:sz w:val="19"/>
          <w:szCs w:val="19"/>
          <w:color w:val="0075C9"/>
        </w:rPr>
        <w:t>Corporate Governance</w:t>
      </w:r>
    </w:p>
    <w:p>
      <w:pPr>
        <w:spacing w:after="0" w:line="154" w:lineRule="exact"/>
        <w:rPr>
          <w:sz w:val="20"/>
          <w:szCs w:val="20"/>
          <w:color w:val="auto"/>
        </w:rPr>
      </w:pPr>
    </w:p>
    <w:p>
      <w:pPr>
        <w:ind w:left="1000" w:right="400"/>
        <w:spacing w:after="0" w:line="259" w:lineRule="auto"/>
        <w:rPr>
          <w:sz w:val="20"/>
          <w:szCs w:val="20"/>
          <w:color w:val="auto"/>
        </w:rPr>
      </w:pPr>
      <w:r>
        <w:rPr>
          <w:rFonts w:ascii="Arial" w:cs="Arial" w:eastAsia="Arial" w:hAnsi="Arial"/>
          <w:sz w:val="16"/>
          <w:szCs w:val="16"/>
          <w:color w:val="auto"/>
        </w:rPr>
        <w:t>scheduled discussion. The evaluations include open-ended questions and space for candid commentary. All comments are unattributed, included verbatim and shared with the full Board and applicable committee. Each committee Chair reports to the full Board on these assessments for their review and discussion. Policies, practices and the composition of our Board and its committees are modified as appropriate, informed by evaluation findings.</w:t>
      </w:r>
    </w:p>
    <w:p>
      <w:pPr>
        <w:spacing w:after="0" w:line="83" w:lineRule="exact"/>
        <w:rPr>
          <w:sz w:val="20"/>
          <w:szCs w:val="20"/>
          <w:color w:val="auto"/>
        </w:rPr>
      </w:pPr>
    </w:p>
    <w:p>
      <w:pPr>
        <w:ind w:left="980" w:right="160" w:hanging="432"/>
        <w:spacing w:after="0" w:line="259" w:lineRule="auto"/>
        <w:tabs>
          <w:tab w:leader="none" w:pos="980" w:val="left"/>
        </w:tabs>
        <w:numPr>
          <w:ilvl w:val="0"/>
          <w:numId w:val="61"/>
        </w:numPr>
        <w:rPr>
          <w:rFonts w:ascii="Arial" w:cs="Arial" w:eastAsia="Arial" w:hAnsi="Arial"/>
          <w:sz w:val="16"/>
          <w:szCs w:val="16"/>
          <w:color w:val="0075C9"/>
        </w:rPr>
      </w:pPr>
      <w:r>
        <w:rPr>
          <w:rFonts w:ascii="Arial" w:cs="Arial" w:eastAsia="Arial" w:hAnsi="Arial"/>
          <w:sz w:val="16"/>
          <w:szCs w:val="16"/>
          <w:b w:val="1"/>
          <w:bCs w:val="1"/>
          <w:color w:val="auto"/>
        </w:rPr>
        <w:t>Ongoing Feedback</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directors provide real-time feedback to our Chair throughout the year outside of the formal evaluation process and</w:t>
      </w:r>
      <w:r>
        <w:rPr>
          <w:rFonts w:ascii="Arial" w:cs="Arial" w:eastAsia="Arial" w:hAnsi="Arial"/>
          <w:sz w:val="16"/>
          <w:szCs w:val="16"/>
          <w:b w:val="1"/>
          <w:bCs w:val="1"/>
          <w:color w:val="auto"/>
        </w:rPr>
        <w:t xml:space="preserve"> </w:t>
      </w:r>
      <w:r>
        <w:rPr>
          <w:rFonts w:ascii="Arial" w:cs="Arial" w:eastAsia="Arial" w:hAnsi="Arial"/>
          <w:sz w:val="16"/>
          <w:szCs w:val="16"/>
          <w:color w:val="auto"/>
        </w:rPr>
        <w:t>have open access to management and third-party advisors. Additionally, executive sessions of independent directors (without management present) are scheduled for each quarterly regular Board meeting and every committee meeting to identify any issues and assess whether meeting objectives were satisfied.</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CEO and Management Succession Planning</w:t>
      </w:r>
    </w:p>
    <w:p>
      <w:pPr>
        <w:spacing w:after="0" w:line="112"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auto"/>
        </w:rPr>
        <w:t>Our Board strives to ensure that we have the right management talent to pursue our strategies successfully. Our entire Board is involved in the critical aspects of CEO and other senior management succession planning processes, including establishing selection criteria that reflect our business strategies, identifying essential capabilities and competencies, and evaluating potential candidate(s). Succession is regularly discussed with the CEO as well as without the CEO present in executive sessions of our Board. Our Board and our CMDC meet at least once a year to conduct a detailed talent review that includes an assessment of the company’s talent strategies, leadership pipeline and succession plans for key executive positions. The Board also maintains a confidential emergency succession plan for the CEO, reviewed at least annually, to guide the orderly transfer of the CEO’s responsibilities in the event of an unexpected resignation, termination, death, or extended incapacity. We believe that maintaining our strong culture and adhering to our principles will ensure that we attract, retain and develop the right talent to lead the company and successfully execute our corporate strategy in the future.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Annual Elections and Majority Voting</w:t>
      </w:r>
    </w:p>
    <w:p>
      <w:pPr>
        <w:spacing w:after="0" w:line="112"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auto"/>
        </w:rPr>
        <w:t>Directors are elected by a majority of the votes cast in uncontested elections and by a plurality of votes cast in contested elections. In addition, when a director is nominated for election to the Board, directors must submit an irrevocable resignation that will be effective upon (1) the failure to receive the required number of votes for reelection at the next annual meeting of stockholders at which the directors stand for reelection and (2) acceptance of such resignation by our Board. If an incumbent director fails to receive the number of votes required for reelection, our Board (excluding the director in question) will, within 90 days after certification of the election results, decide whether to accept the director’s resignation, taking into account such factors as it deems relevant. Such factors may include the stated reasons why stockholders voted against such director’s reelection, the qualifications of the director and whether accepting the resignation would cause the company to fail to meet any applicable listing standards or would violate state or federal law. Our Board will promptly disclose its decision in a filing with the SEC.</w:t>
      </w:r>
    </w:p>
    <w:p>
      <w:pPr>
        <w:spacing w:after="0" w:line="129"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-15-</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120"/>
        <w:spacing w:after="0"/>
        <w:rPr>
          <w:sz w:val="20"/>
          <w:szCs w:val="20"/>
          <w:color w:val="auto"/>
        </w:rPr>
      </w:pPr>
      <w:r>
        <w:rPr>
          <w:rFonts w:ascii="Arial" w:cs="Arial" w:eastAsia="Arial" w:hAnsi="Arial"/>
          <w:sz w:val="19"/>
          <w:szCs w:val="19"/>
          <w:color w:val="0075C9"/>
        </w:rPr>
        <w:t>Corporate Governance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Committees and Meetings</w:t>
      </w:r>
    </w:p>
    <w:p>
      <w:pPr>
        <w:spacing w:after="0" w:line="112"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 xml:space="preserve">Our Board met six times in 2025. Our Board also has three standing committees, the Audit Committee, CMDC and CGC. The principal functions of each committee, the committee composition as of December 31, 2025, and the number of committee meetings held in 2025 are described in the table below. The Chair of each committee periodically reports to our Board on committee deliberations and decisions. Our Board maintains charters of each of its committees and the charters are reviewed at least annually. The charters for each of the committees are posted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“Corporate Governance” subsection of the “Investors” section of the website. Our Corporate Governance Principles, together with our committee charters, Bylaws, Certificate of Incorporation and Code of Business Conduct, comprise our governance framework.</w:t>
      </w:r>
    </w:p>
    <w:p>
      <w:pPr>
        <w:spacing w:after="0" w:line="101"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1500" w:type="dxa"/>
            <w:vAlign w:val="bottom"/>
            <w:shd w:val="clear" w:color="auto" w:fill="0075C9"/>
          </w:tcPr>
          <w:p>
            <w:pPr>
              <w:spacing w:after="0"/>
              <w:rPr>
                <w:sz w:val="15"/>
                <w:szCs w:val="15"/>
                <w:color w:val="auto"/>
              </w:rPr>
            </w:pPr>
          </w:p>
        </w:tc>
        <w:tc>
          <w:tcPr>
            <w:tcW w:w="6360" w:type="dxa"/>
            <w:vAlign w:val="bottom"/>
            <w:shd w:val="clear" w:color="auto" w:fill="0075C9"/>
          </w:tcPr>
          <w:p>
            <w:pPr>
              <w:spacing w:after="0"/>
              <w:rPr>
                <w:sz w:val="15"/>
                <w:szCs w:val="15"/>
                <w:color w:val="auto"/>
              </w:rPr>
            </w:pPr>
          </w:p>
        </w:tc>
        <w:tc>
          <w:tcPr>
            <w:tcW w:w="2160" w:type="dxa"/>
            <w:vAlign w:val="bottom"/>
            <w:shd w:val="clear" w:color="auto" w:fill="0075C9"/>
          </w:tcPr>
          <w:p>
            <w:pPr>
              <w:spacing w:after="0"/>
              <w:rPr>
                <w:sz w:val="15"/>
                <w:szCs w:val="15"/>
                <w:color w:val="auto"/>
              </w:rPr>
            </w:pPr>
          </w:p>
        </w:tc>
        <w:tc>
          <w:tcPr>
            <w:tcW w:w="1000" w:type="dxa"/>
            <w:vAlign w:val="bottom"/>
            <w:shd w:val="clear" w:color="auto" w:fill="0075C9"/>
          </w:tcPr>
          <w:p>
            <w:pPr>
              <w:jc w:val="center"/>
              <w:ind w:left="28"/>
              <w:spacing w:after="0"/>
              <w:rPr>
                <w:sz w:val="20"/>
                <w:szCs w:val="20"/>
                <w:color w:val="auto"/>
              </w:rPr>
            </w:pPr>
            <w:r>
              <w:rPr>
                <w:rFonts w:ascii="Arial" w:cs="Arial" w:eastAsia="Arial" w:hAnsi="Arial"/>
                <w:sz w:val="14"/>
                <w:szCs w:val="14"/>
                <w:color w:val="FFFFFF"/>
              </w:rPr>
              <w:t>Meetings</w:t>
            </w:r>
          </w:p>
        </w:tc>
      </w:tr>
      <w:tr>
        <w:trPr>
          <w:trHeight w:val="219"/>
        </w:trPr>
        <w:tc>
          <w:tcPr>
            <w:tcW w:w="150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4"/>
                <w:szCs w:val="14"/>
                <w:color w:val="FFFFFF"/>
              </w:rPr>
              <w:t xml:space="preserve">  Committee          </w:t>
            </w:r>
          </w:p>
        </w:tc>
        <w:tc>
          <w:tcPr>
            <w:tcW w:w="6360" w:type="dxa"/>
            <w:vAlign w:val="bottom"/>
            <w:tcBorders>
              <w:bottom w:val="single" w:sz="8" w:color="0075C9"/>
            </w:tcBorders>
            <w:shd w:val="clear" w:color="auto" w:fill="0075C9"/>
          </w:tcPr>
          <w:p>
            <w:pPr>
              <w:ind w:left="2960"/>
              <w:spacing w:after="0"/>
              <w:rPr>
                <w:sz w:val="20"/>
                <w:szCs w:val="20"/>
                <w:color w:val="auto"/>
              </w:rPr>
            </w:pPr>
            <w:r>
              <w:rPr>
                <w:rFonts w:ascii="Arial" w:cs="Arial" w:eastAsia="Arial" w:hAnsi="Arial"/>
                <w:sz w:val="14"/>
                <w:szCs w:val="14"/>
                <w:color w:val="FFFFFF"/>
              </w:rPr>
              <w:t>Function</w:t>
            </w:r>
          </w:p>
        </w:tc>
        <w:tc>
          <w:tcPr>
            <w:tcW w:w="2160" w:type="dxa"/>
            <w:vAlign w:val="bottom"/>
            <w:tcBorders>
              <w:bottom w:val="single" w:sz="8" w:color="0075C9"/>
            </w:tcBorders>
            <w:shd w:val="clear" w:color="auto" w:fill="0075C9"/>
          </w:tcPr>
          <w:p>
            <w:pPr>
              <w:ind w:left="680"/>
              <w:spacing w:after="0"/>
              <w:rPr>
                <w:sz w:val="20"/>
                <w:szCs w:val="20"/>
                <w:color w:val="auto"/>
              </w:rPr>
            </w:pPr>
            <w:r>
              <w:rPr>
                <w:rFonts w:ascii="Arial" w:cs="Arial" w:eastAsia="Arial" w:hAnsi="Arial"/>
                <w:sz w:val="14"/>
                <w:szCs w:val="14"/>
                <w:color w:val="FFFFFF"/>
              </w:rPr>
              <w:t>2025 Members</w:t>
            </w:r>
          </w:p>
        </w:tc>
        <w:tc>
          <w:tcPr>
            <w:tcW w:w="1000" w:type="dxa"/>
            <w:vAlign w:val="bottom"/>
            <w:tcBorders>
              <w:bottom w:val="single" w:sz="8" w:color="0075C9"/>
            </w:tcBorders>
            <w:shd w:val="clear" w:color="auto" w:fill="0075C9"/>
          </w:tcPr>
          <w:p>
            <w:pPr>
              <w:ind w:left="260"/>
              <w:spacing w:after="0"/>
              <w:rPr>
                <w:sz w:val="20"/>
                <w:szCs w:val="20"/>
                <w:color w:val="auto"/>
              </w:rPr>
            </w:pPr>
            <w:r>
              <w:rPr>
                <w:rFonts w:ascii="Arial" w:cs="Arial" w:eastAsia="Arial" w:hAnsi="Arial"/>
                <w:sz w:val="14"/>
                <w:szCs w:val="14"/>
                <w:color w:val="FFFFFF"/>
              </w:rPr>
              <w:t>in 2025</w:t>
            </w:r>
          </w:p>
        </w:tc>
      </w:tr>
      <w:tr>
        <w:trPr>
          <w:trHeight w:val="153"/>
        </w:trPr>
        <w:tc>
          <w:tcPr>
            <w:tcW w:w="1500" w:type="dxa"/>
            <w:vAlign w:val="bottom"/>
            <w:shd w:val="clear" w:color="auto" w:fill="E5F1F9"/>
          </w:tcPr>
          <w:p>
            <w:pPr>
              <w:ind w:left="60"/>
              <w:spacing w:after="0" w:line="153" w:lineRule="exact"/>
              <w:rPr>
                <w:sz w:val="20"/>
                <w:szCs w:val="20"/>
                <w:color w:val="auto"/>
              </w:rPr>
            </w:pPr>
            <w:r>
              <w:rPr>
                <w:rFonts w:ascii="Arial" w:cs="Arial" w:eastAsia="Arial" w:hAnsi="Arial"/>
                <w:sz w:val="14"/>
                <w:szCs w:val="14"/>
                <w:color w:val="auto"/>
              </w:rPr>
              <w:t>Audit</w:t>
            </w:r>
          </w:p>
        </w:tc>
        <w:tc>
          <w:tcPr>
            <w:tcW w:w="6360" w:type="dxa"/>
            <w:vAlign w:val="bottom"/>
            <w:shd w:val="clear" w:color="auto" w:fill="E5F1F9"/>
          </w:tcPr>
          <w:p>
            <w:pPr>
              <w:ind w:left="220"/>
              <w:spacing w:after="0" w:line="153" w:lineRule="exact"/>
              <w:rPr>
                <w:sz w:val="20"/>
                <w:szCs w:val="20"/>
                <w:color w:val="auto"/>
              </w:rPr>
            </w:pPr>
            <w:r>
              <w:rPr>
                <w:rFonts w:ascii="Arial" w:cs="Arial" w:eastAsia="Arial" w:hAnsi="Arial"/>
                <w:sz w:val="14"/>
                <w:szCs w:val="14"/>
                <w:color w:val="auto"/>
              </w:rPr>
              <w:t>Assists our Board in its oversight of:</w:t>
            </w:r>
          </w:p>
        </w:tc>
        <w:tc>
          <w:tcPr>
            <w:tcW w:w="2160" w:type="dxa"/>
            <w:vAlign w:val="bottom"/>
            <w:shd w:val="clear" w:color="auto" w:fill="E5F1F9"/>
          </w:tcPr>
          <w:p>
            <w:pPr>
              <w:ind w:left="120"/>
              <w:spacing w:after="0" w:line="153" w:lineRule="exact"/>
              <w:rPr>
                <w:sz w:val="20"/>
                <w:szCs w:val="20"/>
                <w:color w:val="auto"/>
              </w:rPr>
            </w:pPr>
            <w:r>
              <w:rPr>
                <w:rFonts w:ascii="Arial" w:cs="Arial" w:eastAsia="Arial" w:hAnsi="Arial"/>
                <w:sz w:val="14"/>
                <w:szCs w:val="14"/>
                <w:color w:val="auto"/>
              </w:rPr>
              <w:t>Monish Patolawala† (Chair)</w:t>
            </w:r>
          </w:p>
        </w:tc>
        <w:tc>
          <w:tcPr>
            <w:tcW w:w="1000" w:type="dxa"/>
            <w:vAlign w:val="bottom"/>
            <w:shd w:val="clear" w:color="auto" w:fill="E5F1F9"/>
          </w:tcPr>
          <w:p>
            <w:pPr>
              <w:spacing w:after="0"/>
              <w:rPr>
                <w:sz w:val="13"/>
                <w:szCs w:val="13"/>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the integrity of our financial statements;</w:t>
            </w:r>
          </w:p>
        </w:tc>
        <w:tc>
          <w:tcPr>
            <w:tcW w:w="2160" w:type="dxa"/>
            <w:vAlign w:val="bottom"/>
            <w:shd w:val="clear" w:color="auto" w:fill="E5F1F9"/>
          </w:tcPr>
          <w:p>
            <w:pPr>
              <w:ind w:left="120"/>
              <w:spacing w:after="0"/>
              <w:rPr>
                <w:sz w:val="20"/>
                <w:szCs w:val="20"/>
                <w:color w:val="auto"/>
              </w:rPr>
            </w:pPr>
            <w:r>
              <w:rPr>
                <w:rFonts w:ascii="Arial" w:cs="Arial" w:eastAsia="Arial" w:hAnsi="Arial"/>
                <w:sz w:val="14"/>
                <w:szCs w:val="14"/>
                <w:color w:val="auto"/>
              </w:rPr>
              <w:t>Lloyd Minor</w:t>
            </w:r>
          </w:p>
        </w:tc>
        <w:tc>
          <w:tcPr>
            <w:tcW w:w="1000" w:type="dxa"/>
            <w:vAlign w:val="bottom"/>
            <w:shd w:val="clear" w:color="auto" w:fill="E5F1F9"/>
          </w:tcPr>
          <w:p>
            <w:pPr>
              <w:jc w:val="center"/>
              <w:ind w:left="48"/>
              <w:spacing w:after="0"/>
              <w:rPr>
                <w:sz w:val="20"/>
                <w:szCs w:val="20"/>
                <w:color w:val="auto"/>
              </w:rPr>
            </w:pPr>
            <w:r>
              <w:rPr>
                <w:rFonts w:ascii="Arial" w:cs="Arial" w:eastAsia="Arial" w:hAnsi="Arial"/>
                <w:sz w:val="14"/>
                <w:szCs w:val="14"/>
                <w:color w:val="auto"/>
              </w:rPr>
              <w:t>7</w:t>
            </w: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our accounting and financial reporting processes;</w:t>
            </w:r>
          </w:p>
        </w:tc>
        <w:tc>
          <w:tcPr>
            <w:tcW w:w="2160" w:type="dxa"/>
            <w:vAlign w:val="bottom"/>
            <w:shd w:val="clear" w:color="auto" w:fill="E5F1F9"/>
          </w:tcPr>
          <w:p>
            <w:pPr>
              <w:ind w:left="120"/>
              <w:spacing w:after="0"/>
              <w:rPr>
                <w:sz w:val="20"/>
                <w:szCs w:val="20"/>
                <w:color w:val="auto"/>
              </w:rPr>
            </w:pPr>
            <w:r>
              <w:rPr>
                <w:rFonts w:ascii="Arial" w:cs="Arial" w:eastAsia="Arial" w:hAnsi="Arial"/>
                <w:sz w:val="14"/>
                <w:szCs w:val="14"/>
                <w:color w:val="auto"/>
              </w:rPr>
              <w:t>William A. Hawkins†</w:t>
            </w:r>
          </w:p>
        </w:tc>
        <w:tc>
          <w:tcPr>
            <w:tcW w:w="1000" w:type="dxa"/>
            <w:vAlign w:val="bottom"/>
            <w:shd w:val="clear" w:color="auto" w:fill="E5F1F9"/>
          </w:tcPr>
          <w:p>
            <w:pPr>
              <w:spacing w:after="0"/>
              <w:rPr>
                <w:sz w:val="14"/>
                <w:szCs w:val="14"/>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the independence, qualifications and performance of our independent registered public</w:t>
            </w:r>
          </w:p>
        </w:tc>
        <w:tc>
          <w:tcPr>
            <w:tcW w:w="2160" w:type="dxa"/>
            <w:vAlign w:val="bottom"/>
            <w:shd w:val="clear" w:color="auto" w:fill="E5F1F9"/>
          </w:tcPr>
          <w:p>
            <w:pPr>
              <w:ind w:left="120"/>
              <w:spacing w:after="0"/>
              <w:rPr>
                <w:sz w:val="20"/>
                <w:szCs w:val="20"/>
                <w:color w:val="auto"/>
              </w:rPr>
            </w:pPr>
            <w:r>
              <w:rPr>
                <w:rFonts w:ascii="Arial" w:cs="Arial" w:eastAsia="Arial" w:hAnsi="Arial"/>
                <w:sz w:val="14"/>
                <w:szCs w:val="14"/>
                <w:color w:val="auto"/>
              </w:rPr>
              <w:t>Stephen A. Sherwin†</w:t>
            </w:r>
          </w:p>
        </w:tc>
        <w:tc>
          <w:tcPr>
            <w:tcW w:w="1000" w:type="dxa"/>
            <w:vAlign w:val="bottom"/>
            <w:shd w:val="clear" w:color="auto" w:fill="E5F1F9"/>
          </w:tcPr>
          <w:p>
            <w:pPr>
              <w:spacing w:after="0"/>
              <w:rPr>
                <w:sz w:val="14"/>
                <w:szCs w:val="14"/>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440"/>
              <w:spacing w:after="0"/>
              <w:rPr>
                <w:sz w:val="20"/>
                <w:szCs w:val="20"/>
                <w:color w:val="auto"/>
              </w:rPr>
            </w:pPr>
            <w:r>
              <w:rPr>
                <w:rFonts w:ascii="Arial" w:cs="Arial" w:eastAsia="Arial" w:hAnsi="Arial"/>
                <w:sz w:val="14"/>
                <w:szCs w:val="14"/>
                <w:color w:val="auto"/>
              </w:rPr>
              <w:t>accounting firm;</w:t>
            </w:r>
          </w:p>
        </w:tc>
        <w:tc>
          <w:tcPr>
            <w:tcW w:w="2160" w:type="dxa"/>
            <w:vAlign w:val="bottom"/>
            <w:shd w:val="clear" w:color="auto" w:fill="E5F1F9"/>
          </w:tcPr>
          <w:p>
            <w:pPr>
              <w:spacing w:after="0"/>
              <w:rPr>
                <w:sz w:val="14"/>
                <w:szCs w:val="14"/>
                <w:color w:val="auto"/>
              </w:rPr>
            </w:pPr>
          </w:p>
        </w:tc>
        <w:tc>
          <w:tcPr>
            <w:tcW w:w="1000" w:type="dxa"/>
            <w:vAlign w:val="bottom"/>
            <w:shd w:val="clear" w:color="auto" w:fill="E5F1F9"/>
          </w:tcPr>
          <w:p>
            <w:pPr>
              <w:spacing w:after="0"/>
              <w:rPr>
                <w:sz w:val="14"/>
                <w:szCs w:val="14"/>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the effectiveness of the company’s internal control over financial reporting;</w:t>
            </w:r>
          </w:p>
        </w:tc>
        <w:tc>
          <w:tcPr>
            <w:tcW w:w="2160" w:type="dxa"/>
            <w:vAlign w:val="bottom"/>
            <w:shd w:val="clear" w:color="auto" w:fill="E5F1F9"/>
          </w:tcPr>
          <w:p>
            <w:pPr>
              <w:spacing w:after="0"/>
              <w:rPr>
                <w:sz w:val="14"/>
                <w:szCs w:val="14"/>
                <w:color w:val="auto"/>
              </w:rPr>
            </w:pPr>
          </w:p>
        </w:tc>
        <w:tc>
          <w:tcPr>
            <w:tcW w:w="1000" w:type="dxa"/>
            <w:vAlign w:val="bottom"/>
            <w:shd w:val="clear" w:color="auto" w:fill="E5F1F9"/>
          </w:tcPr>
          <w:p>
            <w:pPr>
              <w:spacing w:after="0"/>
              <w:rPr>
                <w:sz w:val="14"/>
                <w:szCs w:val="14"/>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our global tax strategy, compliance and tax audit processes;</w:t>
            </w:r>
          </w:p>
        </w:tc>
        <w:tc>
          <w:tcPr>
            <w:tcW w:w="2160" w:type="dxa"/>
            <w:vAlign w:val="bottom"/>
            <w:shd w:val="clear" w:color="auto" w:fill="E5F1F9"/>
          </w:tcPr>
          <w:p>
            <w:pPr>
              <w:spacing w:after="0"/>
              <w:rPr>
                <w:sz w:val="14"/>
                <w:szCs w:val="14"/>
                <w:color w:val="auto"/>
              </w:rPr>
            </w:pPr>
          </w:p>
        </w:tc>
        <w:tc>
          <w:tcPr>
            <w:tcW w:w="1000" w:type="dxa"/>
            <w:vAlign w:val="bottom"/>
            <w:shd w:val="clear" w:color="auto" w:fill="E5F1F9"/>
          </w:tcPr>
          <w:p>
            <w:pPr>
              <w:spacing w:after="0"/>
              <w:rPr>
                <w:sz w:val="14"/>
                <w:szCs w:val="14"/>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our internal audit and corporate compliance functions;</w:t>
            </w:r>
          </w:p>
        </w:tc>
        <w:tc>
          <w:tcPr>
            <w:tcW w:w="2160" w:type="dxa"/>
            <w:vAlign w:val="bottom"/>
            <w:shd w:val="clear" w:color="auto" w:fill="E5F1F9"/>
          </w:tcPr>
          <w:p>
            <w:pPr>
              <w:spacing w:after="0"/>
              <w:rPr>
                <w:sz w:val="14"/>
                <w:szCs w:val="14"/>
                <w:color w:val="auto"/>
              </w:rPr>
            </w:pPr>
          </w:p>
        </w:tc>
        <w:tc>
          <w:tcPr>
            <w:tcW w:w="1000" w:type="dxa"/>
            <w:vAlign w:val="bottom"/>
            <w:shd w:val="clear" w:color="auto" w:fill="E5F1F9"/>
          </w:tcPr>
          <w:p>
            <w:pPr>
              <w:spacing w:after="0"/>
              <w:rPr>
                <w:sz w:val="14"/>
                <w:szCs w:val="14"/>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our financial strategy, policies and practices; and</w:t>
            </w:r>
          </w:p>
        </w:tc>
        <w:tc>
          <w:tcPr>
            <w:tcW w:w="2160" w:type="dxa"/>
            <w:vAlign w:val="bottom"/>
            <w:shd w:val="clear" w:color="auto" w:fill="E5F1F9"/>
          </w:tcPr>
          <w:p>
            <w:pPr>
              <w:spacing w:after="0"/>
              <w:rPr>
                <w:sz w:val="14"/>
                <w:szCs w:val="14"/>
                <w:color w:val="auto"/>
              </w:rPr>
            </w:pPr>
          </w:p>
        </w:tc>
        <w:tc>
          <w:tcPr>
            <w:tcW w:w="1000" w:type="dxa"/>
            <w:vAlign w:val="bottom"/>
            <w:shd w:val="clear" w:color="auto" w:fill="E5F1F9"/>
          </w:tcPr>
          <w:p>
            <w:pPr>
              <w:spacing w:after="0"/>
              <w:rPr>
                <w:sz w:val="14"/>
                <w:szCs w:val="14"/>
                <w:color w:val="auto"/>
              </w:rPr>
            </w:pPr>
          </w:p>
        </w:tc>
      </w:tr>
      <w:tr>
        <w:trPr>
          <w:trHeight w:val="190"/>
        </w:trPr>
        <w:tc>
          <w:tcPr>
            <w:tcW w:w="1500" w:type="dxa"/>
            <w:vAlign w:val="bottom"/>
            <w:shd w:val="clear" w:color="auto" w:fill="E5F1F9"/>
          </w:tcPr>
          <w:p>
            <w:pPr>
              <w:spacing w:after="0"/>
              <w:rPr>
                <w:sz w:val="16"/>
                <w:szCs w:val="16"/>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the adequacy and effectiveness of the company’s insurance programs.</w:t>
            </w:r>
          </w:p>
        </w:tc>
        <w:tc>
          <w:tcPr>
            <w:tcW w:w="2160" w:type="dxa"/>
            <w:vAlign w:val="bottom"/>
            <w:shd w:val="clear" w:color="auto" w:fill="E5F1F9"/>
          </w:tcPr>
          <w:p>
            <w:pPr>
              <w:spacing w:after="0"/>
              <w:rPr>
                <w:sz w:val="16"/>
                <w:szCs w:val="16"/>
                <w:color w:val="auto"/>
              </w:rPr>
            </w:pPr>
          </w:p>
        </w:tc>
        <w:tc>
          <w:tcPr>
            <w:tcW w:w="1000" w:type="dxa"/>
            <w:vAlign w:val="bottom"/>
            <w:shd w:val="clear" w:color="auto" w:fill="E5F1F9"/>
          </w:tcPr>
          <w:p>
            <w:pPr>
              <w:spacing w:after="0"/>
              <w:rPr>
                <w:sz w:val="16"/>
                <w:szCs w:val="16"/>
                <w:color w:val="auto"/>
              </w:rPr>
            </w:pPr>
          </w:p>
        </w:tc>
      </w:tr>
      <w:tr>
        <w:trPr>
          <w:trHeight w:val="255"/>
        </w:trPr>
        <w:tc>
          <w:tcPr>
            <w:tcW w:w="1500" w:type="dxa"/>
            <w:vAlign w:val="bottom"/>
            <w:shd w:val="clear" w:color="auto" w:fill="E5F1F9"/>
          </w:tcPr>
          <w:p>
            <w:pPr>
              <w:spacing w:after="0"/>
              <w:rPr>
                <w:sz w:val="22"/>
                <w:szCs w:val="22"/>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auto"/>
              </w:rPr>
              <w:t>Our Audit Committee has the sole authority and direct responsibility for the appointment,</w:t>
            </w:r>
          </w:p>
        </w:tc>
        <w:tc>
          <w:tcPr>
            <w:tcW w:w="2160" w:type="dxa"/>
            <w:vAlign w:val="bottom"/>
            <w:shd w:val="clear" w:color="auto" w:fill="E5F1F9"/>
          </w:tcPr>
          <w:p>
            <w:pPr>
              <w:spacing w:after="0"/>
              <w:rPr>
                <w:sz w:val="22"/>
                <w:szCs w:val="22"/>
                <w:color w:val="auto"/>
              </w:rPr>
            </w:pPr>
          </w:p>
        </w:tc>
        <w:tc>
          <w:tcPr>
            <w:tcW w:w="1000" w:type="dxa"/>
            <w:vAlign w:val="bottom"/>
            <w:shd w:val="clear" w:color="auto" w:fill="E5F1F9"/>
          </w:tcPr>
          <w:p>
            <w:pPr>
              <w:spacing w:after="0"/>
              <w:rPr>
                <w:sz w:val="22"/>
                <w:szCs w:val="22"/>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auto"/>
              </w:rPr>
              <w:t>compensation, retention, evaluation and oversight of the work of our independent registered</w:t>
            </w:r>
          </w:p>
        </w:tc>
        <w:tc>
          <w:tcPr>
            <w:tcW w:w="2160" w:type="dxa"/>
            <w:vAlign w:val="bottom"/>
            <w:shd w:val="clear" w:color="auto" w:fill="E5F1F9"/>
          </w:tcPr>
          <w:p>
            <w:pPr>
              <w:spacing w:after="0"/>
              <w:rPr>
                <w:sz w:val="14"/>
                <w:szCs w:val="14"/>
                <w:color w:val="auto"/>
              </w:rPr>
            </w:pPr>
          </w:p>
        </w:tc>
        <w:tc>
          <w:tcPr>
            <w:tcW w:w="1000" w:type="dxa"/>
            <w:vAlign w:val="bottom"/>
            <w:shd w:val="clear" w:color="auto" w:fill="E5F1F9"/>
          </w:tcPr>
          <w:p>
            <w:pPr>
              <w:spacing w:after="0"/>
              <w:rPr>
                <w:sz w:val="14"/>
                <w:szCs w:val="14"/>
                <w:color w:val="auto"/>
              </w:rPr>
            </w:pPr>
          </w:p>
        </w:tc>
      </w:tr>
      <w:tr>
        <w:trPr>
          <w:trHeight w:val="190"/>
        </w:trPr>
        <w:tc>
          <w:tcPr>
            <w:tcW w:w="1500" w:type="dxa"/>
            <w:vAlign w:val="bottom"/>
            <w:shd w:val="clear" w:color="auto" w:fill="E5F1F9"/>
          </w:tcPr>
          <w:p>
            <w:pPr>
              <w:spacing w:after="0"/>
              <w:rPr>
                <w:sz w:val="16"/>
                <w:szCs w:val="16"/>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auto"/>
              </w:rPr>
              <w:t>public accounting firm.</w:t>
            </w:r>
          </w:p>
        </w:tc>
        <w:tc>
          <w:tcPr>
            <w:tcW w:w="2160" w:type="dxa"/>
            <w:vAlign w:val="bottom"/>
            <w:shd w:val="clear" w:color="auto" w:fill="E5F1F9"/>
          </w:tcPr>
          <w:p>
            <w:pPr>
              <w:spacing w:after="0"/>
              <w:rPr>
                <w:sz w:val="16"/>
                <w:szCs w:val="16"/>
                <w:color w:val="auto"/>
              </w:rPr>
            </w:pPr>
          </w:p>
        </w:tc>
        <w:tc>
          <w:tcPr>
            <w:tcW w:w="1000" w:type="dxa"/>
            <w:vAlign w:val="bottom"/>
            <w:shd w:val="clear" w:color="auto" w:fill="E5F1F9"/>
          </w:tcPr>
          <w:p>
            <w:pPr>
              <w:spacing w:after="0"/>
              <w:rPr>
                <w:sz w:val="16"/>
                <w:szCs w:val="16"/>
                <w:color w:val="auto"/>
              </w:rPr>
            </w:pPr>
          </w:p>
        </w:tc>
      </w:tr>
      <w:tr>
        <w:trPr>
          <w:trHeight w:val="62"/>
        </w:trPr>
        <w:tc>
          <w:tcPr>
            <w:tcW w:w="1500" w:type="dxa"/>
            <w:vAlign w:val="bottom"/>
            <w:shd w:val="clear" w:color="auto" w:fill="E5F1F9"/>
          </w:tcPr>
          <w:p>
            <w:pPr>
              <w:spacing w:after="0"/>
              <w:rPr>
                <w:sz w:val="5"/>
                <w:szCs w:val="5"/>
                <w:color w:val="auto"/>
              </w:rPr>
            </w:pPr>
          </w:p>
        </w:tc>
        <w:tc>
          <w:tcPr>
            <w:tcW w:w="6360" w:type="dxa"/>
            <w:vAlign w:val="bottom"/>
            <w:shd w:val="clear" w:color="auto" w:fill="E5F1F9"/>
          </w:tcPr>
          <w:p>
            <w:pPr>
              <w:spacing w:after="0"/>
              <w:rPr>
                <w:sz w:val="5"/>
                <w:szCs w:val="5"/>
                <w:color w:val="auto"/>
              </w:rPr>
            </w:pPr>
          </w:p>
        </w:tc>
        <w:tc>
          <w:tcPr>
            <w:tcW w:w="2160" w:type="dxa"/>
            <w:vAlign w:val="bottom"/>
            <w:shd w:val="clear" w:color="auto" w:fill="E5F1F9"/>
          </w:tcPr>
          <w:p>
            <w:pPr>
              <w:spacing w:after="0"/>
              <w:rPr>
                <w:sz w:val="5"/>
                <w:szCs w:val="5"/>
                <w:color w:val="auto"/>
              </w:rPr>
            </w:pPr>
          </w:p>
        </w:tc>
        <w:tc>
          <w:tcPr>
            <w:tcW w:w="1000" w:type="dxa"/>
            <w:vAlign w:val="bottom"/>
            <w:shd w:val="clear" w:color="auto" w:fill="E5F1F9"/>
          </w:tcPr>
          <w:p>
            <w:pPr>
              <w:spacing w:after="0"/>
              <w:rPr>
                <w:sz w:val="5"/>
                <w:szCs w:val="5"/>
                <w:color w:val="auto"/>
              </w:rPr>
            </w:pPr>
          </w:p>
        </w:tc>
      </w:tr>
      <w:tr>
        <w:trPr>
          <w:trHeight w:val="153"/>
        </w:trPr>
        <w:tc>
          <w:tcPr>
            <w:tcW w:w="1500" w:type="dxa"/>
            <w:vAlign w:val="bottom"/>
            <w:shd w:val="clear" w:color="auto" w:fill="B2D5EE"/>
          </w:tcPr>
          <w:p>
            <w:pPr>
              <w:ind w:left="60"/>
              <w:spacing w:after="0" w:line="153" w:lineRule="exact"/>
              <w:rPr>
                <w:sz w:val="20"/>
                <w:szCs w:val="20"/>
                <w:color w:val="auto"/>
              </w:rPr>
            </w:pPr>
            <w:r>
              <w:rPr>
                <w:rFonts w:ascii="Arial" w:cs="Arial" w:eastAsia="Arial" w:hAnsi="Arial"/>
                <w:sz w:val="14"/>
                <w:szCs w:val="14"/>
                <w:color w:val="auto"/>
              </w:rPr>
              <w:t>Compensation and</w:t>
            </w:r>
          </w:p>
        </w:tc>
        <w:tc>
          <w:tcPr>
            <w:tcW w:w="6360" w:type="dxa"/>
            <w:vAlign w:val="bottom"/>
            <w:shd w:val="clear" w:color="auto" w:fill="B2D5EE"/>
          </w:tcPr>
          <w:p>
            <w:pPr>
              <w:ind w:left="220"/>
              <w:spacing w:after="0" w:line="153" w:lineRule="exact"/>
              <w:rPr>
                <w:sz w:val="20"/>
                <w:szCs w:val="20"/>
                <w:color w:val="auto"/>
              </w:rPr>
            </w:pPr>
            <w:r>
              <w:rPr>
                <w:rFonts w:ascii="Arial" w:cs="Arial" w:eastAsia="Arial" w:hAnsi="Arial"/>
                <w:sz w:val="14"/>
                <w:szCs w:val="14"/>
                <w:color w:val="auto"/>
              </w:rPr>
              <w:t>Assists our Board with oversight of executive compensation and management development,</w:t>
            </w:r>
          </w:p>
        </w:tc>
        <w:tc>
          <w:tcPr>
            <w:tcW w:w="2160" w:type="dxa"/>
            <w:vAlign w:val="bottom"/>
            <w:shd w:val="clear" w:color="auto" w:fill="B2D5EE"/>
          </w:tcPr>
          <w:p>
            <w:pPr>
              <w:ind w:left="120"/>
              <w:spacing w:after="0" w:line="153" w:lineRule="exact"/>
              <w:rPr>
                <w:sz w:val="20"/>
                <w:szCs w:val="20"/>
                <w:color w:val="auto"/>
              </w:rPr>
            </w:pPr>
            <w:r>
              <w:rPr>
                <w:rFonts w:ascii="Arial" w:cs="Arial" w:eastAsia="Arial" w:hAnsi="Arial"/>
                <w:sz w:val="14"/>
                <w:szCs w:val="14"/>
                <w:color w:val="auto"/>
              </w:rPr>
              <w:t>Jesus B. Mantas (Chair)</w:t>
            </w:r>
          </w:p>
        </w:tc>
        <w:tc>
          <w:tcPr>
            <w:tcW w:w="1000" w:type="dxa"/>
            <w:vAlign w:val="bottom"/>
            <w:shd w:val="clear" w:color="auto" w:fill="B2D5EE"/>
          </w:tcPr>
          <w:p>
            <w:pPr>
              <w:spacing w:after="0"/>
              <w:rPr>
                <w:sz w:val="13"/>
                <w:szCs w:val="13"/>
                <w:color w:val="auto"/>
              </w:rPr>
            </w:pPr>
          </w:p>
        </w:tc>
      </w:tr>
      <w:tr>
        <w:trPr>
          <w:trHeight w:val="162"/>
        </w:trPr>
        <w:tc>
          <w:tcPr>
            <w:tcW w:w="1500" w:type="dxa"/>
            <w:vAlign w:val="bottom"/>
            <w:shd w:val="clear" w:color="auto" w:fill="B2D5EE"/>
          </w:tcPr>
          <w:p>
            <w:pPr>
              <w:ind w:left="60"/>
              <w:spacing w:after="0"/>
              <w:rPr>
                <w:sz w:val="20"/>
                <w:szCs w:val="20"/>
                <w:color w:val="auto"/>
              </w:rPr>
            </w:pPr>
            <w:r>
              <w:rPr>
                <w:rFonts w:ascii="Arial" w:cs="Arial" w:eastAsia="Arial" w:hAnsi="Arial"/>
                <w:sz w:val="14"/>
                <w:szCs w:val="14"/>
                <w:color w:val="auto"/>
              </w:rPr>
              <w:t>Management</w:t>
            </w:r>
          </w:p>
        </w:tc>
        <w:tc>
          <w:tcPr>
            <w:tcW w:w="6360" w:type="dxa"/>
            <w:vAlign w:val="bottom"/>
            <w:shd w:val="clear" w:color="auto" w:fill="B2D5EE"/>
          </w:tcPr>
          <w:p>
            <w:pPr>
              <w:ind w:left="220"/>
              <w:spacing w:after="0"/>
              <w:rPr>
                <w:sz w:val="20"/>
                <w:szCs w:val="20"/>
                <w:color w:val="auto"/>
              </w:rPr>
            </w:pPr>
            <w:r>
              <w:rPr>
                <w:rFonts w:ascii="Arial" w:cs="Arial" w:eastAsia="Arial" w:hAnsi="Arial"/>
                <w:sz w:val="14"/>
                <w:szCs w:val="14"/>
                <w:color w:val="auto"/>
              </w:rPr>
              <w:t>including:</w:t>
            </w:r>
          </w:p>
        </w:tc>
        <w:tc>
          <w:tcPr>
            <w:tcW w:w="2160" w:type="dxa"/>
            <w:vAlign w:val="bottom"/>
            <w:shd w:val="clear" w:color="auto" w:fill="B2D5EE"/>
          </w:tcPr>
          <w:p>
            <w:pPr>
              <w:ind w:left="120"/>
              <w:spacing w:after="0"/>
              <w:rPr>
                <w:sz w:val="20"/>
                <w:szCs w:val="20"/>
                <w:color w:val="auto"/>
              </w:rPr>
            </w:pPr>
            <w:r>
              <w:rPr>
                <w:rFonts w:ascii="Arial" w:cs="Arial" w:eastAsia="Arial" w:hAnsi="Arial"/>
                <w:sz w:val="14"/>
                <w:szCs w:val="14"/>
                <w:color w:val="auto"/>
              </w:rPr>
              <w:t>Maria C. Freire</w:t>
            </w:r>
          </w:p>
        </w:tc>
        <w:tc>
          <w:tcPr>
            <w:tcW w:w="1000" w:type="dxa"/>
            <w:vAlign w:val="bottom"/>
            <w:shd w:val="clear" w:color="auto" w:fill="B2D5EE"/>
          </w:tcPr>
          <w:p>
            <w:pPr>
              <w:jc w:val="center"/>
              <w:ind w:left="48"/>
              <w:spacing w:after="0"/>
              <w:rPr>
                <w:sz w:val="20"/>
                <w:szCs w:val="20"/>
                <w:color w:val="auto"/>
              </w:rPr>
            </w:pPr>
            <w:r>
              <w:rPr>
                <w:rFonts w:ascii="Arial" w:cs="Arial" w:eastAsia="Arial" w:hAnsi="Arial"/>
                <w:sz w:val="14"/>
                <w:szCs w:val="14"/>
                <w:color w:val="auto"/>
              </w:rPr>
              <w:t>7</w:t>
            </w:r>
          </w:p>
        </w:tc>
      </w:tr>
      <w:tr>
        <w:trPr>
          <w:trHeight w:val="162"/>
        </w:trPr>
        <w:tc>
          <w:tcPr>
            <w:tcW w:w="1500" w:type="dxa"/>
            <w:vAlign w:val="bottom"/>
            <w:shd w:val="clear" w:color="auto" w:fill="B2D5EE"/>
          </w:tcPr>
          <w:p>
            <w:pPr>
              <w:ind w:left="60"/>
              <w:spacing w:after="0"/>
              <w:rPr>
                <w:sz w:val="20"/>
                <w:szCs w:val="20"/>
                <w:color w:val="auto"/>
              </w:rPr>
            </w:pPr>
            <w:r>
              <w:rPr>
                <w:rFonts w:ascii="Arial" w:cs="Arial" w:eastAsia="Arial" w:hAnsi="Arial"/>
                <w:sz w:val="14"/>
                <w:szCs w:val="14"/>
                <w:color w:val="auto"/>
              </w:rPr>
              <w:t>Development</w:t>
            </w:r>
          </w:p>
        </w:tc>
        <w:tc>
          <w:tcPr>
            <w:tcW w:w="6360" w:type="dxa"/>
            <w:vAlign w:val="bottom"/>
            <w:shd w:val="clear" w:color="auto" w:fill="B2D5EE"/>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recommending to our Board for approval the compensation of our CEO and approving the</w:t>
            </w:r>
          </w:p>
        </w:tc>
        <w:tc>
          <w:tcPr>
            <w:tcW w:w="2160" w:type="dxa"/>
            <w:vAlign w:val="bottom"/>
            <w:shd w:val="clear" w:color="auto" w:fill="B2D5EE"/>
          </w:tcPr>
          <w:p>
            <w:pPr>
              <w:ind w:left="120"/>
              <w:spacing w:after="0"/>
              <w:rPr>
                <w:sz w:val="20"/>
                <w:szCs w:val="20"/>
                <w:color w:val="auto"/>
              </w:rPr>
            </w:pPr>
            <w:r>
              <w:rPr>
                <w:rFonts w:ascii="Arial" w:cs="Arial" w:eastAsia="Arial" w:hAnsi="Arial"/>
                <w:sz w:val="14"/>
                <w:szCs w:val="14"/>
                <w:color w:val="auto"/>
              </w:rPr>
              <w:t>Susan K. Langer</w:t>
            </w:r>
          </w:p>
        </w:tc>
        <w:tc>
          <w:tcPr>
            <w:tcW w:w="1000" w:type="dxa"/>
            <w:vAlign w:val="bottom"/>
            <w:shd w:val="clear" w:color="auto" w:fill="B2D5EE"/>
          </w:tcPr>
          <w:p>
            <w:pPr>
              <w:spacing w:after="0"/>
              <w:rPr>
                <w:sz w:val="14"/>
                <w:szCs w:val="14"/>
                <w:color w:val="auto"/>
              </w:rPr>
            </w:pPr>
          </w:p>
        </w:tc>
      </w:tr>
      <w:tr>
        <w:trPr>
          <w:trHeight w:val="162"/>
        </w:trPr>
        <w:tc>
          <w:tcPr>
            <w:tcW w:w="1500" w:type="dxa"/>
            <w:vAlign w:val="bottom"/>
            <w:shd w:val="clear" w:color="auto" w:fill="B2D5EE"/>
          </w:tcPr>
          <w:p>
            <w:pPr>
              <w:spacing w:after="0"/>
              <w:rPr>
                <w:sz w:val="14"/>
                <w:szCs w:val="14"/>
                <w:color w:val="auto"/>
              </w:rPr>
            </w:pPr>
          </w:p>
        </w:tc>
        <w:tc>
          <w:tcPr>
            <w:tcW w:w="6360" w:type="dxa"/>
            <w:vAlign w:val="bottom"/>
            <w:shd w:val="clear" w:color="auto" w:fill="B2D5EE"/>
          </w:tcPr>
          <w:p>
            <w:pPr>
              <w:ind w:left="440"/>
              <w:spacing w:after="0"/>
              <w:rPr>
                <w:sz w:val="20"/>
                <w:szCs w:val="20"/>
                <w:color w:val="auto"/>
              </w:rPr>
            </w:pPr>
            <w:r>
              <w:rPr>
                <w:rFonts w:ascii="Arial" w:cs="Arial" w:eastAsia="Arial" w:hAnsi="Arial"/>
                <w:sz w:val="14"/>
                <w:szCs w:val="14"/>
                <w:color w:val="auto"/>
              </w:rPr>
              <w:t>compensation of our other NEOs;</w:t>
            </w:r>
          </w:p>
        </w:tc>
        <w:tc>
          <w:tcPr>
            <w:tcW w:w="2160" w:type="dxa"/>
            <w:vAlign w:val="bottom"/>
            <w:shd w:val="clear" w:color="auto" w:fill="B2D5EE"/>
          </w:tcPr>
          <w:p>
            <w:pPr>
              <w:ind w:left="120"/>
              <w:spacing w:after="0"/>
              <w:rPr>
                <w:sz w:val="20"/>
                <w:szCs w:val="20"/>
                <w:color w:val="auto"/>
              </w:rPr>
            </w:pPr>
            <w:r>
              <w:rPr>
                <w:rFonts w:ascii="Arial" w:cs="Arial" w:eastAsia="Arial" w:hAnsi="Arial"/>
                <w:sz w:val="14"/>
                <w:szCs w:val="14"/>
                <w:color w:val="auto"/>
              </w:rPr>
              <w:t>Menelas Pangalos</w:t>
            </w:r>
          </w:p>
        </w:tc>
        <w:tc>
          <w:tcPr>
            <w:tcW w:w="1000" w:type="dxa"/>
            <w:vAlign w:val="bottom"/>
            <w:shd w:val="clear" w:color="auto" w:fill="B2D5EE"/>
          </w:tcPr>
          <w:p>
            <w:pPr>
              <w:spacing w:after="0"/>
              <w:rPr>
                <w:sz w:val="14"/>
                <w:szCs w:val="14"/>
                <w:color w:val="auto"/>
              </w:rPr>
            </w:pPr>
          </w:p>
        </w:tc>
      </w:tr>
      <w:tr>
        <w:trPr>
          <w:trHeight w:val="162"/>
        </w:trPr>
        <w:tc>
          <w:tcPr>
            <w:tcW w:w="1500" w:type="dxa"/>
            <w:vAlign w:val="bottom"/>
            <w:shd w:val="clear" w:color="auto" w:fill="B2D5EE"/>
          </w:tcPr>
          <w:p>
            <w:pPr>
              <w:spacing w:after="0"/>
              <w:rPr>
                <w:sz w:val="14"/>
                <w:szCs w:val="14"/>
                <w:color w:val="auto"/>
              </w:rPr>
            </w:pPr>
          </w:p>
        </w:tc>
        <w:tc>
          <w:tcPr>
            <w:tcW w:w="6360" w:type="dxa"/>
            <w:vAlign w:val="bottom"/>
            <w:shd w:val="clear" w:color="auto" w:fill="B2D5EE"/>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administration of our short- and long-term incentive plans;</w:t>
            </w:r>
          </w:p>
        </w:tc>
        <w:tc>
          <w:tcPr>
            <w:tcW w:w="2160" w:type="dxa"/>
            <w:vAlign w:val="bottom"/>
            <w:shd w:val="clear" w:color="auto" w:fill="B2D5EE"/>
          </w:tcPr>
          <w:p>
            <w:pPr>
              <w:ind w:left="120"/>
              <w:spacing w:after="0"/>
              <w:rPr>
                <w:sz w:val="20"/>
                <w:szCs w:val="20"/>
                <w:color w:val="auto"/>
              </w:rPr>
            </w:pPr>
            <w:r>
              <w:rPr>
                <w:rFonts w:ascii="Arial" w:cs="Arial" w:eastAsia="Arial" w:hAnsi="Arial"/>
                <w:sz w:val="14"/>
                <w:szCs w:val="14"/>
                <w:color w:val="auto"/>
              </w:rPr>
              <w:t>Eric K. Rowinsky</w:t>
            </w:r>
          </w:p>
        </w:tc>
        <w:tc>
          <w:tcPr>
            <w:tcW w:w="1000" w:type="dxa"/>
            <w:vAlign w:val="bottom"/>
            <w:shd w:val="clear" w:color="auto" w:fill="B2D5EE"/>
          </w:tcPr>
          <w:p>
            <w:pPr>
              <w:spacing w:after="0"/>
              <w:rPr>
                <w:sz w:val="14"/>
                <w:szCs w:val="14"/>
                <w:color w:val="auto"/>
              </w:rPr>
            </w:pPr>
          </w:p>
        </w:tc>
      </w:tr>
      <w:tr>
        <w:trPr>
          <w:trHeight w:val="162"/>
        </w:trPr>
        <w:tc>
          <w:tcPr>
            <w:tcW w:w="1500" w:type="dxa"/>
            <w:vAlign w:val="bottom"/>
            <w:shd w:val="clear" w:color="auto" w:fill="B2D5EE"/>
          </w:tcPr>
          <w:p>
            <w:pPr>
              <w:spacing w:after="0"/>
              <w:rPr>
                <w:sz w:val="14"/>
                <w:szCs w:val="14"/>
                <w:color w:val="auto"/>
              </w:rPr>
            </w:pPr>
          </w:p>
        </w:tc>
        <w:tc>
          <w:tcPr>
            <w:tcW w:w="6360" w:type="dxa"/>
            <w:vAlign w:val="bottom"/>
            <w:shd w:val="clear" w:color="auto" w:fill="B2D5EE"/>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reviewing executive and senior management development programs and succession plans;</w:t>
            </w:r>
          </w:p>
        </w:tc>
        <w:tc>
          <w:tcPr>
            <w:tcW w:w="2160" w:type="dxa"/>
            <w:vAlign w:val="bottom"/>
            <w:shd w:val="clear" w:color="auto" w:fill="B2D5EE"/>
          </w:tcPr>
          <w:p>
            <w:pPr>
              <w:spacing w:after="0"/>
              <w:rPr>
                <w:sz w:val="14"/>
                <w:szCs w:val="14"/>
                <w:color w:val="auto"/>
              </w:rPr>
            </w:pPr>
          </w:p>
        </w:tc>
        <w:tc>
          <w:tcPr>
            <w:tcW w:w="1000" w:type="dxa"/>
            <w:vAlign w:val="bottom"/>
            <w:shd w:val="clear" w:color="auto" w:fill="B2D5EE"/>
          </w:tcPr>
          <w:p>
            <w:pPr>
              <w:spacing w:after="0"/>
              <w:rPr>
                <w:sz w:val="14"/>
                <w:szCs w:val="14"/>
                <w:color w:val="auto"/>
              </w:rPr>
            </w:pPr>
          </w:p>
        </w:tc>
      </w:tr>
      <w:tr>
        <w:trPr>
          <w:trHeight w:val="162"/>
        </w:trPr>
        <w:tc>
          <w:tcPr>
            <w:tcW w:w="1500" w:type="dxa"/>
            <w:vAlign w:val="bottom"/>
            <w:shd w:val="clear" w:color="auto" w:fill="B2D5EE"/>
          </w:tcPr>
          <w:p>
            <w:pPr>
              <w:spacing w:after="0"/>
              <w:rPr>
                <w:sz w:val="14"/>
                <w:szCs w:val="14"/>
                <w:color w:val="auto"/>
              </w:rPr>
            </w:pPr>
          </w:p>
        </w:tc>
        <w:tc>
          <w:tcPr>
            <w:tcW w:w="6360" w:type="dxa"/>
            <w:vAlign w:val="bottom"/>
            <w:shd w:val="clear" w:color="auto" w:fill="B2D5EE"/>
          </w:tcPr>
          <w:p>
            <w:pPr>
              <w:ind w:left="440"/>
              <w:spacing w:after="0"/>
              <w:rPr>
                <w:sz w:val="20"/>
                <w:szCs w:val="20"/>
                <w:color w:val="auto"/>
              </w:rPr>
            </w:pPr>
            <w:r>
              <w:rPr>
                <w:rFonts w:ascii="Arial" w:cs="Arial" w:eastAsia="Arial" w:hAnsi="Arial"/>
                <w:sz w:val="14"/>
                <w:szCs w:val="14"/>
                <w:color w:val="auto"/>
              </w:rPr>
              <w:t>and</w:t>
            </w:r>
          </w:p>
        </w:tc>
        <w:tc>
          <w:tcPr>
            <w:tcW w:w="2160" w:type="dxa"/>
            <w:vAlign w:val="bottom"/>
            <w:shd w:val="clear" w:color="auto" w:fill="B2D5EE"/>
          </w:tcPr>
          <w:p>
            <w:pPr>
              <w:spacing w:after="0"/>
              <w:rPr>
                <w:sz w:val="14"/>
                <w:szCs w:val="14"/>
                <w:color w:val="auto"/>
              </w:rPr>
            </w:pPr>
          </w:p>
        </w:tc>
        <w:tc>
          <w:tcPr>
            <w:tcW w:w="1000" w:type="dxa"/>
            <w:vAlign w:val="bottom"/>
            <w:shd w:val="clear" w:color="auto" w:fill="B2D5EE"/>
          </w:tcPr>
          <w:p>
            <w:pPr>
              <w:spacing w:after="0"/>
              <w:rPr>
                <w:sz w:val="14"/>
                <w:szCs w:val="14"/>
                <w:color w:val="auto"/>
              </w:rPr>
            </w:pPr>
          </w:p>
        </w:tc>
      </w:tr>
      <w:tr>
        <w:trPr>
          <w:trHeight w:val="190"/>
        </w:trPr>
        <w:tc>
          <w:tcPr>
            <w:tcW w:w="1500" w:type="dxa"/>
            <w:vAlign w:val="bottom"/>
            <w:shd w:val="clear" w:color="auto" w:fill="B2D5EE"/>
          </w:tcPr>
          <w:p>
            <w:pPr>
              <w:spacing w:after="0"/>
              <w:rPr>
                <w:sz w:val="16"/>
                <w:szCs w:val="16"/>
                <w:color w:val="auto"/>
              </w:rPr>
            </w:pPr>
          </w:p>
        </w:tc>
        <w:tc>
          <w:tcPr>
            <w:tcW w:w="6360" w:type="dxa"/>
            <w:vAlign w:val="bottom"/>
            <w:shd w:val="clear" w:color="auto" w:fill="B2D5EE"/>
          </w:tcPr>
          <w:p>
            <w:pPr>
              <w:ind w:left="22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recommending to our Board the compensation of our non-employee directors.</w:t>
            </w:r>
          </w:p>
        </w:tc>
        <w:tc>
          <w:tcPr>
            <w:tcW w:w="2160" w:type="dxa"/>
            <w:vAlign w:val="bottom"/>
            <w:shd w:val="clear" w:color="auto" w:fill="B2D5EE"/>
          </w:tcPr>
          <w:p>
            <w:pPr>
              <w:spacing w:after="0"/>
              <w:rPr>
                <w:sz w:val="16"/>
                <w:szCs w:val="16"/>
                <w:color w:val="auto"/>
              </w:rPr>
            </w:pPr>
          </w:p>
        </w:tc>
        <w:tc>
          <w:tcPr>
            <w:tcW w:w="1000" w:type="dxa"/>
            <w:vAlign w:val="bottom"/>
            <w:shd w:val="clear" w:color="auto" w:fill="B2D5EE"/>
          </w:tcPr>
          <w:p>
            <w:pPr>
              <w:spacing w:after="0"/>
              <w:rPr>
                <w:sz w:val="16"/>
                <w:szCs w:val="16"/>
                <w:color w:val="auto"/>
              </w:rPr>
            </w:pPr>
          </w:p>
        </w:tc>
      </w:tr>
      <w:tr>
        <w:trPr>
          <w:trHeight w:val="62"/>
        </w:trPr>
        <w:tc>
          <w:tcPr>
            <w:tcW w:w="1500" w:type="dxa"/>
            <w:vAlign w:val="bottom"/>
            <w:shd w:val="clear" w:color="auto" w:fill="B2D5EE"/>
          </w:tcPr>
          <w:p>
            <w:pPr>
              <w:spacing w:after="0"/>
              <w:rPr>
                <w:sz w:val="5"/>
                <w:szCs w:val="5"/>
                <w:color w:val="auto"/>
              </w:rPr>
            </w:pPr>
          </w:p>
        </w:tc>
        <w:tc>
          <w:tcPr>
            <w:tcW w:w="6360" w:type="dxa"/>
            <w:vAlign w:val="bottom"/>
            <w:shd w:val="clear" w:color="auto" w:fill="B2D5EE"/>
          </w:tcPr>
          <w:p>
            <w:pPr>
              <w:spacing w:after="0"/>
              <w:rPr>
                <w:sz w:val="5"/>
                <w:szCs w:val="5"/>
                <w:color w:val="auto"/>
              </w:rPr>
            </w:pPr>
          </w:p>
        </w:tc>
        <w:tc>
          <w:tcPr>
            <w:tcW w:w="2160" w:type="dxa"/>
            <w:vAlign w:val="bottom"/>
            <w:shd w:val="clear" w:color="auto" w:fill="B2D5EE"/>
          </w:tcPr>
          <w:p>
            <w:pPr>
              <w:spacing w:after="0"/>
              <w:rPr>
                <w:sz w:val="5"/>
                <w:szCs w:val="5"/>
                <w:color w:val="auto"/>
              </w:rPr>
            </w:pPr>
          </w:p>
        </w:tc>
        <w:tc>
          <w:tcPr>
            <w:tcW w:w="1000" w:type="dxa"/>
            <w:vAlign w:val="bottom"/>
            <w:shd w:val="clear" w:color="auto" w:fill="B2D5EE"/>
          </w:tcPr>
          <w:p>
            <w:pPr>
              <w:spacing w:after="0"/>
              <w:rPr>
                <w:sz w:val="5"/>
                <w:szCs w:val="5"/>
                <w:color w:val="auto"/>
              </w:rPr>
            </w:pPr>
          </w:p>
        </w:tc>
      </w:tr>
      <w:tr>
        <w:trPr>
          <w:trHeight w:val="153"/>
        </w:trPr>
        <w:tc>
          <w:tcPr>
            <w:tcW w:w="1500" w:type="dxa"/>
            <w:vAlign w:val="bottom"/>
            <w:shd w:val="clear" w:color="auto" w:fill="E5F1F9"/>
          </w:tcPr>
          <w:p>
            <w:pPr>
              <w:ind w:left="60"/>
              <w:spacing w:after="0" w:line="153" w:lineRule="exact"/>
              <w:rPr>
                <w:sz w:val="20"/>
                <w:szCs w:val="20"/>
                <w:color w:val="auto"/>
              </w:rPr>
            </w:pPr>
            <w:r>
              <w:rPr>
                <w:rFonts w:ascii="Arial" w:cs="Arial" w:eastAsia="Arial" w:hAnsi="Arial"/>
                <w:sz w:val="14"/>
                <w:szCs w:val="14"/>
                <w:color w:val="auto"/>
              </w:rPr>
              <w:t>Corporate</w:t>
            </w:r>
          </w:p>
        </w:tc>
        <w:tc>
          <w:tcPr>
            <w:tcW w:w="6360" w:type="dxa"/>
            <w:vAlign w:val="bottom"/>
            <w:shd w:val="clear" w:color="auto" w:fill="E5F1F9"/>
          </w:tcPr>
          <w:p>
            <w:pPr>
              <w:ind w:left="220"/>
              <w:spacing w:after="0" w:line="153" w:lineRule="exact"/>
              <w:rPr>
                <w:sz w:val="20"/>
                <w:szCs w:val="20"/>
                <w:color w:val="auto"/>
              </w:rPr>
            </w:pPr>
            <w:r>
              <w:rPr>
                <w:rFonts w:ascii="Arial" w:cs="Arial" w:eastAsia="Arial" w:hAnsi="Arial"/>
                <w:sz w:val="14"/>
                <w:szCs w:val="14"/>
                <w:color w:val="auto"/>
              </w:rPr>
              <w:t>Assists our Board oversight of corporate governance, including:</w:t>
            </w:r>
          </w:p>
        </w:tc>
        <w:tc>
          <w:tcPr>
            <w:tcW w:w="2160" w:type="dxa"/>
            <w:vAlign w:val="bottom"/>
            <w:shd w:val="clear" w:color="auto" w:fill="E5F1F9"/>
          </w:tcPr>
          <w:p>
            <w:pPr>
              <w:ind w:left="120"/>
              <w:spacing w:after="0" w:line="153" w:lineRule="exact"/>
              <w:rPr>
                <w:sz w:val="20"/>
                <w:szCs w:val="20"/>
                <w:color w:val="auto"/>
              </w:rPr>
            </w:pPr>
            <w:r>
              <w:rPr>
                <w:rFonts w:ascii="Arial" w:cs="Arial" w:eastAsia="Arial" w:hAnsi="Arial"/>
                <w:sz w:val="14"/>
                <w:szCs w:val="14"/>
                <w:color w:val="auto"/>
              </w:rPr>
              <w:t>Caroline D. Dorsa (Chair)†*</w:t>
            </w:r>
          </w:p>
        </w:tc>
        <w:tc>
          <w:tcPr>
            <w:tcW w:w="1000" w:type="dxa"/>
            <w:vAlign w:val="bottom"/>
            <w:shd w:val="clear" w:color="auto" w:fill="E5F1F9"/>
          </w:tcPr>
          <w:p>
            <w:pPr>
              <w:spacing w:after="0"/>
              <w:rPr>
                <w:sz w:val="13"/>
                <w:szCs w:val="13"/>
                <w:color w:val="auto"/>
              </w:rPr>
            </w:pPr>
          </w:p>
        </w:tc>
      </w:tr>
      <w:tr>
        <w:trPr>
          <w:trHeight w:val="162"/>
        </w:trPr>
        <w:tc>
          <w:tcPr>
            <w:tcW w:w="1500" w:type="dxa"/>
            <w:vAlign w:val="bottom"/>
            <w:shd w:val="clear" w:color="auto" w:fill="E5F1F9"/>
          </w:tcPr>
          <w:p>
            <w:pPr>
              <w:ind w:left="60"/>
              <w:spacing w:after="0"/>
              <w:rPr>
                <w:sz w:val="20"/>
                <w:szCs w:val="20"/>
                <w:color w:val="auto"/>
              </w:rPr>
            </w:pPr>
            <w:r>
              <w:rPr>
                <w:rFonts w:ascii="Arial" w:cs="Arial" w:eastAsia="Arial" w:hAnsi="Arial"/>
                <w:sz w:val="14"/>
                <w:szCs w:val="14"/>
                <w:color w:val="auto"/>
              </w:rPr>
              <w:t>Governance</w:t>
            </w: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auto"/>
              </w:rPr>
              <w:t>•  identifying, selecting, evaluating and recommending Board nominees to stand for election</w:t>
            </w:r>
          </w:p>
        </w:tc>
        <w:tc>
          <w:tcPr>
            <w:tcW w:w="2160" w:type="dxa"/>
            <w:vAlign w:val="bottom"/>
            <w:shd w:val="clear" w:color="auto" w:fill="E5F1F9"/>
          </w:tcPr>
          <w:p>
            <w:pPr>
              <w:ind w:left="120"/>
              <w:spacing w:after="0"/>
              <w:rPr>
                <w:sz w:val="20"/>
                <w:szCs w:val="20"/>
                <w:color w:val="auto"/>
              </w:rPr>
            </w:pPr>
            <w:r>
              <w:rPr>
                <w:rFonts w:ascii="Arial" w:cs="Arial" w:eastAsia="Arial" w:hAnsi="Arial"/>
                <w:sz w:val="14"/>
                <w:szCs w:val="14"/>
                <w:color w:val="auto"/>
              </w:rPr>
              <w:t>Maria C. Freire</w:t>
            </w:r>
          </w:p>
        </w:tc>
        <w:tc>
          <w:tcPr>
            <w:tcW w:w="1000" w:type="dxa"/>
            <w:vAlign w:val="bottom"/>
            <w:shd w:val="clear" w:color="auto" w:fill="E5F1F9"/>
          </w:tcPr>
          <w:p>
            <w:pPr>
              <w:jc w:val="center"/>
              <w:ind w:left="48"/>
              <w:spacing w:after="0"/>
              <w:rPr>
                <w:sz w:val="20"/>
                <w:szCs w:val="20"/>
                <w:color w:val="auto"/>
              </w:rPr>
            </w:pPr>
            <w:r>
              <w:rPr>
                <w:rFonts w:ascii="Arial" w:cs="Arial" w:eastAsia="Arial" w:hAnsi="Arial"/>
                <w:sz w:val="14"/>
                <w:szCs w:val="14"/>
                <w:color w:val="auto"/>
              </w:rPr>
              <w:t>4</w:t>
            </w: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440"/>
              <w:spacing w:after="0"/>
              <w:rPr>
                <w:sz w:val="20"/>
                <w:szCs w:val="20"/>
                <w:color w:val="auto"/>
              </w:rPr>
            </w:pPr>
            <w:r>
              <w:rPr>
                <w:rFonts w:ascii="Arial" w:cs="Arial" w:eastAsia="Arial" w:hAnsi="Arial"/>
                <w:sz w:val="14"/>
                <w:szCs w:val="14"/>
                <w:color w:val="auto"/>
              </w:rPr>
              <w:t>at the annual meeting of stockholders and fill vacancies as they arise;</w:t>
            </w:r>
          </w:p>
        </w:tc>
        <w:tc>
          <w:tcPr>
            <w:tcW w:w="2160" w:type="dxa"/>
            <w:vAlign w:val="bottom"/>
            <w:shd w:val="clear" w:color="auto" w:fill="E5F1F9"/>
          </w:tcPr>
          <w:p>
            <w:pPr>
              <w:ind w:left="120"/>
              <w:spacing w:after="0"/>
              <w:rPr>
                <w:sz w:val="20"/>
                <w:szCs w:val="20"/>
                <w:color w:val="auto"/>
              </w:rPr>
            </w:pPr>
            <w:r>
              <w:rPr>
                <w:rFonts w:ascii="Arial" w:cs="Arial" w:eastAsia="Arial" w:hAnsi="Arial"/>
                <w:sz w:val="14"/>
                <w:szCs w:val="14"/>
                <w:color w:val="auto"/>
              </w:rPr>
              <w:t>William A. Hawkins</w:t>
            </w:r>
          </w:p>
        </w:tc>
        <w:tc>
          <w:tcPr>
            <w:tcW w:w="1000" w:type="dxa"/>
            <w:vAlign w:val="bottom"/>
            <w:shd w:val="clear" w:color="auto" w:fill="E5F1F9"/>
          </w:tcPr>
          <w:p>
            <w:pPr>
              <w:spacing w:after="0"/>
              <w:rPr>
                <w:sz w:val="14"/>
                <w:szCs w:val="14"/>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auto"/>
              </w:rPr>
              <w:t>•  overseeing the Corporate Governance Principles and Code of Business Conduct and its</w:t>
            </w:r>
          </w:p>
        </w:tc>
        <w:tc>
          <w:tcPr>
            <w:tcW w:w="2160" w:type="dxa"/>
            <w:vAlign w:val="bottom"/>
            <w:shd w:val="clear" w:color="auto" w:fill="E5F1F9"/>
          </w:tcPr>
          <w:p>
            <w:pPr>
              <w:ind w:left="120"/>
              <w:spacing w:after="0"/>
              <w:rPr>
                <w:sz w:val="20"/>
                <w:szCs w:val="20"/>
                <w:color w:val="auto"/>
              </w:rPr>
            </w:pPr>
            <w:r>
              <w:rPr>
                <w:rFonts w:ascii="Arial" w:cs="Arial" w:eastAsia="Arial" w:hAnsi="Arial"/>
                <w:sz w:val="14"/>
                <w:szCs w:val="14"/>
                <w:color w:val="auto"/>
              </w:rPr>
              <w:t>Eric K. Rowinsky</w:t>
            </w:r>
          </w:p>
        </w:tc>
        <w:tc>
          <w:tcPr>
            <w:tcW w:w="1000" w:type="dxa"/>
            <w:vAlign w:val="bottom"/>
            <w:shd w:val="clear" w:color="auto" w:fill="E5F1F9"/>
          </w:tcPr>
          <w:p>
            <w:pPr>
              <w:spacing w:after="0"/>
              <w:rPr>
                <w:sz w:val="14"/>
                <w:szCs w:val="14"/>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440"/>
              <w:spacing w:after="0"/>
              <w:rPr>
                <w:sz w:val="20"/>
                <w:szCs w:val="20"/>
                <w:color w:val="auto"/>
              </w:rPr>
            </w:pPr>
            <w:r>
              <w:rPr>
                <w:rFonts w:ascii="Arial" w:cs="Arial" w:eastAsia="Arial" w:hAnsi="Arial"/>
                <w:sz w:val="14"/>
                <w:szCs w:val="14"/>
                <w:color w:val="auto"/>
              </w:rPr>
              <w:t>application to Board members;</w:t>
            </w:r>
          </w:p>
        </w:tc>
        <w:tc>
          <w:tcPr>
            <w:tcW w:w="2160" w:type="dxa"/>
            <w:vAlign w:val="bottom"/>
            <w:shd w:val="clear" w:color="auto" w:fill="E5F1F9"/>
          </w:tcPr>
          <w:p>
            <w:pPr>
              <w:spacing w:after="0"/>
              <w:rPr>
                <w:sz w:val="14"/>
                <w:szCs w:val="14"/>
                <w:color w:val="auto"/>
              </w:rPr>
            </w:pPr>
          </w:p>
        </w:tc>
        <w:tc>
          <w:tcPr>
            <w:tcW w:w="1000" w:type="dxa"/>
            <w:vAlign w:val="bottom"/>
            <w:shd w:val="clear" w:color="auto" w:fill="E5F1F9"/>
          </w:tcPr>
          <w:p>
            <w:pPr>
              <w:spacing w:after="0"/>
              <w:rPr>
                <w:sz w:val="14"/>
                <w:szCs w:val="14"/>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auto"/>
              </w:rPr>
              <w:t>•  overseeing our Board and committee evaluation process; and</w:t>
            </w:r>
          </w:p>
        </w:tc>
        <w:tc>
          <w:tcPr>
            <w:tcW w:w="2160" w:type="dxa"/>
            <w:vAlign w:val="bottom"/>
            <w:shd w:val="clear" w:color="auto" w:fill="E5F1F9"/>
          </w:tcPr>
          <w:p>
            <w:pPr>
              <w:spacing w:after="0"/>
              <w:rPr>
                <w:sz w:val="14"/>
                <w:szCs w:val="14"/>
                <w:color w:val="auto"/>
              </w:rPr>
            </w:pPr>
          </w:p>
        </w:tc>
        <w:tc>
          <w:tcPr>
            <w:tcW w:w="1000" w:type="dxa"/>
            <w:vAlign w:val="bottom"/>
            <w:shd w:val="clear" w:color="auto" w:fill="E5F1F9"/>
          </w:tcPr>
          <w:p>
            <w:pPr>
              <w:spacing w:after="0"/>
              <w:rPr>
                <w:sz w:val="14"/>
                <w:szCs w:val="14"/>
                <w:color w:val="auto"/>
              </w:rPr>
            </w:pPr>
          </w:p>
        </w:tc>
      </w:tr>
      <w:tr>
        <w:trPr>
          <w:trHeight w:val="162"/>
        </w:trPr>
        <w:tc>
          <w:tcPr>
            <w:tcW w:w="1500" w:type="dxa"/>
            <w:vAlign w:val="bottom"/>
            <w:shd w:val="clear" w:color="auto" w:fill="E5F1F9"/>
          </w:tcPr>
          <w:p>
            <w:pPr>
              <w:spacing w:after="0"/>
              <w:rPr>
                <w:sz w:val="14"/>
                <w:szCs w:val="14"/>
                <w:color w:val="auto"/>
              </w:rPr>
            </w:pPr>
          </w:p>
        </w:tc>
        <w:tc>
          <w:tcPr>
            <w:tcW w:w="6360" w:type="dxa"/>
            <w:vAlign w:val="bottom"/>
            <w:shd w:val="clear" w:color="auto" w:fill="E5F1F9"/>
          </w:tcPr>
          <w:p>
            <w:pPr>
              <w:ind w:left="220"/>
              <w:spacing w:after="0"/>
              <w:rPr>
                <w:sz w:val="20"/>
                <w:szCs w:val="20"/>
                <w:color w:val="auto"/>
              </w:rPr>
            </w:pPr>
            <w:r>
              <w:rPr>
                <w:rFonts w:ascii="Arial" w:cs="Arial" w:eastAsia="Arial" w:hAnsi="Arial"/>
                <w:sz w:val="14"/>
                <w:szCs w:val="14"/>
                <w:color w:val="auto"/>
              </w:rPr>
              <w:t>•  oversight of our lobbying priorities and activities, including associations with certain trade</w:t>
            </w:r>
          </w:p>
        </w:tc>
        <w:tc>
          <w:tcPr>
            <w:tcW w:w="2160" w:type="dxa"/>
            <w:vAlign w:val="bottom"/>
            <w:shd w:val="clear" w:color="auto" w:fill="E5F1F9"/>
          </w:tcPr>
          <w:p>
            <w:pPr>
              <w:spacing w:after="0"/>
              <w:rPr>
                <w:sz w:val="14"/>
                <w:szCs w:val="14"/>
                <w:color w:val="auto"/>
              </w:rPr>
            </w:pPr>
          </w:p>
        </w:tc>
        <w:tc>
          <w:tcPr>
            <w:tcW w:w="1000" w:type="dxa"/>
            <w:vAlign w:val="bottom"/>
            <w:shd w:val="clear" w:color="auto" w:fill="E5F1F9"/>
          </w:tcPr>
          <w:p>
            <w:pPr>
              <w:spacing w:after="0"/>
              <w:rPr>
                <w:sz w:val="14"/>
                <w:szCs w:val="14"/>
                <w:color w:val="auto"/>
              </w:rPr>
            </w:pPr>
          </w:p>
        </w:tc>
      </w:tr>
      <w:tr>
        <w:trPr>
          <w:trHeight w:val="190"/>
        </w:trPr>
        <w:tc>
          <w:tcPr>
            <w:tcW w:w="1500" w:type="dxa"/>
            <w:vAlign w:val="bottom"/>
            <w:shd w:val="clear" w:color="auto" w:fill="E5F1F9"/>
          </w:tcPr>
          <w:p>
            <w:pPr>
              <w:spacing w:after="0"/>
              <w:rPr>
                <w:sz w:val="16"/>
                <w:szCs w:val="16"/>
                <w:color w:val="auto"/>
              </w:rPr>
            </w:pPr>
          </w:p>
        </w:tc>
        <w:tc>
          <w:tcPr>
            <w:tcW w:w="6360" w:type="dxa"/>
            <w:vAlign w:val="bottom"/>
            <w:shd w:val="clear" w:color="auto" w:fill="E5F1F9"/>
          </w:tcPr>
          <w:p>
            <w:pPr>
              <w:ind w:left="440"/>
              <w:spacing w:after="0"/>
              <w:rPr>
                <w:sz w:val="20"/>
                <w:szCs w:val="20"/>
                <w:color w:val="auto"/>
              </w:rPr>
            </w:pPr>
            <w:r>
              <w:rPr>
                <w:rFonts w:ascii="Arial" w:cs="Arial" w:eastAsia="Arial" w:hAnsi="Arial"/>
                <w:sz w:val="14"/>
                <w:szCs w:val="14"/>
                <w:color w:val="auto"/>
              </w:rPr>
              <w:t>and/or legislative organizations.</w:t>
            </w:r>
          </w:p>
        </w:tc>
        <w:tc>
          <w:tcPr>
            <w:tcW w:w="2160" w:type="dxa"/>
            <w:vAlign w:val="bottom"/>
            <w:shd w:val="clear" w:color="auto" w:fill="E5F1F9"/>
          </w:tcPr>
          <w:p>
            <w:pPr>
              <w:spacing w:after="0"/>
              <w:rPr>
                <w:sz w:val="16"/>
                <w:szCs w:val="16"/>
                <w:color w:val="auto"/>
              </w:rPr>
            </w:pPr>
          </w:p>
        </w:tc>
        <w:tc>
          <w:tcPr>
            <w:tcW w:w="1000" w:type="dxa"/>
            <w:vAlign w:val="bottom"/>
            <w:shd w:val="clear" w:color="auto" w:fill="E5F1F9"/>
          </w:tcPr>
          <w:p>
            <w:pPr>
              <w:spacing w:after="0"/>
              <w:rPr>
                <w:sz w:val="16"/>
                <w:szCs w:val="16"/>
                <w:color w:val="auto"/>
              </w:rPr>
            </w:pPr>
          </w:p>
        </w:tc>
      </w:tr>
      <w:tr>
        <w:trPr>
          <w:trHeight w:val="62"/>
        </w:trPr>
        <w:tc>
          <w:tcPr>
            <w:tcW w:w="1500" w:type="dxa"/>
            <w:vAlign w:val="bottom"/>
            <w:shd w:val="clear" w:color="auto" w:fill="E5F1F9"/>
          </w:tcPr>
          <w:p>
            <w:pPr>
              <w:spacing w:after="0"/>
              <w:rPr>
                <w:sz w:val="5"/>
                <w:szCs w:val="5"/>
                <w:color w:val="auto"/>
              </w:rPr>
            </w:pPr>
          </w:p>
        </w:tc>
        <w:tc>
          <w:tcPr>
            <w:tcW w:w="6360" w:type="dxa"/>
            <w:vAlign w:val="bottom"/>
            <w:shd w:val="clear" w:color="auto" w:fill="E5F1F9"/>
          </w:tcPr>
          <w:p>
            <w:pPr>
              <w:spacing w:after="0"/>
              <w:rPr>
                <w:sz w:val="5"/>
                <w:szCs w:val="5"/>
                <w:color w:val="auto"/>
              </w:rPr>
            </w:pPr>
          </w:p>
        </w:tc>
        <w:tc>
          <w:tcPr>
            <w:tcW w:w="2160" w:type="dxa"/>
            <w:vAlign w:val="bottom"/>
            <w:shd w:val="clear" w:color="auto" w:fill="E5F1F9"/>
          </w:tcPr>
          <w:p>
            <w:pPr>
              <w:spacing w:after="0"/>
              <w:rPr>
                <w:sz w:val="5"/>
                <w:szCs w:val="5"/>
                <w:color w:val="auto"/>
              </w:rPr>
            </w:pPr>
          </w:p>
        </w:tc>
        <w:tc>
          <w:tcPr>
            <w:tcW w:w="1000" w:type="dxa"/>
            <w:vAlign w:val="bottom"/>
            <w:shd w:val="clear" w:color="auto" w:fill="E5F1F9"/>
          </w:tcPr>
          <w:p>
            <w:pPr>
              <w:spacing w:after="0"/>
              <w:rPr>
                <w:sz w:val="5"/>
                <w:szCs w:val="5"/>
                <w:color w:val="auto"/>
              </w:rPr>
            </w:pPr>
          </w:p>
        </w:tc>
      </w:tr>
    </w:tbl>
    <w:p>
      <w:pPr>
        <w:ind w:left="540" w:hanging="424"/>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Determined by our Board to be an Audit Committee financial expert.</w:t>
      </w:r>
    </w:p>
    <w:p>
      <w:pPr>
        <w:spacing w:after="0" w:line="6" w:lineRule="exact"/>
        <w:rPr>
          <w:sz w:val="20"/>
          <w:szCs w:val="20"/>
          <w:color w:val="auto"/>
        </w:rPr>
      </w:pPr>
    </w:p>
    <w:p>
      <w:pPr>
        <w:ind w:left="540" w:right="440" w:hanging="424"/>
        <w:spacing w:after="0" w:line="264"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Ms. Dorsa has notified the Board that she is not standing for reelection at the 2026 Annual Meeting. The Board will appoint a new CGC Chair following the 2026 Annual Meeting.</w:t>
      </w:r>
    </w:p>
    <w:p>
      <w:pPr>
        <w:spacing w:after="0" w:line="194" w:lineRule="exact"/>
        <w:rPr>
          <w:sz w:val="20"/>
          <w:szCs w:val="20"/>
          <w:color w:val="auto"/>
        </w:rPr>
      </w:pPr>
    </w:p>
    <w:p>
      <w:pPr>
        <w:ind w:left="440" w:right="180" w:hanging="324"/>
        <w:spacing w:after="0" w:line="286" w:lineRule="auto"/>
        <w:tabs>
          <w:tab w:leader="none" w:pos="440" w:val="left"/>
        </w:tabs>
        <w:numPr>
          <w:ilvl w:val="0"/>
          <w:numId w:val="64"/>
        </w:numPr>
        <w:rPr>
          <w:rFonts w:ascii="Arial" w:cs="Arial" w:eastAsia="Arial" w:hAnsi="Arial"/>
          <w:sz w:val="16"/>
          <w:szCs w:val="16"/>
          <w:color w:val="0075C9"/>
        </w:rPr>
      </w:pPr>
      <w:r>
        <w:rPr>
          <w:rFonts w:ascii="Arial" w:cs="Arial" w:eastAsia="Arial" w:hAnsi="Arial"/>
          <w:sz w:val="16"/>
          <w:szCs w:val="16"/>
          <w:color w:val="0075C9"/>
        </w:rPr>
        <w:t xml:space="preserve">Attendance at Board and Committee Meetings. </w:t>
      </w:r>
      <w:r>
        <w:rPr>
          <w:rFonts w:ascii="Arial" w:cs="Arial" w:eastAsia="Arial" w:hAnsi="Arial"/>
          <w:sz w:val="16"/>
          <w:szCs w:val="16"/>
          <w:color w:val="000000"/>
        </w:rPr>
        <w:t>No director nominee attended fewer than 75% of the total number of meetings of our Board and the</w:t>
      </w:r>
      <w:r>
        <w:rPr>
          <w:rFonts w:ascii="Arial" w:cs="Arial" w:eastAsia="Arial" w:hAnsi="Arial"/>
          <w:sz w:val="16"/>
          <w:szCs w:val="16"/>
          <w:color w:val="0075C9"/>
        </w:rPr>
        <w:t xml:space="preserve"> </w:t>
      </w:r>
      <w:r>
        <w:rPr>
          <w:rFonts w:ascii="Arial" w:cs="Arial" w:eastAsia="Arial" w:hAnsi="Arial"/>
          <w:sz w:val="16"/>
          <w:szCs w:val="16"/>
          <w:color w:val="000000"/>
        </w:rPr>
        <w:t>committees on which he or she served during 2025.</w:t>
      </w:r>
    </w:p>
    <w:p>
      <w:pPr>
        <w:spacing w:after="0" w:line="61" w:lineRule="exact"/>
        <w:rPr>
          <w:rFonts w:ascii="Arial" w:cs="Arial" w:eastAsia="Arial" w:hAnsi="Arial"/>
          <w:sz w:val="16"/>
          <w:szCs w:val="16"/>
          <w:color w:val="0075C9"/>
        </w:rPr>
      </w:pPr>
    </w:p>
    <w:p>
      <w:pPr>
        <w:ind w:left="440" w:right="140" w:hanging="324"/>
        <w:spacing w:after="0" w:line="259" w:lineRule="auto"/>
        <w:tabs>
          <w:tab w:leader="none" w:pos="440" w:val="left"/>
        </w:tabs>
        <w:numPr>
          <w:ilvl w:val="0"/>
          <w:numId w:val="64"/>
        </w:numPr>
        <w:rPr>
          <w:rFonts w:ascii="Arial" w:cs="Arial" w:eastAsia="Arial" w:hAnsi="Arial"/>
          <w:sz w:val="16"/>
          <w:szCs w:val="16"/>
          <w:color w:val="0075C9"/>
        </w:rPr>
      </w:pPr>
      <w:r>
        <w:rPr>
          <w:rFonts w:ascii="Arial" w:cs="Arial" w:eastAsia="Arial" w:hAnsi="Arial"/>
          <w:sz w:val="16"/>
          <w:szCs w:val="16"/>
          <w:color w:val="0075C9"/>
        </w:rPr>
        <w:t xml:space="preserve">Executive Sessions. </w:t>
      </w:r>
      <w:r>
        <w:rPr>
          <w:rFonts w:ascii="Arial" w:cs="Arial" w:eastAsia="Arial" w:hAnsi="Arial"/>
          <w:sz w:val="16"/>
          <w:szCs w:val="16"/>
          <w:color w:val="000000"/>
        </w:rPr>
        <w:t>Under our Corporate Governance Principles, the independent directors of our Board are required to meet without management</w:t>
      </w:r>
      <w:r>
        <w:rPr>
          <w:rFonts w:ascii="Arial" w:cs="Arial" w:eastAsia="Arial" w:hAnsi="Arial"/>
          <w:sz w:val="16"/>
          <w:szCs w:val="16"/>
          <w:color w:val="0075C9"/>
        </w:rPr>
        <w:t xml:space="preserve"> </w:t>
      </w:r>
      <w:r>
        <w:rPr>
          <w:rFonts w:ascii="Arial" w:cs="Arial" w:eastAsia="Arial" w:hAnsi="Arial"/>
          <w:sz w:val="16"/>
          <w:szCs w:val="16"/>
          <w:color w:val="000000"/>
        </w:rPr>
        <w:t>present, which we refer to as an executive session, at least four times each year and may also meet without management present at such other times as determined by our Chair or if requested by at least two other directors. In 2025, the independent directors of our Board met without management present four times. Each committee of our Board also had numerous executive sessions throughout the year.</w:t>
      </w:r>
    </w:p>
    <w:p>
      <w:pPr>
        <w:spacing w:after="0" w:line="83" w:lineRule="exact"/>
        <w:rPr>
          <w:rFonts w:ascii="Arial" w:cs="Arial" w:eastAsia="Arial" w:hAnsi="Arial"/>
          <w:sz w:val="16"/>
          <w:szCs w:val="16"/>
          <w:color w:val="0075C9"/>
        </w:rPr>
      </w:pPr>
    </w:p>
    <w:p>
      <w:pPr>
        <w:ind w:left="440" w:right="80" w:hanging="324"/>
        <w:spacing w:after="0" w:line="286" w:lineRule="auto"/>
        <w:tabs>
          <w:tab w:leader="none" w:pos="440" w:val="left"/>
        </w:tabs>
        <w:numPr>
          <w:ilvl w:val="0"/>
          <w:numId w:val="64"/>
        </w:numPr>
        <w:rPr>
          <w:rFonts w:ascii="Arial" w:cs="Arial" w:eastAsia="Arial" w:hAnsi="Arial"/>
          <w:sz w:val="16"/>
          <w:szCs w:val="16"/>
          <w:color w:val="0075C9"/>
        </w:rPr>
      </w:pPr>
      <w:r>
        <w:rPr>
          <w:rFonts w:ascii="Arial" w:cs="Arial" w:eastAsia="Arial" w:hAnsi="Arial"/>
          <w:sz w:val="16"/>
          <w:szCs w:val="16"/>
          <w:color w:val="0075C9"/>
        </w:rPr>
        <w:t xml:space="preserve">Attendance at Stockholder Meeting. </w:t>
      </w:r>
      <w:r>
        <w:rPr>
          <w:rFonts w:ascii="Arial" w:cs="Arial" w:eastAsia="Arial" w:hAnsi="Arial"/>
          <w:sz w:val="16"/>
          <w:szCs w:val="16"/>
          <w:color w:val="000000"/>
        </w:rPr>
        <w:t>We expect all of our directors and director nominees to attend our annual meetings of stockholders. All directors</w:t>
      </w:r>
      <w:r>
        <w:rPr>
          <w:rFonts w:ascii="Arial" w:cs="Arial" w:eastAsia="Arial" w:hAnsi="Arial"/>
          <w:sz w:val="16"/>
          <w:szCs w:val="16"/>
          <w:color w:val="0075C9"/>
        </w:rPr>
        <w:t xml:space="preserve"> </w:t>
      </w:r>
      <w:r>
        <w:rPr>
          <w:rFonts w:ascii="Arial" w:cs="Arial" w:eastAsia="Arial" w:hAnsi="Arial"/>
          <w:sz w:val="16"/>
          <w:szCs w:val="16"/>
          <w:color w:val="000000"/>
        </w:rPr>
        <w:t>who were nominees for election as directors at the 2025 Annual Meeting attended the 2025 Annual Meeting.</w:t>
      </w:r>
    </w:p>
    <w:p>
      <w:pPr>
        <w:spacing w:after="0" w:line="102"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-16-</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Corporate Governance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The Board’s Role in Risk Oversight</w:t>
      </w:r>
    </w:p>
    <w:p>
      <w:pPr>
        <w:spacing w:after="0" w:line="11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Our Board believes that a fundamental part of risk management is identifying and understanding the risks we face, monitoring these risks and adopting appropriate controls and strategies designed to mitigate such risks. We have a company-wide ERM program to identify, mitigate and monitor enterprise level risks that may affect our ability to achieve the company’s objectives. Our Board oversees an enterprise-wide approach to risk management, which is designed to support execution of our strategy and achievement of our objectives to improve long-term operational and financial performance, preserve our reputation and enhance stockholder value. Our Board and its committees review our risk framework and governance and oversee management’s exercise of its responsibility to assess, monitor and manage the company’s significant risk exposures.</w:t>
      </w:r>
    </w:p>
    <w:p>
      <w:pPr>
        <w:spacing w:after="0" w:line="74"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In determining the allocation of risk oversight responsibilities, our Board and its committees generally oversee material risks within their identified areas of responsibility. Our Board and each of its committees meet regularly with management to confirm that management is exercising its responsibility to identify relevant risks and is adequately assessing, monitoring and taking appropriate action to mitigate these risks. In the event a committee receives a report from members of management on areas of material risk to the company, the Chair of the relevant committee, assisted by management where appropriate, reports on the discussion to the full Board at the next Board meeting. This enables our Board and its committees to coordinate their oversight of risk and identify risk interdependencies.</w:t>
      </w:r>
    </w:p>
    <w:p>
      <w:pPr>
        <w:spacing w:after="0" w:line="74"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The ERM program is overseen by our Executive Committee, acting as the ERM Committee. On an ongoing basis, the ERM Committee evaluates the greatest risks to our business, their underlying risk drivers and the associated mitigation activities and controls. Annually, the ERM Committee provides our Board with a detailed review of the ERM program and key enterprise-level and emerging risks. Emerging risks that do not rise to the level of enterprise-level risk are assessed and actively managed and monitored by senior management.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the primary areas of risk oversight responsibility of our Board and each of its committees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6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  Board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 xml:space="preserve">  Committee          </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7"/>
          <w:szCs w:val="7"/>
          <w:color w:val="auto"/>
        </w:rPr>
        <w:t>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7"/>
          <w:szCs w:val="7"/>
          <w:color w:val="auto"/>
        </w:rPr>
        <w:t> </w:t>
      </w:r>
    </w:p>
    <w:p>
      <w:pPr>
        <w:ind w:left="200"/>
        <w:spacing w:after="0"/>
        <w:rPr>
          <w:sz w:val="20"/>
          <w:szCs w:val="20"/>
          <w:color w:val="auto"/>
        </w:rPr>
      </w:pPr>
      <w:r>
        <w:rPr>
          <w:rFonts w:ascii="Arial" w:cs="Arial" w:eastAsia="Arial" w:hAnsi="Arial"/>
          <w:sz w:val="16"/>
          <w:szCs w:val="16"/>
          <w:color w:val="auto"/>
        </w:rPr>
        <w:t>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1114425" cy="4718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4425" cy="47180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0" w:right="300"/>
        <w:spacing w:after="0" w:line="266" w:lineRule="auto"/>
        <w:rPr>
          <w:sz w:val="20"/>
          <w:szCs w:val="20"/>
          <w:color w:val="auto"/>
        </w:rPr>
      </w:pPr>
      <w:r>
        <w:rPr>
          <w:rFonts w:ascii="Arial" w:cs="Arial" w:eastAsia="Arial" w:hAnsi="Arial"/>
          <w:sz w:val="16"/>
          <w:szCs w:val="16"/>
          <w:color w:val="auto"/>
        </w:rPr>
        <w:t>Compensation and Management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1114425" cy="5911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4425" cy="591185"/>
                    </a:xfrm>
                    <a:prstGeom prst="rect">
                      <a:avLst/>
                    </a:prstGeom>
                    <a:noFill/>
                  </pic:spPr>
                </pic:pic>
              </a:graphicData>
            </a:graphic>
          </wp:anchor>
        </w:drawing>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1114425" cy="7112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4425" cy="71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FFFFFF"/>
        </w:rPr>
        <w:t>     Primary Area of Risk Oversight</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-48260</wp:posOffset>
            </wp:positionV>
            <wp:extent cx="6995160" cy="1062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062990"/>
                    </a:xfrm>
                    <a:prstGeom prst="rect">
                      <a:avLst/>
                    </a:prstGeom>
                    <a:noFill/>
                  </pic:spPr>
                </pic:pic>
              </a:graphicData>
            </a:graphic>
          </wp:anchor>
        </w:drawing>
      </w:r>
    </w:p>
    <w:p>
      <w:pPr>
        <w:ind w:left="268" w:right="660" w:hanging="268"/>
        <w:spacing w:after="0" w:line="246" w:lineRule="auto"/>
        <w:tabs>
          <w:tab w:leader="none" w:pos="268" w:val="left"/>
        </w:tabs>
        <w:numPr>
          <w:ilvl w:val="0"/>
          <w:numId w:val="65"/>
        </w:numPr>
        <w:rPr>
          <w:rFonts w:ascii="Arial" w:cs="Arial" w:eastAsia="Arial" w:hAnsi="Arial"/>
          <w:sz w:val="16"/>
          <w:szCs w:val="16"/>
          <w:color w:val="0075C9"/>
        </w:rPr>
      </w:pPr>
      <w:r>
        <w:rPr>
          <w:rFonts w:ascii="Arial" w:cs="Arial" w:eastAsia="Arial" w:hAnsi="Arial"/>
          <w:sz w:val="16"/>
          <w:szCs w:val="16"/>
          <w:color w:val="auto"/>
        </w:rPr>
        <w:t>Corporate and commercial strategy and execution, pricing and reimbursement, competition, reputational, corporate responsibility and other material risks</w:t>
      </w:r>
    </w:p>
    <w:p>
      <w:pPr>
        <w:ind w:left="268" w:hanging="268"/>
        <w:spacing w:after="0"/>
        <w:tabs>
          <w:tab w:leader="none" w:pos="268" w:val="left"/>
        </w:tabs>
        <w:numPr>
          <w:ilvl w:val="0"/>
          <w:numId w:val="65"/>
        </w:numPr>
        <w:rPr>
          <w:rFonts w:ascii="Arial" w:cs="Arial" w:eastAsia="Arial" w:hAnsi="Arial"/>
          <w:sz w:val="16"/>
          <w:szCs w:val="16"/>
          <w:color w:val="0075C9"/>
        </w:rPr>
      </w:pPr>
      <w:r>
        <w:rPr>
          <w:rFonts w:ascii="Arial" w:cs="Arial" w:eastAsia="Arial" w:hAnsi="Arial"/>
          <w:sz w:val="16"/>
          <w:szCs w:val="16"/>
          <w:color w:val="auto"/>
        </w:rPr>
        <w:t>Research and development activities, clinical development, drug safety and intellectual property</w:t>
      </w:r>
    </w:p>
    <w:p>
      <w:pPr>
        <w:spacing w:after="0" w:line="5" w:lineRule="exact"/>
        <w:rPr>
          <w:rFonts w:ascii="Arial" w:cs="Arial" w:eastAsia="Arial" w:hAnsi="Arial"/>
          <w:sz w:val="16"/>
          <w:szCs w:val="16"/>
          <w:color w:val="0075C9"/>
        </w:rPr>
      </w:pPr>
    </w:p>
    <w:p>
      <w:pPr>
        <w:ind w:left="268" w:hanging="268"/>
        <w:spacing w:after="0"/>
        <w:tabs>
          <w:tab w:leader="none" w:pos="268" w:val="left"/>
        </w:tabs>
        <w:numPr>
          <w:ilvl w:val="0"/>
          <w:numId w:val="65"/>
        </w:numPr>
        <w:rPr>
          <w:rFonts w:ascii="Arial" w:cs="Arial" w:eastAsia="Arial" w:hAnsi="Arial"/>
          <w:sz w:val="16"/>
          <w:szCs w:val="16"/>
          <w:color w:val="0075C9"/>
        </w:rPr>
      </w:pPr>
      <w:r>
        <w:rPr>
          <w:rFonts w:ascii="Arial" w:cs="Arial" w:eastAsia="Arial" w:hAnsi="Arial"/>
          <w:sz w:val="16"/>
          <w:szCs w:val="16"/>
          <w:color w:val="auto"/>
        </w:rPr>
        <w:t>Material government and other investigations and litigation</w:t>
      </w:r>
    </w:p>
    <w:p>
      <w:pPr>
        <w:spacing w:after="0" w:line="5" w:lineRule="exact"/>
        <w:rPr>
          <w:rFonts w:ascii="Arial" w:cs="Arial" w:eastAsia="Arial" w:hAnsi="Arial"/>
          <w:sz w:val="16"/>
          <w:szCs w:val="16"/>
          <w:color w:val="0075C9"/>
        </w:rPr>
      </w:pPr>
    </w:p>
    <w:p>
      <w:pPr>
        <w:ind w:left="268" w:right="260" w:hanging="268"/>
        <w:spacing w:after="0" w:line="246" w:lineRule="auto"/>
        <w:tabs>
          <w:tab w:leader="none" w:pos="268" w:val="left"/>
        </w:tabs>
        <w:numPr>
          <w:ilvl w:val="0"/>
          <w:numId w:val="65"/>
        </w:numPr>
        <w:rPr>
          <w:rFonts w:ascii="Arial" w:cs="Arial" w:eastAsia="Arial" w:hAnsi="Arial"/>
          <w:sz w:val="16"/>
          <w:szCs w:val="16"/>
          <w:color w:val="0075C9"/>
        </w:rPr>
      </w:pPr>
      <w:r>
        <w:rPr>
          <w:rFonts w:ascii="Arial" w:cs="Arial" w:eastAsia="Arial" w:hAnsi="Arial"/>
          <w:sz w:val="16"/>
          <w:szCs w:val="16"/>
          <w:color w:val="auto"/>
        </w:rPr>
        <w:t>Risk governance framework and infrastructure designed to identify, assess, manage and monitor the company’s material risks</w:t>
      </w:r>
    </w:p>
    <w:p>
      <w:pPr>
        <w:ind w:left="268" w:hanging="268"/>
        <w:spacing w:after="0"/>
        <w:tabs>
          <w:tab w:leader="none" w:pos="268" w:val="left"/>
        </w:tabs>
        <w:numPr>
          <w:ilvl w:val="0"/>
          <w:numId w:val="65"/>
        </w:numPr>
        <w:rPr>
          <w:rFonts w:ascii="Arial" w:cs="Arial" w:eastAsia="Arial" w:hAnsi="Arial"/>
          <w:sz w:val="16"/>
          <w:szCs w:val="16"/>
          <w:color w:val="0075C9"/>
        </w:rPr>
      </w:pPr>
      <w:r>
        <w:rPr>
          <w:rFonts w:ascii="Arial" w:cs="Arial" w:eastAsia="Arial" w:hAnsi="Arial"/>
          <w:sz w:val="16"/>
          <w:szCs w:val="16"/>
          <w:color w:val="auto"/>
        </w:rPr>
        <w:t>IT, AI, privacy and cybersecurity risks</w:t>
      </w:r>
    </w:p>
    <w:p>
      <w:pPr>
        <w:spacing w:after="0" w:line="5" w:lineRule="exact"/>
        <w:rPr>
          <w:rFonts w:ascii="Arial" w:cs="Arial" w:eastAsia="Arial" w:hAnsi="Arial"/>
          <w:sz w:val="16"/>
          <w:szCs w:val="16"/>
          <w:color w:val="0075C9"/>
        </w:rPr>
      </w:pPr>
    </w:p>
    <w:p>
      <w:pPr>
        <w:ind w:left="268" w:hanging="268"/>
        <w:spacing w:after="0"/>
        <w:tabs>
          <w:tab w:leader="none" w:pos="268" w:val="left"/>
        </w:tabs>
        <w:numPr>
          <w:ilvl w:val="0"/>
          <w:numId w:val="65"/>
        </w:numPr>
        <w:rPr>
          <w:rFonts w:ascii="Arial" w:cs="Arial" w:eastAsia="Arial" w:hAnsi="Arial"/>
          <w:sz w:val="16"/>
          <w:szCs w:val="16"/>
          <w:color w:val="0075C9"/>
        </w:rPr>
      </w:pPr>
      <w:r>
        <w:rPr>
          <w:rFonts w:ascii="Arial" w:cs="Arial" w:eastAsia="Arial" w:hAnsi="Arial"/>
          <w:sz w:val="16"/>
          <w:szCs w:val="16"/>
          <w:color w:val="auto"/>
        </w:rPr>
        <w:t>Risk management policies, guidelines and practices implemented by company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53340</wp:posOffset>
            </wp:positionV>
            <wp:extent cx="58807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74" w:lineRule="exact"/>
        <w:rPr>
          <w:sz w:val="20"/>
          <w:szCs w:val="20"/>
          <w:color w:val="auto"/>
        </w:rPr>
      </w:pPr>
    </w:p>
    <w:p>
      <w:pPr>
        <w:ind w:left="8"/>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-48260</wp:posOffset>
            </wp:positionV>
            <wp:extent cx="5880735" cy="4629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80735" cy="462915"/>
                    </a:xfrm>
                    <a:prstGeom prst="rect">
                      <a:avLst/>
                    </a:prstGeom>
                    <a:noFill/>
                  </pic:spPr>
                </pic:pic>
              </a:graphicData>
            </a:graphic>
          </wp:anchor>
        </w:drawing>
      </w:r>
    </w:p>
    <w:p>
      <w:pPr>
        <w:ind w:left="268" w:right="340" w:hanging="268"/>
        <w:spacing w:after="0" w:line="256" w:lineRule="auto"/>
        <w:tabs>
          <w:tab w:leader="none" w:pos="268" w:val="left"/>
        </w:tabs>
        <w:numPr>
          <w:ilvl w:val="0"/>
          <w:numId w:val="66"/>
        </w:numPr>
        <w:rPr>
          <w:rFonts w:ascii="Arial" w:cs="Arial" w:eastAsia="Arial" w:hAnsi="Arial"/>
          <w:sz w:val="16"/>
          <w:szCs w:val="16"/>
          <w:color w:val="0075C9"/>
        </w:rPr>
      </w:pPr>
      <w:r>
        <w:rPr>
          <w:rFonts w:ascii="Arial" w:cs="Arial" w:eastAsia="Arial" w:hAnsi="Arial"/>
          <w:sz w:val="16"/>
          <w:szCs w:val="16"/>
          <w:color w:val="auto"/>
        </w:rPr>
        <w:t>Financial, accounting, disclosure, corporate compliance, distributors, insurance, capital, credit, anti-bribery and anti-corruption matters, supply chain, and other risks reviewed in its oversight of the internal audit and corporate compliance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36195</wp:posOffset>
            </wp:positionV>
            <wp:extent cx="58807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47" w:lineRule="exact"/>
        <w:rPr>
          <w:sz w:val="20"/>
          <w:szCs w:val="20"/>
          <w:color w:val="auto"/>
        </w:rPr>
      </w:pPr>
    </w:p>
    <w:p>
      <w:pPr>
        <w:ind w:left="8"/>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-48260</wp:posOffset>
            </wp:positionV>
            <wp:extent cx="5880735" cy="5829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80735" cy="582930"/>
                    </a:xfrm>
                    <a:prstGeom prst="rect">
                      <a:avLst/>
                    </a:prstGeom>
                    <a:noFill/>
                  </pic:spPr>
                </pic:pic>
              </a:graphicData>
            </a:graphic>
          </wp:anchor>
        </w:drawing>
      </w:r>
    </w:p>
    <w:p>
      <w:pPr>
        <w:ind w:left="268" w:hanging="268"/>
        <w:spacing w:after="0"/>
        <w:tabs>
          <w:tab w:leader="none" w:pos="268" w:val="left"/>
        </w:tabs>
        <w:numPr>
          <w:ilvl w:val="0"/>
          <w:numId w:val="67"/>
        </w:numPr>
        <w:rPr>
          <w:rFonts w:ascii="Arial" w:cs="Arial" w:eastAsia="Arial" w:hAnsi="Arial"/>
          <w:sz w:val="16"/>
          <w:szCs w:val="16"/>
          <w:color w:val="0075C9"/>
        </w:rPr>
      </w:pPr>
      <w:r>
        <w:rPr>
          <w:rFonts w:ascii="Arial" w:cs="Arial" w:eastAsia="Arial" w:hAnsi="Arial"/>
          <w:sz w:val="16"/>
          <w:szCs w:val="16"/>
          <w:color w:val="auto"/>
        </w:rPr>
        <w:t>Workforce matters, including harassment and retaliation</w:t>
      </w:r>
    </w:p>
    <w:p>
      <w:pPr>
        <w:spacing w:after="0" w:line="5" w:lineRule="exact"/>
        <w:rPr>
          <w:rFonts w:ascii="Arial" w:cs="Arial" w:eastAsia="Arial" w:hAnsi="Arial"/>
          <w:sz w:val="16"/>
          <w:szCs w:val="16"/>
          <w:color w:val="0075C9"/>
        </w:rPr>
      </w:pPr>
    </w:p>
    <w:p>
      <w:pPr>
        <w:ind w:left="268" w:right="180" w:hanging="268"/>
        <w:spacing w:after="0" w:line="246" w:lineRule="auto"/>
        <w:tabs>
          <w:tab w:leader="none" w:pos="268" w:val="left"/>
        </w:tabs>
        <w:numPr>
          <w:ilvl w:val="0"/>
          <w:numId w:val="67"/>
        </w:numPr>
        <w:rPr>
          <w:rFonts w:ascii="Arial" w:cs="Arial" w:eastAsia="Arial" w:hAnsi="Arial"/>
          <w:sz w:val="16"/>
          <w:szCs w:val="16"/>
          <w:color w:val="0075C9"/>
        </w:rPr>
      </w:pPr>
      <w:r>
        <w:rPr>
          <w:rFonts w:ascii="Arial" w:cs="Arial" w:eastAsia="Arial" w:hAnsi="Arial"/>
          <w:sz w:val="16"/>
          <w:szCs w:val="16"/>
          <w:color w:val="auto"/>
        </w:rPr>
        <w:t>Compensation policies and practices, including whether such policies and practices balance risk-taking and rewards in an appropriate manner as discussed further below</w:t>
      </w:r>
    </w:p>
    <w:p>
      <w:pPr>
        <w:ind w:left="268" w:hanging="268"/>
        <w:spacing w:after="0"/>
        <w:tabs>
          <w:tab w:leader="none" w:pos="268" w:val="left"/>
        </w:tabs>
        <w:numPr>
          <w:ilvl w:val="0"/>
          <w:numId w:val="67"/>
        </w:numPr>
        <w:rPr>
          <w:rFonts w:ascii="Arial" w:cs="Arial" w:eastAsia="Arial" w:hAnsi="Arial"/>
          <w:sz w:val="16"/>
          <w:szCs w:val="16"/>
          <w:color w:val="0075C9"/>
        </w:rPr>
      </w:pPr>
      <w:r>
        <w:rPr>
          <w:rFonts w:ascii="Arial" w:cs="Arial" w:eastAsia="Arial" w:hAnsi="Arial"/>
          <w:sz w:val="16"/>
          <w:szCs w:val="16"/>
          <w:color w:val="auto"/>
        </w:rPr>
        <w:t>Leadership succession planning for key management roles, including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53340</wp:posOffset>
            </wp:positionV>
            <wp:extent cx="58807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74" w:lineRule="exact"/>
        <w:rPr>
          <w:sz w:val="20"/>
          <w:szCs w:val="20"/>
          <w:color w:val="auto"/>
        </w:rPr>
      </w:pPr>
    </w:p>
    <w:p>
      <w:pPr>
        <w:ind w:left="8"/>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-48260</wp:posOffset>
            </wp:positionV>
            <wp:extent cx="5880735" cy="7029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80735" cy="702945"/>
                    </a:xfrm>
                    <a:prstGeom prst="rect">
                      <a:avLst/>
                    </a:prstGeom>
                    <a:noFill/>
                  </pic:spPr>
                </pic:pic>
              </a:graphicData>
            </a:graphic>
          </wp:anchor>
        </w:drawing>
      </w:r>
    </w:p>
    <w:p>
      <w:pPr>
        <w:ind w:left="268" w:hanging="268"/>
        <w:spacing w:after="0"/>
        <w:tabs>
          <w:tab w:leader="none" w:pos="268" w:val="left"/>
        </w:tabs>
        <w:numPr>
          <w:ilvl w:val="0"/>
          <w:numId w:val="68"/>
        </w:numPr>
        <w:rPr>
          <w:rFonts w:ascii="Arial" w:cs="Arial" w:eastAsia="Arial" w:hAnsi="Arial"/>
          <w:sz w:val="16"/>
          <w:szCs w:val="16"/>
          <w:color w:val="0075C9"/>
        </w:rPr>
      </w:pPr>
      <w:r>
        <w:rPr>
          <w:rFonts w:ascii="Arial" w:cs="Arial" w:eastAsia="Arial" w:hAnsi="Arial"/>
          <w:sz w:val="16"/>
          <w:szCs w:val="16"/>
          <w:color w:val="auto"/>
        </w:rPr>
        <w:t>Together with the Board, oversees corporate governance</w:t>
      </w:r>
    </w:p>
    <w:p>
      <w:pPr>
        <w:spacing w:after="0" w:line="5" w:lineRule="exact"/>
        <w:rPr>
          <w:rFonts w:ascii="Arial" w:cs="Arial" w:eastAsia="Arial" w:hAnsi="Arial"/>
          <w:sz w:val="16"/>
          <w:szCs w:val="16"/>
          <w:color w:val="0075C9"/>
        </w:rPr>
      </w:pPr>
    </w:p>
    <w:p>
      <w:pPr>
        <w:ind w:left="268" w:hanging="268"/>
        <w:spacing w:after="0"/>
        <w:tabs>
          <w:tab w:leader="none" w:pos="268" w:val="left"/>
        </w:tabs>
        <w:numPr>
          <w:ilvl w:val="0"/>
          <w:numId w:val="68"/>
        </w:numPr>
        <w:rPr>
          <w:rFonts w:ascii="Arial" w:cs="Arial" w:eastAsia="Arial" w:hAnsi="Arial"/>
          <w:sz w:val="16"/>
          <w:szCs w:val="16"/>
          <w:color w:val="0075C9"/>
        </w:rPr>
      </w:pPr>
      <w:r>
        <w:rPr>
          <w:rFonts w:ascii="Arial" w:cs="Arial" w:eastAsia="Arial" w:hAnsi="Arial"/>
          <w:sz w:val="16"/>
          <w:szCs w:val="16"/>
          <w:color w:val="auto"/>
        </w:rPr>
        <w:t>Board and Committee succession/refreshment</w:t>
      </w:r>
    </w:p>
    <w:p>
      <w:pPr>
        <w:spacing w:after="0" w:line="5" w:lineRule="exact"/>
        <w:rPr>
          <w:rFonts w:ascii="Arial" w:cs="Arial" w:eastAsia="Arial" w:hAnsi="Arial"/>
          <w:sz w:val="16"/>
          <w:szCs w:val="16"/>
          <w:color w:val="0075C9"/>
        </w:rPr>
      </w:pPr>
    </w:p>
    <w:p>
      <w:pPr>
        <w:ind w:left="268" w:hanging="268"/>
        <w:spacing w:after="0"/>
        <w:tabs>
          <w:tab w:leader="none" w:pos="268" w:val="left"/>
        </w:tabs>
        <w:numPr>
          <w:ilvl w:val="0"/>
          <w:numId w:val="68"/>
        </w:numPr>
        <w:rPr>
          <w:rFonts w:ascii="Arial" w:cs="Arial" w:eastAsia="Arial" w:hAnsi="Arial"/>
          <w:sz w:val="16"/>
          <w:szCs w:val="16"/>
          <w:color w:val="0075C9"/>
        </w:rPr>
      </w:pPr>
      <w:r>
        <w:rPr>
          <w:rFonts w:ascii="Arial" w:cs="Arial" w:eastAsia="Arial" w:hAnsi="Arial"/>
          <w:sz w:val="16"/>
          <w:szCs w:val="16"/>
          <w:color w:val="auto"/>
        </w:rPr>
        <w:t>Compliance with our Corporate Governance Principles and Code of Business Conduct</w:t>
      </w:r>
    </w:p>
    <w:p>
      <w:pPr>
        <w:spacing w:after="0" w:line="5" w:lineRule="exact"/>
        <w:rPr>
          <w:rFonts w:ascii="Arial" w:cs="Arial" w:eastAsia="Arial" w:hAnsi="Arial"/>
          <w:sz w:val="16"/>
          <w:szCs w:val="16"/>
          <w:color w:val="0075C9"/>
        </w:rPr>
      </w:pPr>
    </w:p>
    <w:p>
      <w:pPr>
        <w:ind w:left="268" w:right="280" w:hanging="268"/>
        <w:spacing w:after="0" w:line="265" w:lineRule="auto"/>
        <w:tabs>
          <w:tab w:leader="none" w:pos="268" w:val="left"/>
        </w:tabs>
        <w:numPr>
          <w:ilvl w:val="0"/>
          <w:numId w:val="68"/>
        </w:numPr>
        <w:rPr>
          <w:rFonts w:ascii="Arial" w:cs="Arial" w:eastAsia="Arial" w:hAnsi="Arial"/>
          <w:sz w:val="16"/>
          <w:szCs w:val="16"/>
          <w:color w:val="0075C9"/>
        </w:rPr>
      </w:pPr>
      <w:r>
        <w:rPr>
          <w:rFonts w:ascii="Arial" w:cs="Arial" w:eastAsia="Arial" w:hAnsi="Arial"/>
          <w:sz w:val="16"/>
          <w:szCs w:val="16"/>
          <w:color w:val="auto"/>
        </w:rPr>
        <w:t>Director independence, lobbying activities, potential conflicts of interest and related party transactions involving directors and executive officers</w:t>
      </w:r>
    </w:p>
    <w:p>
      <w:pPr>
        <w:spacing w:after="0" w:line="200" w:lineRule="exact"/>
        <w:rPr>
          <w:sz w:val="20"/>
          <w:szCs w:val="20"/>
          <w:color w:val="auto"/>
        </w:rPr>
      </w:pPr>
    </w:p>
    <w:p>
      <w:pPr>
        <w:sectPr>
          <w:pgSz w:w="11900" w:h="16838" w:orient="portrait"/>
          <w:cols w:equalWidth="0" w:num="2">
            <w:col w:w="1860" w:space="132"/>
            <w:col w:w="9148"/>
          </w:cols>
          <w:pgMar w:left="320" w:top="482" w:right="439" w:bottom="1440" w:gutter="0" w:footer="0" w:header="0"/>
          <w:type w:val="continuous"/>
        </w:sectPr>
      </w:pPr>
    </w:p>
    <w:p>
      <w:pPr>
        <w:spacing w:after="0" w:line="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Compensation Risk Assessment</w:t>
      </w:r>
    </w:p>
    <w:p>
      <w:pPr>
        <w:spacing w:after="0" w:line="112"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The Compensation Discussion and Analysis section of this Proxy Statement describes the compensation policies, programs and practices that apply to our executive officers (which we define as all employees at the level of Vice President and above), including our NEOs listed on page 35. Our goal setting, performance assessment and compensation decision-making processes described in the CD&amp;A generally apply to all employees. Our executive compensation comprises three components: salary, an STI program and an LTI program. Our STI program for 2025 had the same company performance goals, payout levels (as a percentage of target) and administrative provisions for all participants globally, regardless of the participant’s job level, location or function in the company. Additionally, our LTI program provides different forms of awards based upon an employee’s level but is otherwise consistent throughout the company.</w:t>
      </w:r>
    </w:p>
    <w:p>
      <w:pPr>
        <w:spacing w:after="0" w:line="128" w:lineRule="exact"/>
        <w:rPr>
          <w:sz w:val="20"/>
          <w:szCs w:val="20"/>
          <w:color w:val="auto"/>
        </w:rPr>
      </w:pPr>
    </w:p>
    <w:p>
      <w:pPr>
        <w:jc w:val="right"/>
        <w:ind w:right="40"/>
        <w:spacing w:after="0"/>
        <w:rPr>
          <w:sz w:val="20"/>
          <w:szCs w:val="20"/>
          <w:color w:val="auto"/>
        </w:rPr>
      </w:pPr>
      <w:r>
        <w:rPr>
          <w:sz w:val="1"/>
          <w:szCs w:val="1"/>
          <w:color w:val="auto"/>
        </w:rPr>
        <w:drawing>
          <wp:inline distT="0" distB="0" distL="0" distR="0">
            <wp:extent cx="419735" cy="1371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8"/>
          <w:szCs w:val="18"/>
          <w:color w:val="0075C9"/>
        </w:rPr>
        <w:t xml:space="preserve">   2026 Proxy Statement   </w:t>
      </w:r>
      <w:r>
        <w:rPr>
          <w:rFonts w:ascii="Arial" w:cs="Arial" w:eastAsia="Arial" w:hAnsi="Arial"/>
          <w:sz w:val="16"/>
          <w:szCs w:val="16"/>
          <w:color w:val="0075C9"/>
        </w:rPr>
        <w:t>-17-</w:t>
      </w:r>
    </w:p>
    <w:p>
      <w:pPr>
        <w:sectPr>
          <w:pgSz w:w="11900" w:h="16838" w:orient="portrait"/>
          <w:cols w:equalWidth="0" w:num="1">
            <w:col w:w="11140"/>
          </w:cols>
          <w:pgMar w:left="320" w:top="482"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120"/>
        <w:spacing w:after="0"/>
        <w:rPr>
          <w:sz w:val="20"/>
          <w:szCs w:val="20"/>
          <w:color w:val="auto"/>
        </w:rPr>
      </w:pPr>
      <w:r>
        <w:rPr>
          <w:rFonts w:ascii="Arial" w:cs="Arial" w:eastAsia="Arial" w:hAnsi="Arial"/>
          <w:sz w:val="19"/>
          <w:szCs w:val="19"/>
          <w:color w:val="0075C9"/>
        </w:rPr>
        <w:t>Corporate Governance</w:t>
      </w:r>
    </w:p>
    <w:p>
      <w:pPr>
        <w:spacing w:after="0" w:line="154"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In the CD&amp;A, we describe the risk-mitigation controls that govern our executive compensation programs. These controls include our CMDC’s review and approval of the design, goals and payouts under our STI and LTI programs and each NEO’s compensation (or, in the case of our CEO’s compensation, a recommendation of that compensation to our Board for its approval).</w:t>
      </w:r>
    </w:p>
    <w:p>
      <w:pPr>
        <w:spacing w:after="0" w:line="63"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6"/>
          <w:szCs w:val="16"/>
          <w:color w:val="auto"/>
        </w:rPr>
        <w:t>Our CMDC, working with an independent compensation consultant, also conducts an annual assessment of potential risks related to our compensation policies and practices. Among other factors, this risk assessment considers the form of compensation (i.e., award type, fixed versus variable and short-term versus long-term), pay alignment, performance measures and goals, payout maximums, vesting periods and CMDC oversight and independence.</w:t>
      </w:r>
    </w:p>
    <w:p>
      <w:pPr>
        <w:spacing w:after="0" w:line="1"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This assessment is focused on (1) having an appropriate balance in our program structure to mitigate compensation-related risk with cash versus equity-based compensation, short-term versus long-term measurement and financial versus non-financial goals; and (2) policies and practices to mitigate compensation-related risk including recoupment of compensation, stock ownership guidelines, equity administration rules and insider trading and hedging prohibitions.</w:t>
      </w:r>
    </w:p>
    <w:p>
      <w:pPr>
        <w:spacing w:after="0" w:line="75"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Based on our assessment, we believe that, through a combination of risk-mitigating features and incentives guided by relevant market practices and company-wide goals, our compensation policies, programs and practices do not create risks that are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Director Compensation</w:t>
      </w:r>
    </w:p>
    <w:p>
      <w:pPr>
        <w:spacing w:after="0" w:line="112"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This section describes our compensation program for our non-employee directors and shows the compensation granted or paid to or earned by our non-employee directors during 2025. Mr. Viehbacher, our President and CEO, did not receive any additional compensation for his service on our Board.</w:t>
      </w:r>
    </w:p>
    <w:p>
      <w:pPr>
        <w:spacing w:after="0" w:line="48"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Our CMDC has the authority to evaluate and make recommendations to our Board regarding non-employee director compensation which includes an annual cash retainer, additional cash retainer for committee service and equity award grant. The cash retainers and equity awards are approved by our Board, with the Chair abstaining from voting on the Chair’s equity award.</w:t>
      </w:r>
    </w:p>
    <w:p>
      <w:pPr>
        <w:spacing w:after="0" w:line="63"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Our CMDC periodically reviews our non-employee director compensation practices against the practices of an appropriate peer group and our CMDC has the authority to retain consultants to advise on non-employee director compensation matters, including in support of our CMDC’s periodic review of non-employee director compensation practices. No executive officer has any role in determining or recommending the form or amount of non-employee director compensation.</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Retainers and Expenses</w:t>
      </w:r>
    </w:p>
    <w:p>
      <w:pPr>
        <w:spacing w:after="0" w:line="108"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following table presents the annual cash retainers, paid in four equal quarterly installments, for all non-employee directors in effect in 2025, which did not change from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248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  Retainers</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9180" w:type="dxa"/>
            <w:vAlign w:val="bottom"/>
            <w:tcBorders>
              <w:top w:val="single" w:sz="8" w:color="auto"/>
            </w:tcBorders>
            <w:shd w:val="clear" w:color="auto" w:fill="E5F1F9"/>
          </w:tcPr>
          <w:p>
            <w:pPr>
              <w:spacing w:after="0"/>
              <w:rPr>
                <w:sz w:val="20"/>
                <w:szCs w:val="20"/>
                <w:color w:val="auto"/>
              </w:rPr>
            </w:pPr>
            <w:r>
              <w:rPr>
                <w:rFonts w:ascii="Arial" w:cs="Arial" w:eastAsia="Arial" w:hAnsi="Arial"/>
                <w:sz w:val="16"/>
                <w:szCs w:val="16"/>
                <w:color w:val="auto"/>
              </w:rPr>
              <w:t>Annual Board Retainer</w:t>
            </w:r>
          </w:p>
        </w:tc>
        <w:tc>
          <w:tcPr>
            <w:tcW w:w="260" w:type="dxa"/>
            <w:vAlign w:val="bottom"/>
            <w:tcBorders>
              <w:top w:val="single" w:sz="8" w:color="auto"/>
            </w:tcBorders>
            <w:shd w:val="clear" w:color="auto" w:fill="E5F1F9"/>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E5F1F9"/>
          </w:tcPr>
          <w:p>
            <w:pPr>
              <w:jc w:val="right"/>
              <w:spacing w:after="0"/>
              <w:rPr>
                <w:sz w:val="20"/>
                <w:szCs w:val="20"/>
                <w:color w:val="auto"/>
              </w:rPr>
            </w:pPr>
            <w:r>
              <w:rPr>
                <w:rFonts w:ascii="Arial" w:cs="Arial" w:eastAsia="Arial" w:hAnsi="Arial"/>
                <w:sz w:val="16"/>
                <w:szCs w:val="16"/>
                <w:color w:val="auto"/>
              </w:rPr>
              <w:t>125,000</w:t>
            </w:r>
          </w:p>
        </w:tc>
        <w:tc>
          <w:tcPr>
            <w:tcW w:w="960" w:type="dxa"/>
            <w:vAlign w:val="bottom"/>
            <w:tcBorders>
              <w:top w:val="single" w:sz="8" w:color="auto"/>
            </w:tcBorders>
            <w:shd w:val="clear" w:color="auto" w:fill="E5F1F9"/>
          </w:tcPr>
          <w:p>
            <w:pPr>
              <w:spacing w:after="0"/>
              <w:rPr>
                <w:sz w:val="20"/>
                <w:szCs w:val="20"/>
                <w:color w:val="auto"/>
              </w:rPr>
            </w:pPr>
            <w:r>
              <w:rPr>
                <w:rFonts w:ascii="Arial" w:cs="Arial" w:eastAsia="Arial" w:hAnsi="Arial"/>
                <w:sz w:val="18"/>
                <w:szCs w:val="18"/>
                <w:color w:val="auto"/>
              </w:rPr>
              <w:t xml:space="preserve">              </w:t>
            </w:r>
          </w:p>
        </w:tc>
      </w:tr>
      <w:tr>
        <w:trPr>
          <w:trHeight w:val="268"/>
        </w:trPr>
        <w:tc>
          <w:tcPr>
            <w:tcW w:w="9180" w:type="dxa"/>
            <w:vAlign w:val="bottom"/>
            <w:shd w:val="clear" w:color="auto" w:fill="E5F1F9"/>
          </w:tcPr>
          <w:p>
            <w:pPr>
              <w:spacing w:after="0"/>
              <w:rPr>
                <w:sz w:val="20"/>
                <w:szCs w:val="20"/>
                <w:color w:val="auto"/>
              </w:rPr>
            </w:pPr>
            <w:r>
              <w:rPr>
                <w:rFonts w:ascii="Arial" w:cs="Arial" w:eastAsia="Arial" w:hAnsi="Arial"/>
                <w:sz w:val="16"/>
                <w:szCs w:val="16"/>
                <w:color w:val="auto"/>
              </w:rPr>
              <w:t>Annual Retainers (in addition to Annual Board Retainer):</w:t>
            </w:r>
          </w:p>
        </w:tc>
        <w:tc>
          <w:tcPr>
            <w:tcW w:w="260" w:type="dxa"/>
            <w:vAlign w:val="bottom"/>
            <w:shd w:val="clear" w:color="auto" w:fill="E5F1F9"/>
          </w:tcPr>
          <w:p>
            <w:pPr>
              <w:spacing w:after="0"/>
              <w:rPr>
                <w:sz w:val="23"/>
                <w:szCs w:val="23"/>
                <w:color w:val="auto"/>
              </w:rPr>
            </w:pPr>
          </w:p>
        </w:tc>
        <w:tc>
          <w:tcPr>
            <w:tcW w:w="620" w:type="dxa"/>
            <w:vAlign w:val="bottom"/>
            <w:shd w:val="clear" w:color="auto" w:fill="E5F1F9"/>
          </w:tcPr>
          <w:p>
            <w:pPr>
              <w:spacing w:after="0"/>
              <w:rPr>
                <w:sz w:val="23"/>
                <w:szCs w:val="23"/>
                <w:color w:val="auto"/>
              </w:rPr>
            </w:pPr>
          </w:p>
        </w:tc>
        <w:tc>
          <w:tcPr>
            <w:tcW w:w="960" w:type="dxa"/>
            <w:vAlign w:val="bottom"/>
            <w:shd w:val="clear" w:color="auto" w:fill="E5F1F9"/>
          </w:tcPr>
          <w:p>
            <w:pPr>
              <w:spacing w:after="0"/>
              <w:rPr>
                <w:sz w:val="23"/>
                <w:szCs w:val="23"/>
                <w:color w:val="auto"/>
              </w:rPr>
            </w:pPr>
          </w:p>
        </w:tc>
      </w:tr>
      <w:tr>
        <w:trPr>
          <w:trHeight w:val="258"/>
        </w:trPr>
        <w:tc>
          <w:tcPr>
            <w:tcW w:w="9180" w:type="dxa"/>
            <w:vAlign w:val="bottom"/>
            <w:shd w:val="clear" w:color="auto" w:fill="E5F1F9"/>
          </w:tcPr>
          <w:p>
            <w:pPr>
              <w:ind w:left="560"/>
              <w:spacing w:after="0"/>
              <w:rPr>
                <w:sz w:val="20"/>
                <w:szCs w:val="20"/>
                <w:color w:val="auto"/>
              </w:rPr>
            </w:pPr>
            <w:r>
              <w:rPr>
                <w:rFonts w:ascii="Arial" w:cs="Arial" w:eastAsia="Arial" w:hAnsi="Arial"/>
                <w:sz w:val="16"/>
                <w:szCs w:val="16"/>
                <w:color w:val="auto"/>
              </w:rPr>
              <w:t>Chair of the Board</w:t>
            </w:r>
          </w:p>
        </w:tc>
        <w:tc>
          <w:tcPr>
            <w:tcW w:w="260" w:type="dxa"/>
            <w:vAlign w:val="bottom"/>
            <w:shd w:val="clear" w:color="auto" w:fill="E5F1F9"/>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1F9"/>
          </w:tcPr>
          <w:p>
            <w:pPr>
              <w:jc w:val="right"/>
              <w:spacing w:after="0"/>
              <w:rPr>
                <w:sz w:val="20"/>
                <w:szCs w:val="20"/>
                <w:color w:val="auto"/>
              </w:rPr>
            </w:pPr>
            <w:r>
              <w:rPr>
                <w:rFonts w:ascii="Arial" w:cs="Arial" w:eastAsia="Arial" w:hAnsi="Arial"/>
                <w:sz w:val="16"/>
                <w:szCs w:val="16"/>
                <w:color w:val="auto"/>
              </w:rPr>
              <w:t>75,000</w:t>
            </w:r>
          </w:p>
        </w:tc>
        <w:tc>
          <w:tcPr>
            <w:tcW w:w="960" w:type="dxa"/>
            <w:vAlign w:val="bottom"/>
            <w:shd w:val="clear" w:color="auto" w:fill="E5F1F9"/>
          </w:tcPr>
          <w:p>
            <w:pPr>
              <w:spacing w:after="0"/>
              <w:rPr>
                <w:sz w:val="22"/>
                <w:szCs w:val="22"/>
                <w:color w:val="auto"/>
              </w:rPr>
            </w:pPr>
          </w:p>
        </w:tc>
      </w:tr>
      <w:tr>
        <w:trPr>
          <w:trHeight w:val="257"/>
        </w:trPr>
        <w:tc>
          <w:tcPr>
            <w:tcW w:w="9180" w:type="dxa"/>
            <w:vAlign w:val="bottom"/>
            <w:shd w:val="clear" w:color="auto" w:fill="E5F1F9"/>
          </w:tcPr>
          <w:p>
            <w:pPr>
              <w:ind w:left="560"/>
              <w:spacing w:after="0"/>
              <w:rPr>
                <w:sz w:val="20"/>
                <w:szCs w:val="20"/>
                <w:color w:val="auto"/>
              </w:rPr>
            </w:pPr>
            <w:r>
              <w:rPr>
                <w:rFonts w:ascii="Arial" w:cs="Arial" w:eastAsia="Arial" w:hAnsi="Arial"/>
                <w:sz w:val="16"/>
                <w:szCs w:val="16"/>
                <w:color w:val="auto"/>
              </w:rPr>
              <w:t>Audit Committee, CGC and CMDC Chair</w:t>
            </w:r>
          </w:p>
        </w:tc>
        <w:tc>
          <w:tcPr>
            <w:tcW w:w="260" w:type="dxa"/>
            <w:vAlign w:val="bottom"/>
            <w:shd w:val="clear" w:color="auto" w:fill="E5F1F9"/>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1F9"/>
          </w:tcPr>
          <w:p>
            <w:pPr>
              <w:jc w:val="right"/>
              <w:spacing w:after="0"/>
              <w:rPr>
                <w:sz w:val="20"/>
                <w:szCs w:val="20"/>
                <w:color w:val="auto"/>
              </w:rPr>
            </w:pPr>
            <w:r>
              <w:rPr>
                <w:rFonts w:ascii="Arial" w:cs="Arial" w:eastAsia="Arial" w:hAnsi="Arial"/>
                <w:sz w:val="16"/>
                <w:szCs w:val="16"/>
                <w:color w:val="auto"/>
              </w:rPr>
              <w:t>30,000</w:t>
            </w:r>
          </w:p>
        </w:tc>
        <w:tc>
          <w:tcPr>
            <w:tcW w:w="960" w:type="dxa"/>
            <w:vAlign w:val="bottom"/>
            <w:shd w:val="clear" w:color="auto" w:fill="E5F1F9"/>
          </w:tcPr>
          <w:p>
            <w:pPr>
              <w:spacing w:after="0"/>
              <w:rPr>
                <w:sz w:val="22"/>
                <w:szCs w:val="22"/>
                <w:color w:val="auto"/>
              </w:rPr>
            </w:pPr>
          </w:p>
        </w:tc>
      </w:tr>
      <w:tr>
        <w:trPr>
          <w:trHeight w:val="268"/>
        </w:trPr>
        <w:tc>
          <w:tcPr>
            <w:tcW w:w="9180" w:type="dxa"/>
            <w:vAlign w:val="bottom"/>
            <w:shd w:val="clear" w:color="auto" w:fill="E5F1F9"/>
          </w:tcPr>
          <w:p>
            <w:pPr>
              <w:ind w:left="560"/>
              <w:spacing w:after="0"/>
              <w:rPr>
                <w:sz w:val="20"/>
                <w:szCs w:val="20"/>
                <w:color w:val="auto"/>
              </w:rPr>
            </w:pPr>
            <w:r>
              <w:rPr>
                <w:rFonts w:ascii="Arial" w:cs="Arial" w:eastAsia="Arial" w:hAnsi="Arial"/>
                <w:sz w:val="16"/>
                <w:szCs w:val="16"/>
                <w:color w:val="auto"/>
              </w:rPr>
              <w:t>Audit Committee, CGC and CMDC Members (other than Chair)</w:t>
            </w:r>
          </w:p>
        </w:tc>
        <w:tc>
          <w:tcPr>
            <w:tcW w:w="260" w:type="dxa"/>
            <w:vAlign w:val="bottom"/>
            <w:shd w:val="clear" w:color="auto" w:fill="E5F1F9"/>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5F1F9"/>
          </w:tcPr>
          <w:p>
            <w:pPr>
              <w:jc w:val="right"/>
              <w:spacing w:after="0"/>
              <w:rPr>
                <w:sz w:val="20"/>
                <w:szCs w:val="20"/>
                <w:color w:val="auto"/>
              </w:rPr>
            </w:pPr>
            <w:r>
              <w:rPr>
                <w:rFonts w:ascii="Arial" w:cs="Arial" w:eastAsia="Arial" w:hAnsi="Arial"/>
                <w:sz w:val="16"/>
                <w:szCs w:val="16"/>
                <w:color w:val="auto"/>
              </w:rPr>
              <w:t>15,000</w:t>
            </w:r>
          </w:p>
        </w:tc>
        <w:tc>
          <w:tcPr>
            <w:tcW w:w="960" w:type="dxa"/>
            <w:vAlign w:val="bottom"/>
            <w:shd w:val="clear" w:color="auto" w:fill="E5F1F9"/>
          </w:tcPr>
          <w:p>
            <w:pPr>
              <w:spacing w:after="0"/>
              <w:rPr>
                <w:sz w:val="23"/>
                <w:szCs w:val="23"/>
                <w:color w:val="auto"/>
              </w:rPr>
            </w:pPr>
          </w:p>
        </w:tc>
      </w:tr>
      <w:tr>
        <w:trPr>
          <w:trHeight w:val="83"/>
        </w:trPr>
        <w:tc>
          <w:tcPr>
            <w:tcW w:w="9180" w:type="dxa"/>
            <w:vAlign w:val="bottom"/>
            <w:shd w:val="clear" w:color="auto" w:fill="E5F1F9"/>
          </w:tcPr>
          <w:p>
            <w:pPr>
              <w:spacing w:after="0"/>
              <w:rPr>
                <w:sz w:val="7"/>
                <w:szCs w:val="7"/>
                <w:color w:val="auto"/>
              </w:rPr>
            </w:pPr>
          </w:p>
        </w:tc>
        <w:tc>
          <w:tcPr>
            <w:tcW w:w="260" w:type="dxa"/>
            <w:vAlign w:val="bottom"/>
            <w:shd w:val="clear" w:color="auto" w:fill="E5F1F9"/>
          </w:tcPr>
          <w:p>
            <w:pPr>
              <w:spacing w:after="0"/>
              <w:rPr>
                <w:sz w:val="7"/>
                <w:szCs w:val="7"/>
                <w:color w:val="auto"/>
              </w:rPr>
            </w:pPr>
          </w:p>
        </w:tc>
        <w:tc>
          <w:tcPr>
            <w:tcW w:w="620" w:type="dxa"/>
            <w:vAlign w:val="bottom"/>
            <w:shd w:val="clear" w:color="auto" w:fill="E5F1F9"/>
          </w:tcPr>
          <w:p>
            <w:pPr>
              <w:spacing w:after="0"/>
              <w:rPr>
                <w:sz w:val="7"/>
                <w:szCs w:val="7"/>
                <w:color w:val="auto"/>
              </w:rPr>
            </w:pPr>
          </w:p>
        </w:tc>
        <w:tc>
          <w:tcPr>
            <w:tcW w:w="960" w:type="dxa"/>
            <w:vAlign w:val="bottom"/>
            <w:shd w:val="clear" w:color="auto" w:fill="E5F1F9"/>
          </w:tcPr>
          <w:p>
            <w:pPr>
              <w:spacing w:after="0"/>
              <w:rPr>
                <w:sz w:val="7"/>
                <w:szCs w:val="7"/>
                <w:color w:val="auto"/>
              </w:rPr>
            </w:pPr>
          </w:p>
        </w:tc>
      </w:tr>
    </w:tbl>
    <w:p>
      <w:pPr>
        <w:spacing w:after="0" w:line="94"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Our non-employee directors may defer all or part of their cash retainer pursuant to our Voluntary Board of Directors Savings Plan, which is similar to our Supplemental Savings Plan described in the narrative preceding the “2025 Non-Qualified Deferred Compensation” table in the Executive Compensation Tables section of this Proxy Statement on page 56, but without any company matching contributions. If a non-employee director chooses to defer cash compensation under our Voluntary Board of Directors Savings Plan, his or her notional account under the plan will periodically be credited with amounts of deemed investment earnings as if the deferred cash compensation was actually invested in the notional investment(s) selected by the director or in a default investment if the director does not make a selection. These notional investment options include mutual funds similar to those available under our 401(k) plan as well as a fixed rate option which earns a rate of return determined each year by the company’s retirement committee. For 2025 non-employee director deferrals notionally invested in the fixed rate option, this rate of return was set at 5.50%. Deferrals notionally invested in the fixed rate option continue to be credited with the rate of return that was in effect during the year of deferral.</w:t>
      </w:r>
    </w:p>
    <w:p>
      <w:pPr>
        <w:spacing w:after="0" w:line="77"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Non-employee directors are also reimbursed for actual expenses incurred in attending meetings of our Board and any of its committees as well as other expenses incurred in connection with their service to our Board or any of its committees.</w:t>
      </w:r>
    </w:p>
    <w:p>
      <w:pPr>
        <w:spacing w:after="0" w:line="102"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-18-</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Corporate Governance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Equity Awards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Awards Under Our 2024 Omnibus Equity Plan</w:t>
      </w:r>
    </w:p>
    <w:p>
      <w:pPr>
        <w:spacing w:after="0" w:line="113" w:lineRule="exact"/>
        <w:rPr>
          <w:sz w:val="20"/>
          <w:szCs w:val="20"/>
          <w:color w:val="auto"/>
        </w:rPr>
      </w:pPr>
    </w:p>
    <w:p>
      <w:pPr>
        <w:ind w:left="120" w:right="840"/>
        <w:spacing w:after="0" w:line="286" w:lineRule="auto"/>
        <w:rPr>
          <w:sz w:val="20"/>
          <w:szCs w:val="20"/>
          <w:color w:val="auto"/>
        </w:rPr>
      </w:pPr>
      <w:r>
        <w:rPr>
          <w:rFonts w:ascii="Arial" w:cs="Arial" w:eastAsia="Arial" w:hAnsi="Arial"/>
          <w:sz w:val="16"/>
          <w:szCs w:val="16"/>
          <w:color w:val="auto"/>
        </w:rPr>
        <w:t>Our non-employee directors receive equity awards under the 2024 Omnibus Equity Plan. The 2024 Omnibus Equity Plan was approved by our stockholders at our 2024 annual meeting of stockholders.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General Provisions of the 2024 Omnibus Equity Plan</w:t>
      </w:r>
    </w:p>
    <w:p>
      <w:pPr>
        <w:spacing w:after="0" w:line="113"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Non-employee directors receive an annual equity award under the 2024 Omnibus Equity Plan effective on the date of each annual meeting of stockholders. Under the 2024 Omnibus Equity Plan, no director may be paid or granted, in any fiscal year, cash compensation and equity awards with an aggregate value greater than $1 million for their services as a non-employee director. Any compensation that is deferred will be counted toward the director compensation limit for the year in which it was first granted, and not when paid or settled (if later).</w:t>
      </w:r>
    </w:p>
    <w:p>
      <w:pPr>
        <w:spacing w:after="0" w:line="70"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Annual equity awards vest on the earlier of (i) the first anniversary of the date of grant or over such longer period and in such increments as our CMDC may determine or (ii) at the annual meeting of stockholders after grant of such annual equity award.</w:t>
      </w:r>
    </w:p>
    <w:p>
      <w:pPr>
        <w:spacing w:after="0" w:line="48"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Awards granted under the 2024 Omnibus Equity Plan are subject to accelerated vesting upon termination of a director’s service by reason of death, disability or retirement and upon a change in control (as such terms are defined in the 2024 Omnibus Equity Plan).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Awards During 2025</w:t>
      </w:r>
    </w:p>
    <w:p>
      <w:pPr>
        <w:spacing w:after="0" w:line="113"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In 2025 our CMDC recommended, and our Board approved, annual equity awards of RSUs with a grant date fair value of approximately $300,000 for each non-employee director and an additional annual equity award with a grant date fair value of approximately $100,000 for the non-employee Chair of the Board. These annual equity awards were below the limits set forth in the 2024 Omnibus Equity Plan described above and were consistent with the awards made in 2024. The RSUs granted in 2025 vest on the earlier of (i) the first anniversary of the grant date or (ii) the 2026 Annual Meeting, generally subject to the director’s continued service.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10b5-1 Trading Plans</w:t>
      </w:r>
    </w:p>
    <w:p>
      <w:pPr>
        <w:spacing w:after="0" w:line="108"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Under our Global Insider Trading and Information Policy, our non-employee directors must use pre-established trading plans to sell our common stock from their personal accounts. A trading plan may only be entered into during an open trading window and when the applicable director is not in possession of material nonpublic information about the company. In accordance with Rule 10b5-1, we require a waiting period following the establishment of a trading plan before any trades may be executed. Our policy is designed to provide procedures to protect against insider trading while allowing our non-employee directors to have an opportunity to realize the value intended by the company in granting equity-based awards.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Non-Employee Director Stock Ownership Guidelines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maintain the following stock ownership guidelines for our non-employee directors: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4200" w:type="dxa"/>
            <w:vAlign w:val="bottom"/>
            <w:shd w:val="clear" w:color="auto" w:fill="0075C9"/>
          </w:tcPr>
          <w:p>
            <w:pPr>
              <w:spacing w:after="0"/>
              <w:rPr>
                <w:sz w:val="20"/>
                <w:szCs w:val="20"/>
                <w:color w:val="auto"/>
              </w:rPr>
            </w:pPr>
            <w:r>
              <w:rPr>
                <w:rFonts w:ascii="Arial" w:cs="Arial" w:eastAsia="Arial" w:hAnsi="Arial"/>
                <w:sz w:val="14"/>
                <w:szCs w:val="14"/>
                <w:color w:val="FFFFFF"/>
              </w:rPr>
              <w:t>  Position</w:t>
            </w:r>
          </w:p>
        </w:tc>
        <w:tc>
          <w:tcPr>
            <w:tcW w:w="6820" w:type="dxa"/>
            <w:vAlign w:val="bottom"/>
            <w:shd w:val="clear" w:color="auto" w:fill="0075C9"/>
          </w:tcPr>
          <w:p>
            <w:pPr>
              <w:ind w:left="100"/>
              <w:spacing w:after="0"/>
              <w:rPr>
                <w:sz w:val="20"/>
                <w:szCs w:val="20"/>
                <w:color w:val="auto"/>
              </w:rPr>
            </w:pPr>
            <w:r>
              <w:rPr>
                <w:rFonts w:ascii="Arial" w:cs="Arial" w:eastAsia="Arial" w:hAnsi="Arial"/>
                <w:sz w:val="14"/>
                <w:szCs w:val="14"/>
                <w:color w:val="FFFFFF"/>
              </w:rPr>
              <w:t>  Stock Ownership Requirement</w:t>
            </w:r>
            <w:r>
              <w:rPr>
                <w:rFonts w:ascii="Arial" w:cs="Arial" w:eastAsia="Arial" w:hAnsi="Arial"/>
                <w:sz w:val="14"/>
                <w:szCs w:val="14"/>
                <w:color w:val="FFFFFF"/>
                <w:vertAlign w:val="superscript"/>
              </w:rPr>
              <w:t>(1)</w:t>
            </w:r>
          </w:p>
        </w:tc>
      </w:tr>
      <w:tr>
        <w:trPr>
          <w:trHeight w:val="103"/>
        </w:trPr>
        <w:tc>
          <w:tcPr>
            <w:tcW w:w="4200" w:type="dxa"/>
            <w:vAlign w:val="bottom"/>
            <w:shd w:val="clear" w:color="auto" w:fill="0075C9"/>
          </w:tcPr>
          <w:p>
            <w:pPr>
              <w:spacing w:after="0"/>
              <w:rPr>
                <w:sz w:val="8"/>
                <w:szCs w:val="8"/>
                <w:color w:val="auto"/>
              </w:rPr>
            </w:pPr>
          </w:p>
        </w:tc>
        <w:tc>
          <w:tcPr>
            <w:tcW w:w="6820" w:type="dxa"/>
            <w:vAlign w:val="bottom"/>
            <w:shd w:val="clear" w:color="auto" w:fill="0075C9"/>
          </w:tcPr>
          <w:p>
            <w:pPr>
              <w:spacing w:after="0"/>
              <w:rPr>
                <w:sz w:val="8"/>
                <w:szCs w:val="8"/>
                <w:color w:val="auto"/>
              </w:rPr>
            </w:pPr>
          </w:p>
        </w:tc>
      </w:tr>
      <w:tr>
        <w:trPr>
          <w:trHeight w:val="153"/>
        </w:trPr>
        <w:tc>
          <w:tcPr>
            <w:tcW w:w="4200" w:type="dxa"/>
            <w:vAlign w:val="bottom"/>
            <w:shd w:val="clear" w:color="auto" w:fill="E5F1F9"/>
          </w:tcPr>
          <w:p>
            <w:pPr>
              <w:spacing w:after="0" w:line="153" w:lineRule="exact"/>
              <w:rPr>
                <w:sz w:val="20"/>
                <w:szCs w:val="20"/>
                <w:color w:val="auto"/>
              </w:rPr>
            </w:pPr>
            <w:r>
              <w:rPr>
                <w:rFonts w:ascii="Arial" w:cs="Arial" w:eastAsia="Arial" w:hAnsi="Arial"/>
                <w:sz w:val="14"/>
                <w:szCs w:val="14"/>
                <w:color w:val="auto"/>
              </w:rPr>
              <w:t>  Non-Employee</w:t>
            </w:r>
          </w:p>
        </w:tc>
        <w:tc>
          <w:tcPr>
            <w:tcW w:w="6820" w:type="dxa"/>
            <w:vAlign w:val="bottom"/>
            <w:shd w:val="clear" w:color="auto" w:fill="E5F1F9"/>
          </w:tcPr>
          <w:p>
            <w:pPr>
              <w:ind w:left="100"/>
              <w:spacing w:after="0" w:line="153" w:lineRule="exact"/>
              <w:rPr>
                <w:sz w:val="20"/>
                <w:szCs w:val="20"/>
                <w:color w:val="auto"/>
              </w:rPr>
            </w:pPr>
            <w:r>
              <w:rPr>
                <w:rFonts w:ascii="Arial" w:cs="Arial" w:eastAsia="Arial" w:hAnsi="Arial"/>
                <w:sz w:val="14"/>
                <w:szCs w:val="14"/>
                <w:color w:val="auto"/>
              </w:rPr>
              <w:t>Number of shares equal in value to five times the total annual cash retainer for serving as</w:t>
            </w:r>
          </w:p>
        </w:tc>
      </w:tr>
      <w:tr>
        <w:trPr>
          <w:trHeight w:val="205"/>
        </w:trPr>
        <w:tc>
          <w:tcPr>
            <w:tcW w:w="420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4"/>
                <w:szCs w:val="14"/>
                <w:color w:val="auto"/>
              </w:rPr>
              <w:t>  Chair</w:t>
            </w:r>
          </w:p>
        </w:tc>
        <w:tc>
          <w:tcPr>
            <w:tcW w:w="6820" w:type="dxa"/>
            <w:vAlign w:val="bottom"/>
            <w:tcBorders>
              <w:bottom w:val="single" w:sz="8" w:color="E5F1F9"/>
            </w:tcBorders>
            <w:shd w:val="clear" w:color="auto" w:fill="E5F1F9"/>
          </w:tcPr>
          <w:p>
            <w:pPr>
              <w:ind w:left="100"/>
              <w:spacing w:after="0"/>
              <w:rPr>
                <w:sz w:val="20"/>
                <w:szCs w:val="20"/>
                <w:color w:val="auto"/>
              </w:rPr>
            </w:pPr>
            <w:r>
              <w:rPr>
                <w:rFonts w:ascii="Arial" w:cs="Arial" w:eastAsia="Arial" w:hAnsi="Arial"/>
                <w:sz w:val="14"/>
                <w:szCs w:val="14"/>
                <w:color w:val="auto"/>
              </w:rPr>
              <w:t>(i) non-employee Chair plus (ii) as a non-employee Board member</w:t>
            </w:r>
          </w:p>
        </w:tc>
      </w:tr>
      <w:tr>
        <w:trPr>
          <w:trHeight w:val="180"/>
        </w:trPr>
        <w:tc>
          <w:tcPr>
            <w:tcW w:w="4200" w:type="dxa"/>
            <w:vAlign w:val="bottom"/>
            <w:shd w:val="clear" w:color="auto" w:fill="B2D5EE"/>
          </w:tcPr>
          <w:p>
            <w:pPr>
              <w:spacing w:after="0"/>
              <w:rPr>
                <w:sz w:val="20"/>
                <w:szCs w:val="20"/>
                <w:color w:val="auto"/>
              </w:rPr>
            </w:pPr>
            <w:r>
              <w:rPr>
                <w:rFonts w:ascii="Arial" w:cs="Arial" w:eastAsia="Arial" w:hAnsi="Arial"/>
                <w:sz w:val="14"/>
                <w:szCs w:val="14"/>
                <w:color w:val="auto"/>
              </w:rPr>
              <w:t>  Non-Employee</w:t>
            </w:r>
          </w:p>
        </w:tc>
        <w:tc>
          <w:tcPr>
            <w:tcW w:w="6820" w:type="dxa"/>
            <w:vAlign w:val="bottom"/>
            <w:shd w:val="clear" w:color="auto" w:fill="B2D5EE"/>
          </w:tcPr>
          <w:p>
            <w:pPr>
              <w:ind w:left="100"/>
              <w:spacing w:after="0"/>
              <w:rPr>
                <w:sz w:val="20"/>
                <w:szCs w:val="20"/>
                <w:color w:val="auto"/>
              </w:rPr>
            </w:pPr>
            <w:r>
              <w:rPr>
                <w:rFonts w:ascii="Arial" w:cs="Arial" w:eastAsia="Arial" w:hAnsi="Arial"/>
                <w:sz w:val="14"/>
                <w:szCs w:val="14"/>
                <w:color w:val="auto"/>
              </w:rPr>
              <w:t>Number of shares equal in value to five times the annual cash retainer for non-employee Board</w:t>
            </w:r>
          </w:p>
        </w:tc>
      </w:tr>
      <w:tr>
        <w:trPr>
          <w:trHeight w:val="185"/>
        </w:trPr>
        <w:tc>
          <w:tcPr>
            <w:tcW w:w="4200" w:type="dxa"/>
            <w:vAlign w:val="bottom"/>
            <w:tcBorders>
              <w:bottom w:val="single" w:sz="8" w:color="auto"/>
            </w:tcBorders>
            <w:shd w:val="clear" w:color="auto" w:fill="B2D5EE"/>
          </w:tcPr>
          <w:p>
            <w:pPr>
              <w:spacing w:after="0"/>
              <w:rPr>
                <w:sz w:val="20"/>
                <w:szCs w:val="20"/>
                <w:color w:val="auto"/>
              </w:rPr>
            </w:pPr>
            <w:r>
              <w:rPr>
                <w:rFonts w:ascii="Arial" w:cs="Arial" w:eastAsia="Arial" w:hAnsi="Arial"/>
                <w:sz w:val="14"/>
                <w:szCs w:val="14"/>
                <w:color w:val="auto"/>
              </w:rPr>
              <w:t>   Directors (excluding Chair)</w:t>
            </w:r>
          </w:p>
        </w:tc>
        <w:tc>
          <w:tcPr>
            <w:tcW w:w="6820" w:type="dxa"/>
            <w:vAlign w:val="bottom"/>
            <w:tcBorders>
              <w:bottom w:val="single" w:sz="8" w:color="auto"/>
            </w:tcBorders>
            <w:shd w:val="clear" w:color="auto" w:fill="B2D5EE"/>
          </w:tcPr>
          <w:p>
            <w:pPr>
              <w:ind w:left="100"/>
              <w:spacing w:after="0"/>
              <w:rPr>
                <w:sz w:val="20"/>
                <w:szCs w:val="20"/>
                <w:color w:val="auto"/>
              </w:rPr>
            </w:pPr>
            <w:r>
              <w:rPr>
                <w:rFonts w:ascii="Arial" w:cs="Arial" w:eastAsia="Arial" w:hAnsi="Arial"/>
                <w:sz w:val="14"/>
                <w:szCs w:val="14"/>
                <w:color w:val="auto"/>
              </w:rPr>
              <w:t>members</w:t>
            </w:r>
          </w:p>
        </w:tc>
      </w:tr>
    </w:tbl>
    <w:p>
      <w:pPr>
        <w:spacing w:after="0" w:line="31" w:lineRule="exact"/>
        <w:rPr>
          <w:sz w:val="20"/>
          <w:szCs w:val="20"/>
          <w:color w:val="auto"/>
        </w:rPr>
      </w:pPr>
    </w:p>
    <w:p>
      <w:pPr>
        <w:ind w:left="540" w:right="180" w:hanging="424"/>
        <w:spacing w:after="0" w:line="285" w:lineRule="auto"/>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Each non-employee director has five years from the date of initial election or appointment to meet the stock ownership requirement. As of December 31, 2025, all of our non-employee directors met the stock ownership requirement or were still within the five-year period to meet such requirement.</w:t>
      </w:r>
    </w:p>
    <w:p>
      <w:pPr>
        <w:spacing w:after="0" w:line="99"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-19-</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Corporate Governance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Director Compensation</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00" w:type="dxa"/>
            <w:vAlign w:val="bottom"/>
            <w:shd w:val="clear" w:color="auto" w:fill="0075C9"/>
          </w:tcPr>
          <w:p>
            <w:pPr>
              <w:spacing w:after="0"/>
              <w:rPr>
                <w:sz w:val="17"/>
                <w:szCs w:val="17"/>
                <w:color w:val="auto"/>
              </w:rPr>
            </w:pPr>
          </w:p>
        </w:tc>
        <w:tc>
          <w:tcPr>
            <w:tcW w:w="146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Fees Earned or</w:t>
            </w:r>
          </w:p>
        </w:tc>
        <w:tc>
          <w:tcPr>
            <w:tcW w:w="1380" w:type="dxa"/>
            <w:vAlign w:val="bottom"/>
            <w:shd w:val="clear" w:color="auto" w:fill="0075C9"/>
          </w:tcPr>
          <w:p>
            <w:pPr>
              <w:spacing w:after="0"/>
              <w:rPr>
                <w:sz w:val="17"/>
                <w:szCs w:val="17"/>
                <w:color w:val="auto"/>
              </w:rPr>
            </w:pPr>
          </w:p>
        </w:tc>
        <w:tc>
          <w:tcPr>
            <w:tcW w:w="2040" w:type="dxa"/>
            <w:vAlign w:val="bottom"/>
            <w:shd w:val="clear" w:color="auto" w:fill="0075C9"/>
          </w:tcPr>
          <w:p>
            <w:pPr>
              <w:spacing w:after="0"/>
              <w:rPr>
                <w:sz w:val="17"/>
                <w:szCs w:val="17"/>
                <w:color w:val="auto"/>
              </w:rPr>
            </w:pPr>
          </w:p>
        </w:tc>
        <w:tc>
          <w:tcPr>
            <w:tcW w:w="1120" w:type="dxa"/>
            <w:vAlign w:val="bottom"/>
            <w:shd w:val="clear" w:color="auto" w:fill="0075C9"/>
          </w:tcPr>
          <w:p>
            <w:pPr>
              <w:spacing w:after="0"/>
              <w:rPr>
                <w:sz w:val="17"/>
                <w:szCs w:val="17"/>
                <w:color w:val="auto"/>
              </w:rPr>
            </w:pPr>
          </w:p>
        </w:tc>
        <w:tc>
          <w:tcPr>
            <w:tcW w:w="520" w:type="dxa"/>
            <w:vAlign w:val="bottom"/>
            <w:shd w:val="clear" w:color="auto" w:fill="0075C9"/>
          </w:tcPr>
          <w:p>
            <w:pPr>
              <w:spacing w:after="0"/>
              <w:rPr>
                <w:sz w:val="17"/>
                <w:szCs w:val="17"/>
                <w:color w:val="auto"/>
              </w:rPr>
            </w:pPr>
          </w:p>
        </w:tc>
      </w:tr>
      <w:tr>
        <w:trPr>
          <w:trHeight w:val="205"/>
        </w:trPr>
        <w:tc>
          <w:tcPr>
            <w:tcW w:w="450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4"/>
                <w:szCs w:val="14"/>
                <w:color w:val="FFFFFF"/>
              </w:rPr>
              <w:t>  Name</w:t>
            </w:r>
          </w:p>
        </w:tc>
        <w:tc>
          <w:tcPr>
            <w:tcW w:w="146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rPr>
              <w:t>Paid in Cash</w:t>
            </w:r>
          </w:p>
        </w:tc>
        <w:tc>
          <w:tcPr>
            <w:tcW w:w="138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w w:val="98"/>
              </w:rPr>
              <w:t>Stock Awards</w:t>
            </w:r>
            <w:r>
              <w:rPr>
                <w:rFonts w:ascii="Arial" w:cs="Arial" w:eastAsia="Arial" w:hAnsi="Arial"/>
                <w:sz w:val="14"/>
                <w:szCs w:val="14"/>
                <w:color w:val="FFFFFF"/>
                <w:w w:val="98"/>
                <w:vertAlign w:val="superscript"/>
              </w:rPr>
              <w:t>(1)</w:t>
            </w:r>
          </w:p>
        </w:tc>
        <w:tc>
          <w:tcPr>
            <w:tcW w:w="2040" w:type="dxa"/>
            <w:vAlign w:val="bottom"/>
            <w:tcBorders>
              <w:bottom w:val="single" w:sz="8" w:color="0075C9"/>
            </w:tcBorders>
            <w:shd w:val="clear" w:color="auto" w:fill="0075C9"/>
          </w:tcPr>
          <w:p>
            <w:pPr>
              <w:ind w:left="220"/>
              <w:spacing w:after="0"/>
              <w:rPr>
                <w:sz w:val="20"/>
                <w:szCs w:val="20"/>
                <w:color w:val="auto"/>
              </w:rPr>
            </w:pPr>
            <w:r>
              <w:rPr>
                <w:rFonts w:ascii="Arial" w:cs="Arial" w:eastAsia="Arial" w:hAnsi="Arial"/>
                <w:sz w:val="14"/>
                <w:szCs w:val="14"/>
                <w:color w:val="FFFFFF"/>
              </w:rPr>
              <w:t>All Other Compensation</w:t>
            </w:r>
            <w:r>
              <w:rPr>
                <w:rFonts w:ascii="Arial" w:cs="Arial" w:eastAsia="Arial" w:hAnsi="Arial"/>
                <w:sz w:val="14"/>
                <w:szCs w:val="14"/>
                <w:color w:val="FFFFFF"/>
                <w:vertAlign w:val="superscript"/>
              </w:rPr>
              <w:t>(2)</w:t>
            </w:r>
          </w:p>
        </w:tc>
        <w:tc>
          <w:tcPr>
            <w:tcW w:w="1120" w:type="dxa"/>
            <w:vAlign w:val="bottom"/>
            <w:tcBorders>
              <w:bottom w:val="single" w:sz="8" w:color="0075C9"/>
            </w:tcBorders>
            <w:shd w:val="clear" w:color="auto" w:fill="0075C9"/>
          </w:tcPr>
          <w:p>
            <w:pPr>
              <w:jc w:val="center"/>
              <w:ind w:right="8"/>
              <w:spacing w:after="0"/>
              <w:rPr>
                <w:sz w:val="20"/>
                <w:szCs w:val="20"/>
                <w:color w:val="auto"/>
              </w:rPr>
            </w:pPr>
            <w:r>
              <w:rPr>
                <w:rFonts w:ascii="Arial" w:cs="Arial" w:eastAsia="Arial" w:hAnsi="Arial"/>
                <w:sz w:val="14"/>
                <w:szCs w:val="14"/>
                <w:color w:val="FFFFFF"/>
              </w:rPr>
              <w:t>Total</w:t>
            </w:r>
          </w:p>
        </w:tc>
        <w:tc>
          <w:tcPr>
            <w:tcW w:w="520" w:type="dxa"/>
            <w:vAlign w:val="bottom"/>
            <w:tcBorders>
              <w:bottom w:val="single" w:sz="8" w:color="0075C9"/>
            </w:tcBorders>
            <w:shd w:val="clear" w:color="auto" w:fill="0075C9"/>
          </w:tcPr>
          <w:p>
            <w:pPr>
              <w:spacing w:after="0"/>
              <w:rPr>
                <w:sz w:val="17"/>
                <w:szCs w:val="17"/>
                <w:color w:val="auto"/>
              </w:rPr>
            </w:pPr>
          </w:p>
        </w:tc>
      </w:tr>
      <w:tr>
        <w:trPr>
          <w:trHeight w:val="289"/>
        </w:trPr>
        <w:tc>
          <w:tcPr>
            <w:tcW w:w="4500" w:type="dxa"/>
            <w:vAlign w:val="bottom"/>
            <w:shd w:val="clear" w:color="auto" w:fill="E5F1F9"/>
          </w:tcPr>
          <w:p>
            <w:pPr>
              <w:spacing w:after="0"/>
              <w:rPr>
                <w:sz w:val="20"/>
                <w:szCs w:val="20"/>
                <w:color w:val="auto"/>
              </w:rPr>
            </w:pPr>
            <w:r>
              <w:rPr>
                <w:rFonts w:ascii="Arial" w:cs="Arial" w:eastAsia="Arial" w:hAnsi="Arial"/>
                <w:sz w:val="14"/>
                <w:szCs w:val="14"/>
                <w:color w:val="auto"/>
              </w:rPr>
              <w:t>  Caroline D. Dorsa</w:t>
            </w:r>
          </w:p>
        </w:tc>
        <w:tc>
          <w:tcPr>
            <w:tcW w:w="146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$230,000</w:t>
            </w:r>
          </w:p>
        </w:tc>
        <w:tc>
          <w:tcPr>
            <w:tcW w:w="138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$399,930</w:t>
            </w:r>
          </w:p>
        </w:tc>
        <w:tc>
          <w:tcPr>
            <w:tcW w:w="2040" w:type="dxa"/>
            <w:vAlign w:val="bottom"/>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E5F1F9"/>
          </w:tcPr>
          <w:p>
            <w:pPr>
              <w:jc w:val="center"/>
              <w:ind w:right="8"/>
              <w:spacing w:after="0"/>
              <w:rPr>
                <w:sz w:val="20"/>
                <w:szCs w:val="20"/>
                <w:color w:val="auto"/>
              </w:rPr>
            </w:pPr>
            <w:r>
              <w:rPr>
                <w:rFonts w:ascii="Arial" w:cs="Arial" w:eastAsia="Arial" w:hAnsi="Arial"/>
                <w:sz w:val="14"/>
                <w:szCs w:val="14"/>
                <w:color w:val="auto"/>
              </w:rPr>
              <w:t>$629,930</w:t>
            </w:r>
          </w:p>
        </w:tc>
        <w:tc>
          <w:tcPr>
            <w:tcW w:w="520" w:type="dxa"/>
            <w:vAlign w:val="bottom"/>
            <w:shd w:val="clear" w:color="auto" w:fill="E5F1F9"/>
          </w:tcPr>
          <w:p>
            <w:pPr>
              <w:ind w:left="280"/>
              <w:spacing w:after="0"/>
              <w:rPr>
                <w:sz w:val="20"/>
                <w:szCs w:val="20"/>
                <w:color w:val="auto"/>
              </w:rPr>
            </w:pPr>
            <w:r>
              <w:rPr>
                <w:rFonts w:ascii="Arial" w:cs="Arial" w:eastAsia="Arial" w:hAnsi="Arial"/>
                <w:sz w:val="5"/>
                <w:szCs w:val="5"/>
                <w:color w:val="auto"/>
              </w:rPr>
              <w:t xml:space="preserve">          </w:t>
            </w:r>
          </w:p>
        </w:tc>
      </w:tr>
      <w:tr>
        <w:trPr>
          <w:trHeight w:val="89"/>
        </w:trPr>
        <w:tc>
          <w:tcPr>
            <w:tcW w:w="4500" w:type="dxa"/>
            <w:vAlign w:val="bottom"/>
            <w:shd w:val="clear" w:color="auto" w:fill="E5F1F9"/>
          </w:tcPr>
          <w:p>
            <w:pPr>
              <w:spacing w:after="0"/>
              <w:rPr>
                <w:sz w:val="7"/>
                <w:szCs w:val="7"/>
                <w:color w:val="auto"/>
              </w:rPr>
            </w:pPr>
          </w:p>
        </w:tc>
        <w:tc>
          <w:tcPr>
            <w:tcW w:w="1460" w:type="dxa"/>
            <w:vAlign w:val="bottom"/>
            <w:shd w:val="clear" w:color="auto" w:fill="E5F1F9"/>
          </w:tcPr>
          <w:p>
            <w:pPr>
              <w:spacing w:after="0"/>
              <w:rPr>
                <w:sz w:val="7"/>
                <w:szCs w:val="7"/>
                <w:color w:val="auto"/>
              </w:rPr>
            </w:pPr>
          </w:p>
        </w:tc>
        <w:tc>
          <w:tcPr>
            <w:tcW w:w="1380" w:type="dxa"/>
            <w:vAlign w:val="bottom"/>
            <w:shd w:val="clear" w:color="auto" w:fill="E5F1F9"/>
          </w:tcPr>
          <w:p>
            <w:pPr>
              <w:spacing w:after="0"/>
              <w:rPr>
                <w:sz w:val="7"/>
                <w:szCs w:val="7"/>
                <w:color w:val="auto"/>
              </w:rPr>
            </w:pPr>
          </w:p>
        </w:tc>
        <w:tc>
          <w:tcPr>
            <w:tcW w:w="2040" w:type="dxa"/>
            <w:vAlign w:val="bottom"/>
            <w:shd w:val="clear" w:color="auto" w:fill="E5F1F9"/>
          </w:tcPr>
          <w:p>
            <w:pPr>
              <w:spacing w:after="0"/>
              <w:rPr>
                <w:sz w:val="7"/>
                <w:szCs w:val="7"/>
                <w:color w:val="auto"/>
              </w:rPr>
            </w:pPr>
          </w:p>
        </w:tc>
        <w:tc>
          <w:tcPr>
            <w:tcW w:w="1120" w:type="dxa"/>
            <w:vAlign w:val="bottom"/>
            <w:shd w:val="clear" w:color="auto" w:fill="E5F1F9"/>
          </w:tcPr>
          <w:p>
            <w:pPr>
              <w:spacing w:after="0"/>
              <w:rPr>
                <w:sz w:val="7"/>
                <w:szCs w:val="7"/>
                <w:color w:val="auto"/>
              </w:rPr>
            </w:pPr>
          </w:p>
        </w:tc>
        <w:tc>
          <w:tcPr>
            <w:tcW w:w="520" w:type="dxa"/>
            <w:vAlign w:val="bottom"/>
            <w:shd w:val="clear" w:color="auto" w:fill="E5F1F9"/>
          </w:tcPr>
          <w:p>
            <w:pPr>
              <w:spacing w:after="0"/>
              <w:rPr>
                <w:sz w:val="7"/>
                <w:szCs w:val="7"/>
                <w:color w:val="auto"/>
              </w:rPr>
            </w:pPr>
          </w:p>
        </w:tc>
      </w:tr>
      <w:tr>
        <w:trPr>
          <w:trHeight w:val="289"/>
        </w:trPr>
        <w:tc>
          <w:tcPr>
            <w:tcW w:w="4500" w:type="dxa"/>
            <w:vAlign w:val="bottom"/>
            <w:shd w:val="clear" w:color="auto" w:fill="B2D5EE"/>
          </w:tcPr>
          <w:p>
            <w:pPr>
              <w:spacing w:after="0"/>
              <w:rPr>
                <w:sz w:val="20"/>
                <w:szCs w:val="20"/>
                <w:color w:val="auto"/>
              </w:rPr>
            </w:pPr>
            <w:r>
              <w:rPr>
                <w:rFonts w:ascii="Arial" w:cs="Arial" w:eastAsia="Arial" w:hAnsi="Arial"/>
                <w:sz w:val="14"/>
                <w:szCs w:val="14"/>
                <w:color w:val="auto"/>
              </w:rPr>
              <w:t>  Maria C. Freire</w:t>
            </w:r>
          </w:p>
        </w:tc>
        <w:tc>
          <w:tcPr>
            <w:tcW w:w="146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$155,000</w:t>
            </w:r>
          </w:p>
        </w:tc>
        <w:tc>
          <w:tcPr>
            <w:tcW w:w="138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$299,947</w:t>
            </w:r>
          </w:p>
        </w:tc>
        <w:tc>
          <w:tcPr>
            <w:tcW w:w="204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$2,500</w:t>
            </w:r>
          </w:p>
        </w:tc>
        <w:tc>
          <w:tcPr>
            <w:tcW w:w="1120" w:type="dxa"/>
            <w:vAlign w:val="bottom"/>
            <w:shd w:val="clear" w:color="auto" w:fill="B2D5EE"/>
          </w:tcPr>
          <w:p>
            <w:pPr>
              <w:jc w:val="center"/>
              <w:ind w:right="8"/>
              <w:spacing w:after="0"/>
              <w:rPr>
                <w:sz w:val="20"/>
                <w:szCs w:val="20"/>
                <w:color w:val="auto"/>
              </w:rPr>
            </w:pPr>
            <w:r>
              <w:rPr>
                <w:rFonts w:ascii="Arial" w:cs="Arial" w:eastAsia="Arial" w:hAnsi="Arial"/>
                <w:sz w:val="14"/>
                <w:szCs w:val="14"/>
                <w:color w:val="auto"/>
              </w:rPr>
              <w:t>$457,447</w:t>
            </w:r>
          </w:p>
        </w:tc>
        <w:tc>
          <w:tcPr>
            <w:tcW w:w="520" w:type="dxa"/>
            <w:vAlign w:val="bottom"/>
            <w:shd w:val="clear" w:color="auto" w:fill="B2D5EE"/>
          </w:tcPr>
          <w:p>
            <w:pPr>
              <w:spacing w:after="0"/>
              <w:rPr>
                <w:sz w:val="24"/>
                <w:szCs w:val="24"/>
                <w:color w:val="auto"/>
              </w:rPr>
            </w:pPr>
          </w:p>
        </w:tc>
      </w:tr>
      <w:tr>
        <w:trPr>
          <w:trHeight w:val="89"/>
        </w:trPr>
        <w:tc>
          <w:tcPr>
            <w:tcW w:w="4500" w:type="dxa"/>
            <w:vAlign w:val="bottom"/>
            <w:shd w:val="clear" w:color="auto" w:fill="B2D5EE"/>
          </w:tcPr>
          <w:p>
            <w:pPr>
              <w:spacing w:after="0"/>
              <w:rPr>
                <w:sz w:val="7"/>
                <w:szCs w:val="7"/>
                <w:color w:val="auto"/>
              </w:rPr>
            </w:pPr>
          </w:p>
        </w:tc>
        <w:tc>
          <w:tcPr>
            <w:tcW w:w="1460" w:type="dxa"/>
            <w:vAlign w:val="bottom"/>
            <w:shd w:val="clear" w:color="auto" w:fill="B2D5EE"/>
          </w:tcPr>
          <w:p>
            <w:pPr>
              <w:spacing w:after="0"/>
              <w:rPr>
                <w:sz w:val="7"/>
                <w:szCs w:val="7"/>
                <w:color w:val="auto"/>
              </w:rPr>
            </w:pPr>
          </w:p>
        </w:tc>
        <w:tc>
          <w:tcPr>
            <w:tcW w:w="1380" w:type="dxa"/>
            <w:vAlign w:val="bottom"/>
            <w:shd w:val="clear" w:color="auto" w:fill="B2D5EE"/>
          </w:tcPr>
          <w:p>
            <w:pPr>
              <w:spacing w:after="0"/>
              <w:rPr>
                <w:sz w:val="7"/>
                <w:szCs w:val="7"/>
                <w:color w:val="auto"/>
              </w:rPr>
            </w:pPr>
          </w:p>
        </w:tc>
        <w:tc>
          <w:tcPr>
            <w:tcW w:w="2040" w:type="dxa"/>
            <w:vAlign w:val="bottom"/>
            <w:shd w:val="clear" w:color="auto" w:fill="B2D5EE"/>
          </w:tcPr>
          <w:p>
            <w:pPr>
              <w:spacing w:after="0"/>
              <w:rPr>
                <w:sz w:val="7"/>
                <w:szCs w:val="7"/>
                <w:color w:val="auto"/>
              </w:rPr>
            </w:pPr>
          </w:p>
        </w:tc>
        <w:tc>
          <w:tcPr>
            <w:tcW w:w="1120" w:type="dxa"/>
            <w:vAlign w:val="bottom"/>
            <w:shd w:val="clear" w:color="auto" w:fill="B2D5EE"/>
          </w:tcPr>
          <w:p>
            <w:pPr>
              <w:spacing w:after="0"/>
              <w:rPr>
                <w:sz w:val="7"/>
                <w:szCs w:val="7"/>
                <w:color w:val="auto"/>
              </w:rPr>
            </w:pPr>
          </w:p>
        </w:tc>
        <w:tc>
          <w:tcPr>
            <w:tcW w:w="520" w:type="dxa"/>
            <w:vAlign w:val="bottom"/>
            <w:shd w:val="clear" w:color="auto" w:fill="B2D5EE"/>
          </w:tcPr>
          <w:p>
            <w:pPr>
              <w:spacing w:after="0"/>
              <w:rPr>
                <w:sz w:val="7"/>
                <w:szCs w:val="7"/>
                <w:color w:val="auto"/>
              </w:rPr>
            </w:pPr>
          </w:p>
        </w:tc>
      </w:tr>
      <w:tr>
        <w:trPr>
          <w:trHeight w:val="289"/>
        </w:trPr>
        <w:tc>
          <w:tcPr>
            <w:tcW w:w="4500" w:type="dxa"/>
            <w:vAlign w:val="bottom"/>
            <w:shd w:val="clear" w:color="auto" w:fill="E5F1F9"/>
          </w:tcPr>
          <w:p>
            <w:pPr>
              <w:spacing w:after="0"/>
              <w:rPr>
                <w:sz w:val="20"/>
                <w:szCs w:val="20"/>
                <w:color w:val="auto"/>
              </w:rPr>
            </w:pPr>
            <w:r>
              <w:rPr>
                <w:rFonts w:ascii="Arial" w:cs="Arial" w:eastAsia="Arial" w:hAnsi="Arial"/>
                <w:sz w:val="14"/>
                <w:szCs w:val="14"/>
                <w:color w:val="auto"/>
              </w:rPr>
              <w:t>  William A. Hawkins</w:t>
            </w:r>
          </w:p>
        </w:tc>
        <w:tc>
          <w:tcPr>
            <w:tcW w:w="146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$162,500</w:t>
            </w:r>
          </w:p>
        </w:tc>
        <w:tc>
          <w:tcPr>
            <w:tcW w:w="138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$299,947</w:t>
            </w:r>
          </w:p>
        </w:tc>
        <w:tc>
          <w:tcPr>
            <w:tcW w:w="2040" w:type="dxa"/>
            <w:vAlign w:val="bottom"/>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E5F1F9"/>
          </w:tcPr>
          <w:p>
            <w:pPr>
              <w:jc w:val="center"/>
              <w:ind w:right="8"/>
              <w:spacing w:after="0"/>
              <w:rPr>
                <w:sz w:val="20"/>
                <w:szCs w:val="20"/>
                <w:color w:val="auto"/>
              </w:rPr>
            </w:pPr>
            <w:r>
              <w:rPr>
                <w:rFonts w:ascii="Arial" w:cs="Arial" w:eastAsia="Arial" w:hAnsi="Arial"/>
                <w:sz w:val="14"/>
                <w:szCs w:val="14"/>
                <w:color w:val="auto"/>
              </w:rPr>
              <w:t>$462,447</w:t>
            </w:r>
          </w:p>
        </w:tc>
        <w:tc>
          <w:tcPr>
            <w:tcW w:w="520" w:type="dxa"/>
            <w:vAlign w:val="bottom"/>
            <w:shd w:val="clear" w:color="auto" w:fill="E5F1F9"/>
          </w:tcPr>
          <w:p>
            <w:pPr>
              <w:spacing w:after="0"/>
              <w:rPr>
                <w:sz w:val="24"/>
                <w:szCs w:val="24"/>
                <w:color w:val="auto"/>
              </w:rPr>
            </w:pPr>
          </w:p>
        </w:tc>
      </w:tr>
      <w:tr>
        <w:trPr>
          <w:trHeight w:val="89"/>
        </w:trPr>
        <w:tc>
          <w:tcPr>
            <w:tcW w:w="4500" w:type="dxa"/>
            <w:vAlign w:val="bottom"/>
            <w:shd w:val="clear" w:color="auto" w:fill="E5F1F9"/>
          </w:tcPr>
          <w:p>
            <w:pPr>
              <w:spacing w:after="0"/>
              <w:rPr>
                <w:sz w:val="7"/>
                <w:szCs w:val="7"/>
                <w:color w:val="auto"/>
              </w:rPr>
            </w:pPr>
          </w:p>
        </w:tc>
        <w:tc>
          <w:tcPr>
            <w:tcW w:w="1460" w:type="dxa"/>
            <w:vAlign w:val="bottom"/>
            <w:shd w:val="clear" w:color="auto" w:fill="E5F1F9"/>
          </w:tcPr>
          <w:p>
            <w:pPr>
              <w:spacing w:after="0"/>
              <w:rPr>
                <w:sz w:val="7"/>
                <w:szCs w:val="7"/>
                <w:color w:val="auto"/>
              </w:rPr>
            </w:pPr>
          </w:p>
        </w:tc>
        <w:tc>
          <w:tcPr>
            <w:tcW w:w="1380" w:type="dxa"/>
            <w:vAlign w:val="bottom"/>
            <w:shd w:val="clear" w:color="auto" w:fill="E5F1F9"/>
          </w:tcPr>
          <w:p>
            <w:pPr>
              <w:spacing w:after="0"/>
              <w:rPr>
                <w:sz w:val="7"/>
                <w:szCs w:val="7"/>
                <w:color w:val="auto"/>
              </w:rPr>
            </w:pPr>
          </w:p>
        </w:tc>
        <w:tc>
          <w:tcPr>
            <w:tcW w:w="2040" w:type="dxa"/>
            <w:vAlign w:val="bottom"/>
            <w:shd w:val="clear" w:color="auto" w:fill="E5F1F9"/>
          </w:tcPr>
          <w:p>
            <w:pPr>
              <w:spacing w:after="0"/>
              <w:rPr>
                <w:sz w:val="7"/>
                <w:szCs w:val="7"/>
                <w:color w:val="auto"/>
              </w:rPr>
            </w:pPr>
          </w:p>
        </w:tc>
        <w:tc>
          <w:tcPr>
            <w:tcW w:w="1120" w:type="dxa"/>
            <w:vAlign w:val="bottom"/>
            <w:shd w:val="clear" w:color="auto" w:fill="E5F1F9"/>
          </w:tcPr>
          <w:p>
            <w:pPr>
              <w:spacing w:after="0"/>
              <w:rPr>
                <w:sz w:val="7"/>
                <w:szCs w:val="7"/>
                <w:color w:val="auto"/>
              </w:rPr>
            </w:pPr>
          </w:p>
        </w:tc>
        <w:tc>
          <w:tcPr>
            <w:tcW w:w="520" w:type="dxa"/>
            <w:vAlign w:val="bottom"/>
            <w:shd w:val="clear" w:color="auto" w:fill="E5F1F9"/>
          </w:tcPr>
          <w:p>
            <w:pPr>
              <w:spacing w:after="0"/>
              <w:rPr>
                <w:sz w:val="7"/>
                <w:szCs w:val="7"/>
                <w:color w:val="auto"/>
              </w:rPr>
            </w:pPr>
          </w:p>
        </w:tc>
      </w:tr>
      <w:tr>
        <w:trPr>
          <w:trHeight w:val="289"/>
        </w:trPr>
        <w:tc>
          <w:tcPr>
            <w:tcW w:w="4500" w:type="dxa"/>
            <w:vAlign w:val="bottom"/>
            <w:shd w:val="clear" w:color="auto" w:fill="B2D5EE"/>
          </w:tcPr>
          <w:p>
            <w:pPr>
              <w:spacing w:after="0"/>
              <w:rPr>
                <w:sz w:val="20"/>
                <w:szCs w:val="20"/>
                <w:color w:val="auto"/>
              </w:rPr>
            </w:pPr>
            <w:r>
              <w:rPr>
                <w:rFonts w:ascii="Arial" w:cs="Arial" w:eastAsia="Arial" w:hAnsi="Arial"/>
                <w:sz w:val="14"/>
                <w:szCs w:val="14"/>
                <w:color w:val="auto"/>
              </w:rPr>
              <w:t>  Susan K. Langer</w:t>
            </w:r>
          </w:p>
        </w:tc>
        <w:tc>
          <w:tcPr>
            <w:tcW w:w="146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$140,000</w:t>
            </w:r>
          </w:p>
        </w:tc>
        <w:tc>
          <w:tcPr>
            <w:tcW w:w="138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$299,947</w:t>
            </w:r>
          </w:p>
        </w:tc>
        <w:tc>
          <w:tcPr>
            <w:tcW w:w="2040" w:type="dxa"/>
            <w:vAlign w:val="bottom"/>
            <w:shd w:val="clear" w:color="auto" w:fill="B2D5E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2D5EE"/>
          </w:tcPr>
          <w:p>
            <w:pPr>
              <w:jc w:val="center"/>
              <w:ind w:right="8"/>
              <w:spacing w:after="0"/>
              <w:rPr>
                <w:sz w:val="20"/>
                <w:szCs w:val="20"/>
                <w:color w:val="auto"/>
              </w:rPr>
            </w:pPr>
            <w:r>
              <w:rPr>
                <w:rFonts w:ascii="Arial" w:cs="Arial" w:eastAsia="Arial" w:hAnsi="Arial"/>
                <w:sz w:val="14"/>
                <w:szCs w:val="14"/>
                <w:color w:val="auto"/>
              </w:rPr>
              <w:t>$439,947</w:t>
            </w:r>
          </w:p>
        </w:tc>
        <w:tc>
          <w:tcPr>
            <w:tcW w:w="520" w:type="dxa"/>
            <w:vAlign w:val="bottom"/>
            <w:shd w:val="clear" w:color="auto" w:fill="B2D5EE"/>
          </w:tcPr>
          <w:p>
            <w:pPr>
              <w:spacing w:after="0"/>
              <w:rPr>
                <w:sz w:val="24"/>
                <w:szCs w:val="24"/>
                <w:color w:val="auto"/>
              </w:rPr>
            </w:pPr>
          </w:p>
        </w:tc>
      </w:tr>
      <w:tr>
        <w:trPr>
          <w:trHeight w:val="89"/>
        </w:trPr>
        <w:tc>
          <w:tcPr>
            <w:tcW w:w="4500" w:type="dxa"/>
            <w:vAlign w:val="bottom"/>
            <w:shd w:val="clear" w:color="auto" w:fill="B2D5EE"/>
          </w:tcPr>
          <w:p>
            <w:pPr>
              <w:spacing w:after="0"/>
              <w:rPr>
                <w:sz w:val="7"/>
                <w:szCs w:val="7"/>
                <w:color w:val="auto"/>
              </w:rPr>
            </w:pPr>
          </w:p>
        </w:tc>
        <w:tc>
          <w:tcPr>
            <w:tcW w:w="1460" w:type="dxa"/>
            <w:vAlign w:val="bottom"/>
            <w:shd w:val="clear" w:color="auto" w:fill="B2D5EE"/>
          </w:tcPr>
          <w:p>
            <w:pPr>
              <w:spacing w:after="0"/>
              <w:rPr>
                <w:sz w:val="7"/>
                <w:szCs w:val="7"/>
                <w:color w:val="auto"/>
              </w:rPr>
            </w:pPr>
          </w:p>
        </w:tc>
        <w:tc>
          <w:tcPr>
            <w:tcW w:w="1380" w:type="dxa"/>
            <w:vAlign w:val="bottom"/>
            <w:shd w:val="clear" w:color="auto" w:fill="B2D5EE"/>
          </w:tcPr>
          <w:p>
            <w:pPr>
              <w:spacing w:after="0"/>
              <w:rPr>
                <w:sz w:val="7"/>
                <w:szCs w:val="7"/>
                <w:color w:val="auto"/>
              </w:rPr>
            </w:pPr>
          </w:p>
        </w:tc>
        <w:tc>
          <w:tcPr>
            <w:tcW w:w="2040" w:type="dxa"/>
            <w:vAlign w:val="bottom"/>
            <w:shd w:val="clear" w:color="auto" w:fill="B2D5EE"/>
          </w:tcPr>
          <w:p>
            <w:pPr>
              <w:spacing w:after="0"/>
              <w:rPr>
                <w:sz w:val="7"/>
                <w:szCs w:val="7"/>
                <w:color w:val="auto"/>
              </w:rPr>
            </w:pPr>
          </w:p>
        </w:tc>
        <w:tc>
          <w:tcPr>
            <w:tcW w:w="1120" w:type="dxa"/>
            <w:vAlign w:val="bottom"/>
            <w:shd w:val="clear" w:color="auto" w:fill="B2D5EE"/>
          </w:tcPr>
          <w:p>
            <w:pPr>
              <w:spacing w:after="0"/>
              <w:rPr>
                <w:sz w:val="7"/>
                <w:szCs w:val="7"/>
                <w:color w:val="auto"/>
              </w:rPr>
            </w:pPr>
          </w:p>
        </w:tc>
        <w:tc>
          <w:tcPr>
            <w:tcW w:w="520" w:type="dxa"/>
            <w:vAlign w:val="bottom"/>
            <w:shd w:val="clear" w:color="auto" w:fill="B2D5EE"/>
          </w:tcPr>
          <w:p>
            <w:pPr>
              <w:spacing w:after="0"/>
              <w:rPr>
                <w:sz w:val="7"/>
                <w:szCs w:val="7"/>
                <w:color w:val="auto"/>
              </w:rPr>
            </w:pPr>
          </w:p>
        </w:tc>
      </w:tr>
      <w:tr>
        <w:trPr>
          <w:trHeight w:val="289"/>
        </w:trPr>
        <w:tc>
          <w:tcPr>
            <w:tcW w:w="4500" w:type="dxa"/>
            <w:vAlign w:val="bottom"/>
            <w:shd w:val="clear" w:color="auto" w:fill="E5F1F9"/>
          </w:tcPr>
          <w:p>
            <w:pPr>
              <w:spacing w:after="0"/>
              <w:rPr>
                <w:sz w:val="20"/>
                <w:szCs w:val="20"/>
                <w:color w:val="auto"/>
              </w:rPr>
            </w:pPr>
            <w:r>
              <w:rPr>
                <w:rFonts w:ascii="Arial" w:cs="Arial" w:eastAsia="Arial" w:hAnsi="Arial"/>
                <w:sz w:val="14"/>
                <w:szCs w:val="14"/>
                <w:color w:val="auto"/>
              </w:rPr>
              <w:t>  Jesus B. Mantas</w:t>
            </w:r>
          </w:p>
        </w:tc>
        <w:tc>
          <w:tcPr>
            <w:tcW w:w="146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$155,000</w:t>
            </w:r>
          </w:p>
        </w:tc>
        <w:tc>
          <w:tcPr>
            <w:tcW w:w="138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$299,947</w:t>
            </w:r>
          </w:p>
        </w:tc>
        <w:tc>
          <w:tcPr>
            <w:tcW w:w="204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$5,000</w:t>
            </w:r>
          </w:p>
        </w:tc>
        <w:tc>
          <w:tcPr>
            <w:tcW w:w="1120" w:type="dxa"/>
            <w:vAlign w:val="bottom"/>
            <w:shd w:val="clear" w:color="auto" w:fill="E5F1F9"/>
          </w:tcPr>
          <w:p>
            <w:pPr>
              <w:jc w:val="center"/>
              <w:ind w:right="8"/>
              <w:spacing w:after="0"/>
              <w:rPr>
                <w:sz w:val="20"/>
                <w:szCs w:val="20"/>
                <w:color w:val="auto"/>
              </w:rPr>
            </w:pPr>
            <w:r>
              <w:rPr>
                <w:rFonts w:ascii="Arial" w:cs="Arial" w:eastAsia="Arial" w:hAnsi="Arial"/>
                <w:sz w:val="14"/>
                <w:szCs w:val="14"/>
                <w:color w:val="auto"/>
              </w:rPr>
              <w:t>$459,947</w:t>
            </w:r>
          </w:p>
        </w:tc>
        <w:tc>
          <w:tcPr>
            <w:tcW w:w="520" w:type="dxa"/>
            <w:vAlign w:val="bottom"/>
            <w:shd w:val="clear" w:color="auto" w:fill="E5F1F9"/>
          </w:tcPr>
          <w:p>
            <w:pPr>
              <w:spacing w:after="0"/>
              <w:rPr>
                <w:sz w:val="24"/>
                <w:szCs w:val="24"/>
                <w:color w:val="auto"/>
              </w:rPr>
            </w:pPr>
          </w:p>
        </w:tc>
      </w:tr>
      <w:tr>
        <w:trPr>
          <w:trHeight w:val="89"/>
        </w:trPr>
        <w:tc>
          <w:tcPr>
            <w:tcW w:w="4500" w:type="dxa"/>
            <w:vAlign w:val="bottom"/>
            <w:shd w:val="clear" w:color="auto" w:fill="E5F1F9"/>
          </w:tcPr>
          <w:p>
            <w:pPr>
              <w:spacing w:after="0"/>
              <w:rPr>
                <w:sz w:val="7"/>
                <w:szCs w:val="7"/>
                <w:color w:val="auto"/>
              </w:rPr>
            </w:pPr>
          </w:p>
        </w:tc>
        <w:tc>
          <w:tcPr>
            <w:tcW w:w="1460" w:type="dxa"/>
            <w:vAlign w:val="bottom"/>
            <w:shd w:val="clear" w:color="auto" w:fill="E5F1F9"/>
          </w:tcPr>
          <w:p>
            <w:pPr>
              <w:spacing w:after="0"/>
              <w:rPr>
                <w:sz w:val="7"/>
                <w:szCs w:val="7"/>
                <w:color w:val="auto"/>
              </w:rPr>
            </w:pPr>
          </w:p>
        </w:tc>
        <w:tc>
          <w:tcPr>
            <w:tcW w:w="1380" w:type="dxa"/>
            <w:vAlign w:val="bottom"/>
            <w:shd w:val="clear" w:color="auto" w:fill="E5F1F9"/>
          </w:tcPr>
          <w:p>
            <w:pPr>
              <w:spacing w:after="0"/>
              <w:rPr>
                <w:sz w:val="7"/>
                <w:szCs w:val="7"/>
                <w:color w:val="auto"/>
              </w:rPr>
            </w:pPr>
          </w:p>
        </w:tc>
        <w:tc>
          <w:tcPr>
            <w:tcW w:w="2040" w:type="dxa"/>
            <w:vAlign w:val="bottom"/>
            <w:shd w:val="clear" w:color="auto" w:fill="E5F1F9"/>
          </w:tcPr>
          <w:p>
            <w:pPr>
              <w:spacing w:after="0"/>
              <w:rPr>
                <w:sz w:val="7"/>
                <w:szCs w:val="7"/>
                <w:color w:val="auto"/>
              </w:rPr>
            </w:pPr>
          </w:p>
        </w:tc>
        <w:tc>
          <w:tcPr>
            <w:tcW w:w="1120" w:type="dxa"/>
            <w:vAlign w:val="bottom"/>
            <w:shd w:val="clear" w:color="auto" w:fill="E5F1F9"/>
          </w:tcPr>
          <w:p>
            <w:pPr>
              <w:spacing w:after="0"/>
              <w:rPr>
                <w:sz w:val="7"/>
                <w:szCs w:val="7"/>
                <w:color w:val="auto"/>
              </w:rPr>
            </w:pPr>
          </w:p>
        </w:tc>
        <w:tc>
          <w:tcPr>
            <w:tcW w:w="520" w:type="dxa"/>
            <w:vAlign w:val="bottom"/>
            <w:shd w:val="clear" w:color="auto" w:fill="E5F1F9"/>
          </w:tcPr>
          <w:p>
            <w:pPr>
              <w:spacing w:after="0"/>
              <w:rPr>
                <w:sz w:val="7"/>
                <w:szCs w:val="7"/>
                <w:color w:val="auto"/>
              </w:rPr>
            </w:pPr>
          </w:p>
        </w:tc>
      </w:tr>
      <w:tr>
        <w:trPr>
          <w:trHeight w:val="289"/>
        </w:trPr>
        <w:tc>
          <w:tcPr>
            <w:tcW w:w="4500" w:type="dxa"/>
            <w:vAlign w:val="bottom"/>
            <w:shd w:val="clear" w:color="auto" w:fill="B2D5EE"/>
          </w:tcPr>
          <w:p>
            <w:pPr>
              <w:spacing w:after="0"/>
              <w:rPr>
                <w:sz w:val="20"/>
                <w:szCs w:val="20"/>
                <w:color w:val="auto"/>
              </w:rPr>
            </w:pPr>
            <w:r>
              <w:rPr>
                <w:rFonts w:ascii="Arial" w:cs="Arial" w:eastAsia="Arial" w:hAnsi="Arial"/>
                <w:sz w:val="14"/>
                <w:szCs w:val="14"/>
                <w:color w:val="auto"/>
              </w:rPr>
              <w:t>  Lloyd Minor</w:t>
            </w:r>
          </w:p>
        </w:tc>
        <w:tc>
          <w:tcPr>
            <w:tcW w:w="146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$140,000</w:t>
            </w:r>
          </w:p>
        </w:tc>
        <w:tc>
          <w:tcPr>
            <w:tcW w:w="138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$299,947</w:t>
            </w:r>
          </w:p>
        </w:tc>
        <w:tc>
          <w:tcPr>
            <w:tcW w:w="2040" w:type="dxa"/>
            <w:vAlign w:val="bottom"/>
            <w:shd w:val="clear" w:color="auto" w:fill="B2D5E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2D5EE"/>
          </w:tcPr>
          <w:p>
            <w:pPr>
              <w:jc w:val="center"/>
              <w:ind w:right="8"/>
              <w:spacing w:after="0"/>
              <w:rPr>
                <w:sz w:val="20"/>
                <w:szCs w:val="20"/>
                <w:color w:val="auto"/>
              </w:rPr>
            </w:pPr>
            <w:r>
              <w:rPr>
                <w:rFonts w:ascii="Arial" w:cs="Arial" w:eastAsia="Arial" w:hAnsi="Arial"/>
                <w:sz w:val="14"/>
                <w:szCs w:val="14"/>
                <w:color w:val="auto"/>
              </w:rPr>
              <w:t>$439,947</w:t>
            </w:r>
          </w:p>
        </w:tc>
        <w:tc>
          <w:tcPr>
            <w:tcW w:w="520" w:type="dxa"/>
            <w:vAlign w:val="bottom"/>
            <w:shd w:val="clear" w:color="auto" w:fill="B2D5EE"/>
          </w:tcPr>
          <w:p>
            <w:pPr>
              <w:spacing w:after="0"/>
              <w:rPr>
                <w:sz w:val="24"/>
                <w:szCs w:val="24"/>
                <w:color w:val="auto"/>
              </w:rPr>
            </w:pPr>
          </w:p>
        </w:tc>
      </w:tr>
      <w:tr>
        <w:trPr>
          <w:trHeight w:val="89"/>
        </w:trPr>
        <w:tc>
          <w:tcPr>
            <w:tcW w:w="4500" w:type="dxa"/>
            <w:vAlign w:val="bottom"/>
            <w:shd w:val="clear" w:color="auto" w:fill="B2D5EE"/>
          </w:tcPr>
          <w:p>
            <w:pPr>
              <w:spacing w:after="0"/>
              <w:rPr>
                <w:sz w:val="7"/>
                <w:szCs w:val="7"/>
                <w:color w:val="auto"/>
              </w:rPr>
            </w:pPr>
          </w:p>
        </w:tc>
        <w:tc>
          <w:tcPr>
            <w:tcW w:w="1460" w:type="dxa"/>
            <w:vAlign w:val="bottom"/>
            <w:shd w:val="clear" w:color="auto" w:fill="B2D5EE"/>
          </w:tcPr>
          <w:p>
            <w:pPr>
              <w:spacing w:after="0"/>
              <w:rPr>
                <w:sz w:val="7"/>
                <w:szCs w:val="7"/>
                <w:color w:val="auto"/>
              </w:rPr>
            </w:pPr>
          </w:p>
        </w:tc>
        <w:tc>
          <w:tcPr>
            <w:tcW w:w="1380" w:type="dxa"/>
            <w:vAlign w:val="bottom"/>
            <w:shd w:val="clear" w:color="auto" w:fill="B2D5EE"/>
          </w:tcPr>
          <w:p>
            <w:pPr>
              <w:spacing w:after="0"/>
              <w:rPr>
                <w:sz w:val="7"/>
                <w:szCs w:val="7"/>
                <w:color w:val="auto"/>
              </w:rPr>
            </w:pPr>
          </w:p>
        </w:tc>
        <w:tc>
          <w:tcPr>
            <w:tcW w:w="2040" w:type="dxa"/>
            <w:vAlign w:val="bottom"/>
            <w:shd w:val="clear" w:color="auto" w:fill="B2D5EE"/>
          </w:tcPr>
          <w:p>
            <w:pPr>
              <w:spacing w:after="0"/>
              <w:rPr>
                <w:sz w:val="7"/>
                <w:szCs w:val="7"/>
                <w:color w:val="auto"/>
              </w:rPr>
            </w:pPr>
          </w:p>
        </w:tc>
        <w:tc>
          <w:tcPr>
            <w:tcW w:w="1120" w:type="dxa"/>
            <w:vAlign w:val="bottom"/>
            <w:shd w:val="clear" w:color="auto" w:fill="B2D5EE"/>
          </w:tcPr>
          <w:p>
            <w:pPr>
              <w:spacing w:after="0"/>
              <w:rPr>
                <w:sz w:val="7"/>
                <w:szCs w:val="7"/>
                <w:color w:val="auto"/>
              </w:rPr>
            </w:pPr>
          </w:p>
        </w:tc>
        <w:tc>
          <w:tcPr>
            <w:tcW w:w="520" w:type="dxa"/>
            <w:vAlign w:val="bottom"/>
            <w:shd w:val="clear" w:color="auto" w:fill="B2D5EE"/>
          </w:tcPr>
          <w:p>
            <w:pPr>
              <w:spacing w:after="0"/>
              <w:rPr>
                <w:sz w:val="7"/>
                <w:szCs w:val="7"/>
                <w:color w:val="auto"/>
              </w:rPr>
            </w:pPr>
          </w:p>
        </w:tc>
      </w:tr>
      <w:tr>
        <w:trPr>
          <w:trHeight w:val="289"/>
        </w:trPr>
        <w:tc>
          <w:tcPr>
            <w:tcW w:w="4500" w:type="dxa"/>
            <w:vAlign w:val="bottom"/>
            <w:shd w:val="clear" w:color="auto" w:fill="E5F1F9"/>
          </w:tcPr>
          <w:p>
            <w:pPr>
              <w:spacing w:after="0"/>
              <w:rPr>
                <w:sz w:val="20"/>
                <w:szCs w:val="20"/>
                <w:color w:val="auto"/>
              </w:rPr>
            </w:pPr>
            <w:r>
              <w:rPr>
                <w:rFonts w:ascii="Arial" w:cs="Arial" w:eastAsia="Arial" w:hAnsi="Arial"/>
                <w:sz w:val="14"/>
                <w:szCs w:val="14"/>
                <w:color w:val="auto"/>
              </w:rPr>
              <w:t>  Menelas Pangalos</w:t>
            </w:r>
          </w:p>
        </w:tc>
        <w:tc>
          <w:tcPr>
            <w:tcW w:w="146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$140,000</w:t>
            </w:r>
          </w:p>
        </w:tc>
        <w:tc>
          <w:tcPr>
            <w:tcW w:w="138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$299,947</w:t>
            </w:r>
          </w:p>
        </w:tc>
        <w:tc>
          <w:tcPr>
            <w:tcW w:w="2040" w:type="dxa"/>
            <w:vAlign w:val="bottom"/>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E5F1F9"/>
          </w:tcPr>
          <w:p>
            <w:pPr>
              <w:jc w:val="center"/>
              <w:ind w:right="8"/>
              <w:spacing w:after="0"/>
              <w:rPr>
                <w:sz w:val="20"/>
                <w:szCs w:val="20"/>
                <w:color w:val="auto"/>
              </w:rPr>
            </w:pPr>
            <w:r>
              <w:rPr>
                <w:rFonts w:ascii="Arial" w:cs="Arial" w:eastAsia="Arial" w:hAnsi="Arial"/>
                <w:sz w:val="14"/>
                <w:szCs w:val="14"/>
                <w:color w:val="auto"/>
              </w:rPr>
              <w:t>$439,947</w:t>
            </w:r>
          </w:p>
        </w:tc>
        <w:tc>
          <w:tcPr>
            <w:tcW w:w="520" w:type="dxa"/>
            <w:vAlign w:val="bottom"/>
            <w:shd w:val="clear" w:color="auto" w:fill="E5F1F9"/>
          </w:tcPr>
          <w:p>
            <w:pPr>
              <w:spacing w:after="0"/>
              <w:rPr>
                <w:sz w:val="24"/>
                <w:szCs w:val="24"/>
                <w:color w:val="auto"/>
              </w:rPr>
            </w:pPr>
          </w:p>
        </w:tc>
      </w:tr>
      <w:tr>
        <w:trPr>
          <w:trHeight w:val="89"/>
        </w:trPr>
        <w:tc>
          <w:tcPr>
            <w:tcW w:w="4500" w:type="dxa"/>
            <w:vAlign w:val="bottom"/>
            <w:shd w:val="clear" w:color="auto" w:fill="E5F1F9"/>
          </w:tcPr>
          <w:p>
            <w:pPr>
              <w:spacing w:after="0"/>
              <w:rPr>
                <w:sz w:val="7"/>
                <w:szCs w:val="7"/>
                <w:color w:val="auto"/>
              </w:rPr>
            </w:pPr>
          </w:p>
        </w:tc>
        <w:tc>
          <w:tcPr>
            <w:tcW w:w="1460" w:type="dxa"/>
            <w:vAlign w:val="bottom"/>
            <w:shd w:val="clear" w:color="auto" w:fill="E5F1F9"/>
          </w:tcPr>
          <w:p>
            <w:pPr>
              <w:spacing w:after="0"/>
              <w:rPr>
                <w:sz w:val="7"/>
                <w:szCs w:val="7"/>
                <w:color w:val="auto"/>
              </w:rPr>
            </w:pPr>
          </w:p>
        </w:tc>
        <w:tc>
          <w:tcPr>
            <w:tcW w:w="1380" w:type="dxa"/>
            <w:vAlign w:val="bottom"/>
            <w:shd w:val="clear" w:color="auto" w:fill="E5F1F9"/>
          </w:tcPr>
          <w:p>
            <w:pPr>
              <w:spacing w:after="0"/>
              <w:rPr>
                <w:sz w:val="7"/>
                <w:szCs w:val="7"/>
                <w:color w:val="auto"/>
              </w:rPr>
            </w:pPr>
          </w:p>
        </w:tc>
        <w:tc>
          <w:tcPr>
            <w:tcW w:w="2040" w:type="dxa"/>
            <w:vAlign w:val="bottom"/>
            <w:shd w:val="clear" w:color="auto" w:fill="E5F1F9"/>
          </w:tcPr>
          <w:p>
            <w:pPr>
              <w:spacing w:after="0"/>
              <w:rPr>
                <w:sz w:val="7"/>
                <w:szCs w:val="7"/>
                <w:color w:val="auto"/>
              </w:rPr>
            </w:pPr>
          </w:p>
        </w:tc>
        <w:tc>
          <w:tcPr>
            <w:tcW w:w="1120" w:type="dxa"/>
            <w:vAlign w:val="bottom"/>
            <w:shd w:val="clear" w:color="auto" w:fill="E5F1F9"/>
          </w:tcPr>
          <w:p>
            <w:pPr>
              <w:spacing w:after="0"/>
              <w:rPr>
                <w:sz w:val="7"/>
                <w:szCs w:val="7"/>
                <w:color w:val="auto"/>
              </w:rPr>
            </w:pPr>
          </w:p>
        </w:tc>
        <w:tc>
          <w:tcPr>
            <w:tcW w:w="520" w:type="dxa"/>
            <w:vAlign w:val="bottom"/>
            <w:shd w:val="clear" w:color="auto" w:fill="E5F1F9"/>
          </w:tcPr>
          <w:p>
            <w:pPr>
              <w:spacing w:after="0"/>
              <w:rPr>
                <w:sz w:val="7"/>
                <w:szCs w:val="7"/>
                <w:color w:val="auto"/>
              </w:rPr>
            </w:pPr>
          </w:p>
        </w:tc>
      </w:tr>
      <w:tr>
        <w:trPr>
          <w:trHeight w:val="289"/>
        </w:trPr>
        <w:tc>
          <w:tcPr>
            <w:tcW w:w="4500" w:type="dxa"/>
            <w:vAlign w:val="bottom"/>
            <w:shd w:val="clear" w:color="auto" w:fill="B2D5EE"/>
          </w:tcPr>
          <w:p>
            <w:pPr>
              <w:spacing w:after="0"/>
              <w:rPr>
                <w:sz w:val="20"/>
                <w:szCs w:val="20"/>
                <w:color w:val="auto"/>
              </w:rPr>
            </w:pPr>
            <w:r>
              <w:rPr>
                <w:rFonts w:ascii="Arial" w:cs="Arial" w:eastAsia="Arial" w:hAnsi="Arial"/>
                <w:sz w:val="14"/>
                <w:szCs w:val="14"/>
                <w:color w:val="auto"/>
              </w:rPr>
              <w:t>  Monish Patolawala</w:t>
            </w:r>
          </w:p>
        </w:tc>
        <w:tc>
          <w:tcPr>
            <w:tcW w:w="146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$147,500</w:t>
            </w:r>
          </w:p>
        </w:tc>
        <w:tc>
          <w:tcPr>
            <w:tcW w:w="138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$299,947</w:t>
            </w:r>
          </w:p>
        </w:tc>
        <w:tc>
          <w:tcPr>
            <w:tcW w:w="2040" w:type="dxa"/>
            <w:vAlign w:val="bottom"/>
            <w:shd w:val="clear" w:color="auto" w:fill="B2D5E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2D5EE"/>
          </w:tcPr>
          <w:p>
            <w:pPr>
              <w:jc w:val="center"/>
              <w:ind w:right="8"/>
              <w:spacing w:after="0"/>
              <w:rPr>
                <w:sz w:val="20"/>
                <w:szCs w:val="20"/>
                <w:color w:val="auto"/>
              </w:rPr>
            </w:pPr>
            <w:r>
              <w:rPr>
                <w:rFonts w:ascii="Arial" w:cs="Arial" w:eastAsia="Arial" w:hAnsi="Arial"/>
                <w:sz w:val="14"/>
                <w:szCs w:val="14"/>
                <w:color w:val="auto"/>
              </w:rPr>
              <w:t>$447,447</w:t>
            </w:r>
          </w:p>
        </w:tc>
        <w:tc>
          <w:tcPr>
            <w:tcW w:w="520" w:type="dxa"/>
            <w:vAlign w:val="bottom"/>
            <w:shd w:val="clear" w:color="auto" w:fill="B2D5EE"/>
          </w:tcPr>
          <w:p>
            <w:pPr>
              <w:spacing w:after="0"/>
              <w:rPr>
                <w:sz w:val="24"/>
                <w:szCs w:val="24"/>
                <w:color w:val="auto"/>
              </w:rPr>
            </w:pPr>
          </w:p>
        </w:tc>
      </w:tr>
      <w:tr>
        <w:trPr>
          <w:trHeight w:val="89"/>
        </w:trPr>
        <w:tc>
          <w:tcPr>
            <w:tcW w:w="4500" w:type="dxa"/>
            <w:vAlign w:val="bottom"/>
            <w:shd w:val="clear" w:color="auto" w:fill="B2D5EE"/>
          </w:tcPr>
          <w:p>
            <w:pPr>
              <w:spacing w:after="0"/>
              <w:rPr>
                <w:sz w:val="7"/>
                <w:szCs w:val="7"/>
                <w:color w:val="auto"/>
              </w:rPr>
            </w:pPr>
          </w:p>
        </w:tc>
        <w:tc>
          <w:tcPr>
            <w:tcW w:w="1460" w:type="dxa"/>
            <w:vAlign w:val="bottom"/>
            <w:shd w:val="clear" w:color="auto" w:fill="B2D5EE"/>
          </w:tcPr>
          <w:p>
            <w:pPr>
              <w:spacing w:after="0"/>
              <w:rPr>
                <w:sz w:val="7"/>
                <w:szCs w:val="7"/>
                <w:color w:val="auto"/>
              </w:rPr>
            </w:pPr>
          </w:p>
        </w:tc>
        <w:tc>
          <w:tcPr>
            <w:tcW w:w="1380" w:type="dxa"/>
            <w:vAlign w:val="bottom"/>
            <w:shd w:val="clear" w:color="auto" w:fill="B2D5EE"/>
          </w:tcPr>
          <w:p>
            <w:pPr>
              <w:spacing w:after="0"/>
              <w:rPr>
                <w:sz w:val="7"/>
                <w:szCs w:val="7"/>
                <w:color w:val="auto"/>
              </w:rPr>
            </w:pPr>
          </w:p>
        </w:tc>
        <w:tc>
          <w:tcPr>
            <w:tcW w:w="2040" w:type="dxa"/>
            <w:vAlign w:val="bottom"/>
            <w:shd w:val="clear" w:color="auto" w:fill="B2D5EE"/>
          </w:tcPr>
          <w:p>
            <w:pPr>
              <w:spacing w:after="0"/>
              <w:rPr>
                <w:sz w:val="7"/>
                <w:szCs w:val="7"/>
                <w:color w:val="auto"/>
              </w:rPr>
            </w:pPr>
          </w:p>
        </w:tc>
        <w:tc>
          <w:tcPr>
            <w:tcW w:w="1120" w:type="dxa"/>
            <w:vAlign w:val="bottom"/>
            <w:shd w:val="clear" w:color="auto" w:fill="B2D5EE"/>
          </w:tcPr>
          <w:p>
            <w:pPr>
              <w:spacing w:after="0"/>
              <w:rPr>
                <w:sz w:val="7"/>
                <w:szCs w:val="7"/>
                <w:color w:val="auto"/>
              </w:rPr>
            </w:pPr>
          </w:p>
        </w:tc>
        <w:tc>
          <w:tcPr>
            <w:tcW w:w="520" w:type="dxa"/>
            <w:vAlign w:val="bottom"/>
            <w:shd w:val="clear" w:color="auto" w:fill="B2D5EE"/>
          </w:tcPr>
          <w:p>
            <w:pPr>
              <w:spacing w:after="0"/>
              <w:rPr>
                <w:sz w:val="7"/>
                <w:szCs w:val="7"/>
                <w:color w:val="auto"/>
              </w:rPr>
            </w:pPr>
          </w:p>
        </w:tc>
      </w:tr>
      <w:tr>
        <w:trPr>
          <w:trHeight w:val="289"/>
        </w:trPr>
        <w:tc>
          <w:tcPr>
            <w:tcW w:w="4500" w:type="dxa"/>
            <w:vAlign w:val="bottom"/>
            <w:shd w:val="clear" w:color="auto" w:fill="E5F1F9"/>
          </w:tcPr>
          <w:p>
            <w:pPr>
              <w:spacing w:after="0"/>
              <w:rPr>
                <w:sz w:val="20"/>
                <w:szCs w:val="20"/>
                <w:color w:val="auto"/>
              </w:rPr>
            </w:pPr>
            <w:r>
              <w:rPr>
                <w:rFonts w:ascii="Arial" w:cs="Arial" w:eastAsia="Arial" w:hAnsi="Arial"/>
                <w:sz w:val="14"/>
                <w:szCs w:val="14"/>
                <w:color w:val="auto"/>
              </w:rPr>
              <w:t>  Eric K. Rowinsky</w:t>
            </w:r>
          </w:p>
        </w:tc>
        <w:tc>
          <w:tcPr>
            <w:tcW w:w="146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$155,000</w:t>
            </w:r>
          </w:p>
        </w:tc>
        <w:tc>
          <w:tcPr>
            <w:tcW w:w="138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$299,947</w:t>
            </w:r>
          </w:p>
        </w:tc>
        <w:tc>
          <w:tcPr>
            <w:tcW w:w="2040" w:type="dxa"/>
            <w:vAlign w:val="bottom"/>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E5F1F9"/>
          </w:tcPr>
          <w:p>
            <w:pPr>
              <w:jc w:val="center"/>
              <w:ind w:right="8"/>
              <w:spacing w:after="0"/>
              <w:rPr>
                <w:sz w:val="20"/>
                <w:szCs w:val="20"/>
                <w:color w:val="auto"/>
              </w:rPr>
            </w:pPr>
            <w:r>
              <w:rPr>
                <w:rFonts w:ascii="Arial" w:cs="Arial" w:eastAsia="Arial" w:hAnsi="Arial"/>
                <w:sz w:val="14"/>
                <w:szCs w:val="14"/>
                <w:color w:val="auto"/>
              </w:rPr>
              <w:t>$454,947</w:t>
            </w:r>
          </w:p>
        </w:tc>
        <w:tc>
          <w:tcPr>
            <w:tcW w:w="520" w:type="dxa"/>
            <w:vAlign w:val="bottom"/>
            <w:shd w:val="clear" w:color="auto" w:fill="E5F1F9"/>
          </w:tcPr>
          <w:p>
            <w:pPr>
              <w:spacing w:after="0"/>
              <w:rPr>
                <w:sz w:val="24"/>
                <w:szCs w:val="24"/>
                <w:color w:val="auto"/>
              </w:rPr>
            </w:pPr>
          </w:p>
        </w:tc>
      </w:tr>
      <w:tr>
        <w:trPr>
          <w:trHeight w:val="89"/>
        </w:trPr>
        <w:tc>
          <w:tcPr>
            <w:tcW w:w="4500" w:type="dxa"/>
            <w:vAlign w:val="bottom"/>
            <w:shd w:val="clear" w:color="auto" w:fill="E5F1F9"/>
          </w:tcPr>
          <w:p>
            <w:pPr>
              <w:spacing w:after="0"/>
              <w:rPr>
                <w:sz w:val="7"/>
                <w:szCs w:val="7"/>
                <w:color w:val="auto"/>
              </w:rPr>
            </w:pPr>
          </w:p>
        </w:tc>
        <w:tc>
          <w:tcPr>
            <w:tcW w:w="1460" w:type="dxa"/>
            <w:vAlign w:val="bottom"/>
            <w:shd w:val="clear" w:color="auto" w:fill="E5F1F9"/>
          </w:tcPr>
          <w:p>
            <w:pPr>
              <w:spacing w:after="0"/>
              <w:rPr>
                <w:sz w:val="7"/>
                <w:szCs w:val="7"/>
                <w:color w:val="auto"/>
              </w:rPr>
            </w:pPr>
          </w:p>
        </w:tc>
        <w:tc>
          <w:tcPr>
            <w:tcW w:w="1380" w:type="dxa"/>
            <w:vAlign w:val="bottom"/>
            <w:shd w:val="clear" w:color="auto" w:fill="E5F1F9"/>
          </w:tcPr>
          <w:p>
            <w:pPr>
              <w:spacing w:after="0"/>
              <w:rPr>
                <w:sz w:val="7"/>
                <w:szCs w:val="7"/>
                <w:color w:val="auto"/>
              </w:rPr>
            </w:pPr>
          </w:p>
        </w:tc>
        <w:tc>
          <w:tcPr>
            <w:tcW w:w="2040" w:type="dxa"/>
            <w:vAlign w:val="bottom"/>
            <w:shd w:val="clear" w:color="auto" w:fill="E5F1F9"/>
          </w:tcPr>
          <w:p>
            <w:pPr>
              <w:spacing w:after="0"/>
              <w:rPr>
                <w:sz w:val="7"/>
                <w:szCs w:val="7"/>
                <w:color w:val="auto"/>
              </w:rPr>
            </w:pPr>
          </w:p>
        </w:tc>
        <w:tc>
          <w:tcPr>
            <w:tcW w:w="1120" w:type="dxa"/>
            <w:vAlign w:val="bottom"/>
            <w:shd w:val="clear" w:color="auto" w:fill="E5F1F9"/>
          </w:tcPr>
          <w:p>
            <w:pPr>
              <w:spacing w:after="0"/>
              <w:rPr>
                <w:sz w:val="7"/>
                <w:szCs w:val="7"/>
                <w:color w:val="auto"/>
              </w:rPr>
            </w:pPr>
          </w:p>
        </w:tc>
        <w:tc>
          <w:tcPr>
            <w:tcW w:w="520" w:type="dxa"/>
            <w:vAlign w:val="bottom"/>
            <w:shd w:val="clear" w:color="auto" w:fill="E5F1F9"/>
          </w:tcPr>
          <w:p>
            <w:pPr>
              <w:spacing w:after="0"/>
              <w:rPr>
                <w:sz w:val="7"/>
                <w:szCs w:val="7"/>
                <w:color w:val="auto"/>
              </w:rPr>
            </w:pPr>
          </w:p>
        </w:tc>
      </w:tr>
      <w:tr>
        <w:trPr>
          <w:trHeight w:val="289"/>
        </w:trPr>
        <w:tc>
          <w:tcPr>
            <w:tcW w:w="4500" w:type="dxa"/>
            <w:vAlign w:val="bottom"/>
            <w:shd w:val="clear" w:color="auto" w:fill="B2D5EE"/>
          </w:tcPr>
          <w:p>
            <w:pPr>
              <w:spacing w:after="0"/>
              <w:rPr>
                <w:sz w:val="20"/>
                <w:szCs w:val="20"/>
                <w:color w:val="auto"/>
              </w:rPr>
            </w:pPr>
            <w:r>
              <w:rPr>
                <w:rFonts w:ascii="Arial" w:cs="Arial" w:eastAsia="Arial" w:hAnsi="Arial"/>
                <w:sz w:val="14"/>
                <w:szCs w:val="14"/>
                <w:color w:val="auto"/>
              </w:rPr>
              <w:t>  Stephen A. Sherwin</w:t>
            </w:r>
          </w:p>
        </w:tc>
        <w:tc>
          <w:tcPr>
            <w:tcW w:w="146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$140,000</w:t>
            </w:r>
          </w:p>
        </w:tc>
        <w:tc>
          <w:tcPr>
            <w:tcW w:w="138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$299,947</w:t>
            </w:r>
          </w:p>
        </w:tc>
        <w:tc>
          <w:tcPr>
            <w:tcW w:w="2040" w:type="dxa"/>
            <w:vAlign w:val="bottom"/>
            <w:shd w:val="clear" w:color="auto" w:fill="B2D5E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2D5EE"/>
          </w:tcPr>
          <w:p>
            <w:pPr>
              <w:jc w:val="center"/>
              <w:ind w:right="8"/>
              <w:spacing w:after="0"/>
              <w:rPr>
                <w:sz w:val="20"/>
                <w:szCs w:val="20"/>
                <w:color w:val="auto"/>
              </w:rPr>
            </w:pPr>
            <w:r>
              <w:rPr>
                <w:rFonts w:ascii="Arial" w:cs="Arial" w:eastAsia="Arial" w:hAnsi="Arial"/>
                <w:sz w:val="14"/>
                <w:szCs w:val="14"/>
                <w:color w:val="auto"/>
              </w:rPr>
              <w:t>$439,947</w:t>
            </w:r>
          </w:p>
        </w:tc>
        <w:tc>
          <w:tcPr>
            <w:tcW w:w="520" w:type="dxa"/>
            <w:vAlign w:val="bottom"/>
            <w:shd w:val="clear" w:color="auto" w:fill="B2D5EE"/>
          </w:tcPr>
          <w:p>
            <w:pPr>
              <w:spacing w:after="0"/>
              <w:rPr>
                <w:sz w:val="24"/>
                <w:szCs w:val="24"/>
                <w:color w:val="auto"/>
              </w:rPr>
            </w:pPr>
          </w:p>
        </w:tc>
      </w:tr>
      <w:tr>
        <w:trPr>
          <w:trHeight w:val="89"/>
        </w:trPr>
        <w:tc>
          <w:tcPr>
            <w:tcW w:w="4500" w:type="dxa"/>
            <w:vAlign w:val="bottom"/>
            <w:tcBorders>
              <w:bottom w:val="single" w:sz="8" w:color="auto"/>
            </w:tcBorders>
            <w:shd w:val="clear" w:color="auto" w:fill="B2D5EE"/>
          </w:tcPr>
          <w:p>
            <w:pPr>
              <w:spacing w:after="0"/>
              <w:rPr>
                <w:sz w:val="7"/>
                <w:szCs w:val="7"/>
                <w:color w:val="auto"/>
              </w:rPr>
            </w:pPr>
          </w:p>
        </w:tc>
        <w:tc>
          <w:tcPr>
            <w:tcW w:w="1460" w:type="dxa"/>
            <w:vAlign w:val="bottom"/>
            <w:tcBorders>
              <w:bottom w:val="single" w:sz="8" w:color="auto"/>
            </w:tcBorders>
            <w:shd w:val="clear" w:color="auto" w:fill="B2D5EE"/>
          </w:tcPr>
          <w:p>
            <w:pPr>
              <w:spacing w:after="0"/>
              <w:rPr>
                <w:sz w:val="7"/>
                <w:szCs w:val="7"/>
                <w:color w:val="auto"/>
              </w:rPr>
            </w:pPr>
          </w:p>
        </w:tc>
        <w:tc>
          <w:tcPr>
            <w:tcW w:w="1380" w:type="dxa"/>
            <w:vAlign w:val="bottom"/>
            <w:tcBorders>
              <w:bottom w:val="single" w:sz="8" w:color="auto"/>
            </w:tcBorders>
            <w:shd w:val="clear" w:color="auto" w:fill="B2D5EE"/>
          </w:tcPr>
          <w:p>
            <w:pPr>
              <w:spacing w:after="0"/>
              <w:rPr>
                <w:sz w:val="7"/>
                <w:szCs w:val="7"/>
                <w:color w:val="auto"/>
              </w:rPr>
            </w:pPr>
          </w:p>
        </w:tc>
        <w:tc>
          <w:tcPr>
            <w:tcW w:w="2040" w:type="dxa"/>
            <w:vAlign w:val="bottom"/>
            <w:tcBorders>
              <w:bottom w:val="single" w:sz="8" w:color="auto"/>
            </w:tcBorders>
            <w:shd w:val="clear" w:color="auto" w:fill="B2D5EE"/>
          </w:tcPr>
          <w:p>
            <w:pPr>
              <w:spacing w:after="0"/>
              <w:rPr>
                <w:sz w:val="7"/>
                <w:szCs w:val="7"/>
                <w:color w:val="auto"/>
              </w:rPr>
            </w:pPr>
          </w:p>
        </w:tc>
        <w:tc>
          <w:tcPr>
            <w:tcW w:w="1120" w:type="dxa"/>
            <w:vAlign w:val="bottom"/>
            <w:tcBorders>
              <w:bottom w:val="single" w:sz="8" w:color="auto"/>
            </w:tcBorders>
            <w:shd w:val="clear" w:color="auto" w:fill="B2D5EE"/>
          </w:tcPr>
          <w:p>
            <w:pPr>
              <w:spacing w:after="0"/>
              <w:rPr>
                <w:sz w:val="7"/>
                <w:szCs w:val="7"/>
                <w:color w:val="auto"/>
              </w:rPr>
            </w:pPr>
          </w:p>
        </w:tc>
        <w:tc>
          <w:tcPr>
            <w:tcW w:w="520" w:type="dxa"/>
            <w:vAlign w:val="bottom"/>
            <w:tcBorders>
              <w:bottom w:val="single" w:sz="8" w:color="auto"/>
            </w:tcBorders>
            <w:shd w:val="clear" w:color="auto" w:fill="B2D5EE"/>
          </w:tcPr>
          <w:p>
            <w:pPr>
              <w:spacing w:after="0"/>
              <w:rPr>
                <w:sz w:val="7"/>
                <w:szCs w:val="7"/>
                <w:color w:val="auto"/>
              </w:rPr>
            </w:pPr>
          </w:p>
        </w:tc>
      </w:tr>
      <w:tr>
        <w:trPr>
          <w:trHeight w:val="202"/>
        </w:trPr>
        <w:tc>
          <w:tcPr>
            <w:tcW w:w="4500" w:type="dxa"/>
            <w:vAlign w:val="bottom"/>
          </w:tcPr>
          <w:p>
            <w:pPr>
              <w:spacing w:after="0"/>
              <w:rPr>
                <w:sz w:val="20"/>
                <w:szCs w:val="20"/>
                <w:color w:val="auto"/>
              </w:rPr>
            </w:pPr>
            <w:r>
              <w:rPr>
                <w:rFonts w:ascii="Arial" w:cs="Arial" w:eastAsia="Arial" w:hAnsi="Arial"/>
                <w:sz w:val="14"/>
                <w:szCs w:val="14"/>
                <w:i w:val="1"/>
                <w:iCs w:val="1"/>
                <w:color w:val="auto"/>
              </w:rPr>
              <w:t>Notes to the 2025 Director Compensation Table</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93" w:lineRule="exact"/>
        <w:rPr>
          <w:sz w:val="20"/>
          <w:szCs w:val="20"/>
          <w:color w:val="auto"/>
        </w:rPr>
      </w:pPr>
    </w:p>
    <w:p>
      <w:pPr>
        <w:ind w:left="540" w:right="140" w:hanging="424"/>
        <w:spacing w:after="0" w:line="246"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the grant date fair value of RSU awards made in 2025 to non-employee directors under the 2024 Omnibus Equity Plan, as described in the narrative preceding this table. These RSUs are scheduled to vest in full and be settled in stock at the earlier of (i) the first anniversary of the grant date or (ii) the 2026 Annual Meeting, generally subject to continued service. Grant date fair values were computed in accordance with ASC 718, excluding the effect of estimated forfeitures, and determined by multiplying the number of RSUs awarded by the fair market value of the company’s common stock on the relevant grant date.</w:t>
      </w:r>
    </w:p>
    <w:p>
      <w:pPr>
        <w:spacing w:after="0" w:line="1" w:lineRule="exact"/>
        <w:rPr>
          <w:rFonts w:ascii="Arial" w:cs="Arial" w:eastAsia="Arial" w:hAnsi="Arial"/>
          <w:sz w:val="14"/>
          <w:szCs w:val="14"/>
          <w:color w:val="auto"/>
        </w:rPr>
      </w:pPr>
    </w:p>
    <w:p>
      <w:pPr>
        <w:ind w:left="540" w:right="80" w:hanging="424"/>
        <w:spacing w:after="0" w:line="249"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matching contributions made in 2025 by the Biogen Foundation on behalf of the director pursuant to the terms of a matching gift program offered by the Biogen Foundation to all U.S. employees and non-employee directors of Biogen. Under the matching gift program, the Biogen Foundation matches gifts to eligible U.S.-based non-profit organizations, in accordance with the Biogen Foundation’s guidelines, up to an annual maximum per donor amount of $5,000 per calendar year and up to an aggregate program total of $1.5 million per calendar year.</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Director Equity Awards Outstanding at 2025 Fiscal Year-End</w:t>
      </w:r>
    </w:p>
    <w:p>
      <w:pPr>
        <w:spacing w:after="0" w:line="108"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The following table summarizes the equity awards that were outstanding as of December 31, 2025, for each of the non-employee directors serving as of December 31, 2025.</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343"/>
        </w:trPr>
        <w:tc>
          <w:tcPr>
            <w:tcW w:w="2380" w:type="dxa"/>
            <w:vAlign w:val="bottom"/>
            <w:shd w:val="clear" w:color="auto" w:fill="0075C9"/>
          </w:tcPr>
          <w:p>
            <w:pPr>
              <w:spacing w:after="0"/>
              <w:rPr>
                <w:sz w:val="24"/>
                <w:szCs w:val="24"/>
                <w:color w:val="auto"/>
              </w:rPr>
            </w:pPr>
          </w:p>
        </w:tc>
        <w:tc>
          <w:tcPr>
            <w:tcW w:w="290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7"/>
              </w:rPr>
              <w:t>Stock Awards</w:t>
            </w:r>
            <w:r>
              <w:rPr>
                <w:rFonts w:ascii="Arial" w:cs="Arial" w:eastAsia="Arial" w:hAnsi="Arial"/>
                <w:sz w:val="21"/>
                <w:szCs w:val="21"/>
                <w:color w:val="FFFFFF"/>
                <w:w w:val="97"/>
                <w:vertAlign w:val="superscript"/>
              </w:rPr>
              <w:t>(1)</w:t>
            </w:r>
          </w:p>
        </w:tc>
      </w:tr>
      <w:tr>
        <w:trPr>
          <w:trHeight w:val="269"/>
        </w:trPr>
        <w:tc>
          <w:tcPr>
            <w:tcW w:w="2380" w:type="dxa"/>
            <w:vAlign w:val="bottom"/>
            <w:shd w:val="clear" w:color="auto" w:fill="0075C9"/>
          </w:tcPr>
          <w:p>
            <w:pPr>
              <w:spacing w:after="0"/>
              <w:rPr>
                <w:sz w:val="23"/>
                <w:szCs w:val="23"/>
                <w:color w:val="auto"/>
              </w:rPr>
            </w:pPr>
          </w:p>
        </w:tc>
        <w:tc>
          <w:tcPr>
            <w:tcW w:w="2900" w:type="dxa"/>
            <w:vAlign w:val="bottom"/>
            <w:shd w:val="clear" w:color="auto" w:fill="0075C9"/>
          </w:tcPr>
          <w:p>
            <w:pPr>
              <w:ind w:left="60"/>
              <w:spacing w:after="0"/>
              <w:rPr>
                <w:sz w:val="20"/>
                <w:szCs w:val="20"/>
                <w:color w:val="auto"/>
              </w:rPr>
            </w:pPr>
            <w:r>
              <w:rPr>
                <w:rFonts w:ascii="Arial" w:cs="Arial" w:eastAsia="Arial" w:hAnsi="Arial"/>
                <w:sz w:val="14"/>
                <w:szCs w:val="14"/>
                <w:color w:val="FFFFFF"/>
              </w:rPr>
              <w:t>   Number of Shares or Units of Stock</w:t>
            </w:r>
          </w:p>
        </w:tc>
      </w:tr>
      <w:tr>
        <w:trPr>
          <w:trHeight w:val="219"/>
        </w:trPr>
        <w:tc>
          <w:tcPr>
            <w:tcW w:w="238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4"/>
                <w:szCs w:val="14"/>
                <w:color w:val="FFFFFF"/>
              </w:rPr>
              <w:t>  Name</w:t>
            </w:r>
          </w:p>
        </w:tc>
        <w:tc>
          <w:tcPr>
            <w:tcW w:w="2900" w:type="dxa"/>
            <w:vAlign w:val="bottom"/>
            <w:tcBorders>
              <w:bottom w:val="single" w:sz="8" w:color="0075C9"/>
            </w:tcBorders>
            <w:shd w:val="clear" w:color="auto" w:fill="0075C9"/>
          </w:tcPr>
          <w:p>
            <w:pPr>
              <w:ind w:left="60"/>
              <w:spacing w:after="0"/>
              <w:rPr>
                <w:sz w:val="20"/>
                <w:szCs w:val="20"/>
                <w:color w:val="auto"/>
              </w:rPr>
            </w:pPr>
            <w:r>
              <w:rPr>
                <w:rFonts w:ascii="Arial" w:cs="Arial" w:eastAsia="Arial" w:hAnsi="Arial"/>
                <w:sz w:val="14"/>
                <w:szCs w:val="14"/>
                <w:color w:val="FFFFFF"/>
              </w:rPr>
              <w:t>   That Have Not Vested</w:t>
            </w:r>
          </w:p>
        </w:tc>
      </w:tr>
      <w:tr>
        <w:trPr>
          <w:trHeight w:val="289"/>
        </w:trPr>
        <w:tc>
          <w:tcPr>
            <w:tcW w:w="2380" w:type="dxa"/>
            <w:vAlign w:val="bottom"/>
            <w:shd w:val="clear" w:color="auto" w:fill="E5F1F9"/>
          </w:tcPr>
          <w:p>
            <w:pPr>
              <w:spacing w:after="0"/>
              <w:rPr>
                <w:sz w:val="20"/>
                <w:szCs w:val="20"/>
                <w:color w:val="auto"/>
              </w:rPr>
            </w:pPr>
            <w:r>
              <w:rPr>
                <w:rFonts w:ascii="Arial" w:cs="Arial" w:eastAsia="Arial" w:hAnsi="Arial"/>
                <w:sz w:val="14"/>
                <w:szCs w:val="14"/>
                <w:color w:val="auto"/>
              </w:rPr>
              <w:t>  Caroline D. Dorsa</w:t>
            </w:r>
          </w:p>
        </w:tc>
        <w:tc>
          <w:tcPr>
            <w:tcW w:w="290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3,160</w:t>
            </w:r>
          </w:p>
        </w:tc>
      </w:tr>
      <w:tr>
        <w:trPr>
          <w:trHeight w:val="89"/>
        </w:trPr>
        <w:tc>
          <w:tcPr>
            <w:tcW w:w="2380" w:type="dxa"/>
            <w:vAlign w:val="bottom"/>
            <w:shd w:val="clear" w:color="auto" w:fill="E5F1F9"/>
          </w:tcPr>
          <w:p>
            <w:pPr>
              <w:spacing w:after="0"/>
              <w:rPr>
                <w:sz w:val="7"/>
                <w:szCs w:val="7"/>
                <w:color w:val="auto"/>
              </w:rPr>
            </w:pPr>
          </w:p>
        </w:tc>
        <w:tc>
          <w:tcPr>
            <w:tcW w:w="2900" w:type="dxa"/>
            <w:vAlign w:val="bottom"/>
            <w:shd w:val="clear" w:color="auto" w:fill="E5F1F9"/>
          </w:tcPr>
          <w:p>
            <w:pPr>
              <w:spacing w:after="0"/>
              <w:rPr>
                <w:sz w:val="7"/>
                <w:szCs w:val="7"/>
                <w:color w:val="auto"/>
              </w:rPr>
            </w:pPr>
          </w:p>
        </w:tc>
      </w:tr>
      <w:tr>
        <w:trPr>
          <w:trHeight w:val="289"/>
        </w:trPr>
        <w:tc>
          <w:tcPr>
            <w:tcW w:w="2380" w:type="dxa"/>
            <w:vAlign w:val="bottom"/>
            <w:shd w:val="clear" w:color="auto" w:fill="B2D5EE"/>
          </w:tcPr>
          <w:p>
            <w:pPr>
              <w:spacing w:after="0"/>
              <w:rPr>
                <w:sz w:val="20"/>
                <w:szCs w:val="20"/>
                <w:color w:val="auto"/>
              </w:rPr>
            </w:pPr>
            <w:r>
              <w:rPr>
                <w:rFonts w:ascii="Arial" w:cs="Arial" w:eastAsia="Arial" w:hAnsi="Arial"/>
                <w:sz w:val="14"/>
                <w:szCs w:val="14"/>
                <w:color w:val="auto"/>
              </w:rPr>
              <w:t>  Maria C. Freire</w:t>
            </w:r>
          </w:p>
        </w:tc>
        <w:tc>
          <w:tcPr>
            <w:tcW w:w="290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2,370</w:t>
            </w:r>
          </w:p>
        </w:tc>
      </w:tr>
      <w:tr>
        <w:trPr>
          <w:trHeight w:val="89"/>
        </w:trPr>
        <w:tc>
          <w:tcPr>
            <w:tcW w:w="2380" w:type="dxa"/>
            <w:vAlign w:val="bottom"/>
            <w:shd w:val="clear" w:color="auto" w:fill="B2D5EE"/>
          </w:tcPr>
          <w:p>
            <w:pPr>
              <w:spacing w:after="0"/>
              <w:rPr>
                <w:sz w:val="7"/>
                <w:szCs w:val="7"/>
                <w:color w:val="auto"/>
              </w:rPr>
            </w:pPr>
          </w:p>
        </w:tc>
        <w:tc>
          <w:tcPr>
            <w:tcW w:w="2900" w:type="dxa"/>
            <w:vAlign w:val="bottom"/>
            <w:shd w:val="clear" w:color="auto" w:fill="B2D5EE"/>
          </w:tcPr>
          <w:p>
            <w:pPr>
              <w:spacing w:after="0"/>
              <w:rPr>
                <w:sz w:val="7"/>
                <w:szCs w:val="7"/>
                <w:color w:val="auto"/>
              </w:rPr>
            </w:pPr>
          </w:p>
        </w:tc>
      </w:tr>
      <w:tr>
        <w:trPr>
          <w:trHeight w:val="289"/>
        </w:trPr>
        <w:tc>
          <w:tcPr>
            <w:tcW w:w="2380" w:type="dxa"/>
            <w:vAlign w:val="bottom"/>
            <w:shd w:val="clear" w:color="auto" w:fill="E5F1F9"/>
          </w:tcPr>
          <w:p>
            <w:pPr>
              <w:spacing w:after="0"/>
              <w:rPr>
                <w:sz w:val="20"/>
                <w:szCs w:val="20"/>
                <w:color w:val="auto"/>
              </w:rPr>
            </w:pPr>
            <w:r>
              <w:rPr>
                <w:rFonts w:ascii="Arial" w:cs="Arial" w:eastAsia="Arial" w:hAnsi="Arial"/>
                <w:sz w:val="14"/>
                <w:szCs w:val="14"/>
                <w:color w:val="auto"/>
              </w:rPr>
              <w:t>  William A. Hawkins</w:t>
            </w:r>
          </w:p>
        </w:tc>
        <w:tc>
          <w:tcPr>
            <w:tcW w:w="290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2,370</w:t>
            </w:r>
          </w:p>
        </w:tc>
      </w:tr>
      <w:tr>
        <w:trPr>
          <w:trHeight w:val="89"/>
        </w:trPr>
        <w:tc>
          <w:tcPr>
            <w:tcW w:w="2380" w:type="dxa"/>
            <w:vAlign w:val="bottom"/>
            <w:shd w:val="clear" w:color="auto" w:fill="E5F1F9"/>
          </w:tcPr>
          <w:p>
            <w:pPr>
              <w:spacing w:after="0"/>
              <w:rPr>
                <w:sz w:val="7"/>
                <w:szCs w:val="7"/>
                <w:color w:val="auto"/>
              </w:rPr>
            </w:pPr>
          </w:p>
        </w:tc>
        <w:tc>
          <w:tcPr>
            <w:tcW w:w="2900" w:type="dxa"/>
            <w:vAlign w:val="bottom"/>
            <w:shd w:val="clear" w:color="auto" w:fill="E5F1F9"/>
          </w:tcPr>
          <w:p>
            <w:pPr>
              <w:spacing w:after="0"/>
              <w:rPr>
                <w:sz w:val="7"/>
                <w:szCs w:val="7"/>
                <w:color w:val="auto"/>
              </w:rPr>
            </w:pPr>
          </w:p>
        </w:tc>
      </w:tr>
      <w:tr>
        <w:trPr>
          <w:trHeight w:val="289"/>
        </w:trPr>
        <w:tc>
          <w:tcPr>
            <w:tcW w:w="2380" w:type="dxa"/>
            <w:vAlign w:val="bottom"/>
            <w:shd w:val="clear" w:color="auto" w:fill="B2D5EE"/>
          </w:tcPr>
          <w:p>
            <w:pPr>
              <w:spacing w:after="0"/>
              <w:rPr>
                <w:sz w:val="20"/>
                <w:szCs w:val="20"/>
                <w:color w:val="auto"/>
              </w:rPr>
            </w:pPr>
            <w:r>
              <w:rPr>
                <w:rFonts w:ascii="Arial" w:cs="Arial" w:eastAsia="Arial" w:hAnsi="Arial"/>
                <w:sz w:val="14"/>
                <w:szCs w:val="14"/>
                <w:color w:val="auto"/>
              </w:rPr>
              <w:t>  Susan K. Langer</w:t>
            </w:r>
          </w:p>
        </w:tc>
        <w:tc>
          <w:tcPr>
            <w:tcW w:w="290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2,370</w:t>
            </w:r>
          </w:p>
        </w:tc>
      </w:tr>
      <w:tr>
        <w:trPr>
          <w:trHeight w:val="89"/>
        </w:trPr>
        <w:tc>
          <w:tcPr>
            <w:tcW w:w="2380" w:type="dxa"/>
            <w:vAlign w:val="bottom"/>
            <w:shd w:val="clear" w:color="auto" w:fill="B2D5EE"/>
          </w:tcPr>
          <w:p>
            <w:pPr>
              <w:spacing w:after="0"/>
              <w:rPr>
                <w:sz w:val="7"/>
                <w:szCs w:val="7"/>
                <w:color w:val="auto"/>
              </w:rPr>
            </w:pPr>
          </w:p>
        </w:tc>
        <w:tc>
          <w:tcPr>
            <w:tcW w:w="2900" w:type="dxa"/>
            <w:vAlign w:val="bottom"/>
            <w:shd w:val="clear" w:color="auto" w:fill="B2D5EE"/>
          </w:tcPr>
          <w:p>
            <w:pPr>
              <w:spacing w:after="0"/>
              <w:rPr>
                <w:sz w:val="7"/>
                <w:szCs w:val="7"/>
                <w:color w:val="auto"/>
              </w:rPr>
            </w:pPr>
          </w:p>
        </w:tc>
      </w:tr>
      <w:tr>
        <w:trPr>
          <w:trHeight w:val="289"/>
        </w:trPr>
        <w:tc>
          <w:tcPr>
            <w:tcW w:w="2380" w:type="dxa"/>
            <w:vAlign w:val="bottom"/>
            <w:shd w:val="clear" w:color="auto" w:fill="E5F1F9"/>
          </w:tcPr>
          <w:p>
            <w:pPr>
              <w:spacing w:after="0"/>
              <w:rPr>
                <w:sz w:val="20"/>
                <w:szCs w:val="20"/>
                <w:color w:val="auto"/>
              </w:rPr>
            </w:pPr>
            <w:r>
              <w:rPr>
                <w:rFonts w:ascii="Arial" w:cs="Arial" w:eastAsia="Arial" w:hAnsi="Arial"/>
                <w:sz w:val="14"/>
                <w:szCs w:val="14"/>
                <w:color w:val="auto"/>
              </w:rPr>
              <w:t>  Jesus B. Mantas</w:t>
            </w:r>
          </w:p>
        </w:tc>
        <w:tc>
          <w:tcPr>
            <w:tcW w:w="290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2,370</w:t>
            </w:r>
          </w:p>
        </w:tc>
      </w:tr>
      <w:tr>
        <w:trPr>
          <w:trHeight w:val="89"/>
        </w:trPr>
        <w:tc>
          <w:tcPr>
            <w:tcW w:w="2380" w:type="dxa"/>
            <w:vAlign w:val="bottom"/>
            <w:shd w:val="clear" w:color="auto" w:fill="E5F1F9"/>
          </w:tcPr>
          <w:p>
            <w:pPr>
              <w:spacing w:after="0"/>
              <w:rPr>
                <w:sz w:val="7"/>
                <w:szCs w:val="7"/>
                <w:color w:val="auto"/>
              </w:rPr>
            </w:pPr>
          </w:p>
        </w:tc>
        <w:tc>
          <w:tcPr>
            <w:tcW w:w="2900" w:type="dxa"/>
            <w:vAlign w:val="bottom"/>
            <w:shd w:val="clear" w:color="auto" w:fill="E5F1F9"/>
          </w:tcPr>
          <w:p>
            <w:pPr>
              <w:spacing w:after="0"/>
              <w:rPr>
                <w:sz w:val="7"/>
                <w:szCs w:val="7"/>
                <w:color w:val="auto"/>
              </w:rPr>
            </w:pPr>
          </w:p>
        </w:tc>
      </w:tr>
      <w:tr>
        <w:trPr>
          <w:trHeight w:val="289"/>
        </w:trPr>
        <w:tc>
          <w:tcPr>
            <w:tcW w:w="2380" w:type="dxa"/>
            <w:vAlign w:val="bottom"/>
            <w:shd w:val="clear" w:color="auto" w:fill="B2D5EE"/>
          </w:tcPr>
          <w:p>
            <w:pPr>
              <w:spacing w:after="0"/>
              <w:rPr>
                <w:sz w:val="20"/>
                <w:szCs w:val="20"/>
                <w:color w:val="auto"/>
              </w:rPr>
            </w:pPr>
            <w:r>
              <w:rPr>
                <w:rFonts w:ascii="Arial" w:cs="Arial" w:eastAsia="Arial" w:hAnsi="Arial"/>
                <w:sz w:val="14"/>
                <w:szCs w:val="14"/>
                <w:color w:val="auto"/>
              </w:rPr>
              <w:t>  Lloyd Minor</w:t>
            </w:r>
          </w:p>
        </w:tc>
        <w:tc>
          <w:tcPr>
            <w:tcW w:w="290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2,370</w:t>
            </w:r>
          </w:p>
        </w:tc>
      </w:tr>
      <w:tr>
        <w:trPr>
          <w:trHeight w:val="89"/>
        </w:trPr>
        <w:tc>
          <w:tcPr>
            <w:tcW w:w="2380" w:type="dxa"/>
            <w:vAlign w:val="bottom"/>
            <w:shd w:val="clear" w:color="auto" w:fill="B2D5EE"/>
          </w:tcPr>
          <w:p>
            <w:pPr>
              <w:spacing w:after="0"/>
              <w:rPr>
                <w:sz w:val="7"/>
                <w:szCs w:val="7"/>
                <w:color w:val="auto"/>
              </w:rPr>
            </w:pPr>
          </w:p>
        </w:tc>
        <w:tc>
          <w:tcPr>
            <w:tcW w:w="2900" w:type="dxa"/>
            <w:vAlign w:val="bottom"/>
            <w:shd w:val="clear" w:color="auto" w:fill="B2D5EE"/>
          </w:tcPr>
          <w:p>
            <w:pPr>
              <w:spacing w:after="0"/>
              <w:rPr>
                <w:sz w:val="7"/>
                <w:szCs w:val="7"/>
                <w:color w:val="auto"/>
              </w:rPr>
            </w:pPr>
          </w:p>
        </w:tc>
      </w:tr>
      <w:tr>
        <w:trPr>
          <w:trHeight w:val="289"/>
        </w:trPr>
        <w:tc>
          <w:tcPr>
            <w:tcW w:w="2380" w:type="dxa"/>
            <w:vAlign w:val="bottom"/>
            <w:shd w:val="clear" w:color="auto" w:fill="E5F1F9"/>
          </w:tcPr>
          <w:p>
            <w:pPr>
              <w:spacing w:after="0"/>
              <w:rPr>
                <w:sz w:val="20"/>
                <w:szCs w:val="20"/>
                <w:color w:val="auto"/>
              </w:rPr>
            </w:pPr>
            <w:r>
              <w:rPr>
                <w:rFonts w:ascii="Arial" w:cs="Arial" w:eastAsia="Arial" w:hAnsi="Arial"/>
                <w:sz w:val="14"/>
                <w:szCs w:val="14"/>
                <w:color w:val="auto"/>
              </w:rPr>
              <w:t>  Menelas Pangalos</w:t>
            </w:r>
          </w:p>
        </w:tc>
        <w:tc>
          <w:tcPr>
            <w:tcW w:w="290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2,370</w:t>
            </w:r>
          </w:p>
        </w:tc>
      </w:tr>
      <w:tr>
        <w:trPr>
          <w:trHeight w:val="89"/>
        </w:trPr>
        <w:tc>
          <w:tcPr>
            <w:tcW w:w="2380" w:type="dxa"/>
            <w:vAlign w:val="bottom"/>
            <w:shd w:val="clear" w:color="auto" w:fill="E5F1F9"/>
          </w:tcPr>
          <w:p>
            <w:pPr>
              <w:spacing w:after="0"/>
              <w:rPr>
                <w:sz w:val="7"/>
                <w:szCs w:val="7"/>
                <w:color w:val="auto"/>
              </w:rPr>
            </w:pPr>
          </w:p>
        </w:tc>
        <w:tc>
          <w:tcPr>
            <w:tcW w:w="2900" w:type="dxa"/>
            <w:vAlign w:val="bottom"/>
            <w:shd w:val="clear" w:color="auto" w:fill="E5F1F9"/>
          </w:tcPr>
          <w:p>
            <w:pPr>
              <w:spacing w:after="0"/>
              <w:rPr>
                <w:sz w:val="7"/>
                <w:szCs w:val="7"/>
                <w:color w:val="auto"/>
              </w:rPr>
            </w:pPr>
          </w:p>
        </w:tc>
      </w:tr>
      <w:tr>
        <w:trPr>
          <w:trHeight w:val="289"/>
        </w:trPr>
        <w:tc>
          <w:tcPr>
            <w:tcW w:w="2380" w:type="dxa"/>
            <w:vAlign w:val="bottom"/>
            <w:shd w:val="clear" w:color="auto" w:fill="B2D5EE"/>
          </w:tcPr>
          <w:p>
            <w:pPr>
              <w:spacing w:after="0"/>
              <w:rPr>
                <w:sz w:val="20"/>
                <w:szCs w:val="20"/>
                <w:color w:val="auto"/>
              </w:rPr>
            </w:pPr>
            <w:r>
              <w:rPr>
                <w:rFonts w:ascii="Arial" w:cs="Arial" w:eastAsia="Arial" w:hAnsi="Arial"/>
                <w:sz w:val="14"/>
                <w:szCs w:val="14"/>
                <w:color w:val="auto"/>
              </w:rPr>
              <w:t>  Monish Patolawala</w:t>
            </w:r>
          </w:p>
        </w:tc>
        <w:tc>
          <w:tcPr>
            <w:tcW w:w="290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2,370</w:t>
            </w:r>
          </w:p>
        </w:tc>
      </w:tr>
      <w:tr>
        <w:trPr>
          <w:trHeight w:val="89"/>
        </w:trPr>
        <w:tc>
          <w:tcPr>
            <w:tcW w:w="2380" w:type="dxa"/>
            <w:vAlign w:val="bottom"/>
            <w:shd w:val="clear" w:color="auto" w:fill="B2D5EE"/>
          </w:tcPr>
          <w:p>
            <w:pPr>
              <w:spacing w:after="0"/>
              <w:rPr>
                <w:sz w:val="7"/>
                <w:szCs w:val="7"/>
                <w:color w:val="auto"/>
              </w:rPr>
            </w:pPr>
          </w:p>
        </w:tc>
        <w:tc>
          <w:tcPr>
            <w:tcW w:w="2900" w:type="dxa"/>
            <w:vAlign w:val="bottom"/>
            <w:shd w:val="clear" w:color="auto" w:fill="B2D5EE"/>
          </w:tcPr>
          <w:p>
            <w:pPr>
              <w:spacing w:after="0"/>
              <w:rPr>
                <w:sz w:val="7"/>
                <w:szCs w:val="7"/>
                <w:color w:val="auto"/>
              </w:rPr>
            </w:pPr>
          </w:p>
        </w:tc>
      </w:tr>
      <w:tr>
        <w:trPr>
          <w:trHeight w:val="289"/>
        </w:trPr>
        <w:tc>
          <w:tcPr>
            <w:tcW w:w="2380" w:type="dxa"/>
            <w:vAlign w:val="bottom"/>
            <w:shd w:val="clear" w:color="auto" w:fill="E5F1F9"/>
          </w:tcPr>
          <w:p>
            <w:pPr>
              <w:spacing w:after="0"/>
              <w:rPr>
                <w:sz w:val="20"/>
                <w:szCs w:val="20"/>
                <w:color w:val="auto"/>
              </w:rPr>
            </w:pPr>
            <w:r>
              <w:rPr>
                <w:rFonts w:ascii="Arial" w:cs="Arial" w:eastAsia="Arial" w:hAnsi="Arial"/>
                <w:sz w:val="14"/>
                <w:szCs w:val="14"/>
                <w:color w:val="auto"/>
              </w:rPr>
              <w:t>  Eric K. Rowinsky</w:t>
            </w:r>
          </w:p>
        </w:tc>
        <w:tc>
          <w:tcPr>
            <w:tcW w:w="290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2,370</w:t>
            </w:r>
          </w:p>
        </w:tc>
      </w:tr>
      <w:tr>
        <w:trPr>
          <w:trHeight w:val="89"/>
        </w:trPr>
        <w:tc>
          <w:tcPr>
            <w:tcW w:w="2380" w:type="dxa"/>
            <w:vAlign w:val="bottom"/>
            <w:shd w:val="clear" w:color="auto" w:fill="E5F1F9"/>
          </w:tcPr>
          <w:p>
            <w:pPr>
              <w:spacing w:after="0"/>
              <w:rPr>
                <w:sz w:val="7"/>
                <w:szCs w:val="7"/>
                <w:color w:val="auto"/>
              </w:rPr>
            </w:pPr>
          </w:p>
        </w:tc>
        <w:tc>
          <w:tcPr>
            <w:tcW w:w="2900" w:type="dxa"/>
            <w:vAlign w:val="bottom"/>
            <w:shd w:val="clear" w:color="auto" w:fill="E5F1F9"/>
          </w:tcPr>
          <w:p>
            <w:pPr>
              <w:spacing w:after="0"/>
              <w:rPr>
                <w:sz w:val="7"/>
                <w:szCs w:val="7"/>
                <w:color w:val="auto"/>
              </w:rPr>
            </w:pPr>
          </w:p>
        </w:tc>
      </w:tr>
      <w:tr>
        <w:trPr>
          <w:trHeight w:val="289"/>
        </w:trPr>
        <w:tc>
          <w:tcPr>
            <w:tcW w:w="2380" w:type="dxa"/>
            <w:vAlign w:val="bottom"/>
            <w:shd w:val="clear" w:color="auto" w:fill="B2D5EE"/>
          </w:tcPr>
          <w:p>
            <w:pPr>
              <w:spacing w:after="0"/>
              <w:rPr>
                <w:sz w:val="20"/>
                <w:szCs w:val="20"/>
                <w:color w:val="auto"/>
              </w:rPr>
            </w:pPr>
            <w:r>
              <w:rPr>
                <w:rFonts w:ascii="Arial" w:cs="Arial" w:eastAsia="Arial" w:hAnsi="Arial"/>
                <w:sz w:val="14"/>
                <w:szCs w:val="14"/>
                <w:color w:val="auto"/>
              </w:rPr>
              <w:t>  Stephen A. Sherwin</w:t>
            </w:r>
          </w:p>
        </w:tc>
        <w:tc>
          <w:tcPr>
            <w:tcW w:w="2900" w:type="dxa"/>
            <w:vAlign w:val="bottom"/>
            <w:shd w:val="clear" w:color="auto" w:fill="B2D5EE"/>
          </w:tcPr>
          <w:p>
            <w:pPr>
              <w:jc w:val="center"/>
              <w:spacing w:after="0"/>
              <w:rPr>
                <w:sz w:val="20"/>
                <w:szCs w:val="20"/>
                <w:color w:val="auto"/>
              </w:rPr>
            </w:pPr>
            <w:r>
              <w:rPr>
                <w:rFonts w:ascii="Arial" w:cs="Arial" w:eastAsia="Arial" w:hAnsi="Arial"/>
                <w:sz w:val="14"/>
                <w:szCs w:val="14"/>
                <w:color w:val="auto"/>
              </w:rPr>
              <w:t>2,370</w:t>
            </w:r>
          </w:p>
        </w:tc>
      </w:tr>
      <w:tr>
        <w:trPr>
          <w:trHeight w:val="89"/>
        </w:trPr>
        <w:tc>
          <w:tcPr>
            <w:tcW w:w="2380" w:type="dxa"/>
            <w:vAlign w:val="bottom"/>
            <w:tcBorders>
              <w:bottom w:val="single" w:sz="8" w:color="auto"/>
            </w:tcBorders>
            <w:shd w:val="clear" w:color="auto" w:fill="B2D5EE"/>
          </w:tcPr>
          <w:p>
            <w:pPr>
              <w:spacing w:after="0"/>
              <w:rPr>
                <w:sz w:val="7"/>
                <w:szCs w:val="7"/>
                <w:color w:val="auto"/>
              </w:rPr>
            </w:pPr>
          </w:p>
        </w:tc>
        <w:tc>
          <w:tcPr>
            <w:tcW w:w="2900" w:type="dxa"/>
            <w:vAlign w:val="bottom"/>
            <w:tcBorders>
              <w:bottom w:val="single" w:sz="8" w:color="auto"/>
            </w:tcBorders>
            <w:shd w:val="clear" w:color="auto" w:fill="B2D5EE"/>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-2725420</wp:posOffset>
            </wp:positionV>
            <wp:extent cx="18427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 to the Director Equity Awards Outstanding at 2025 Fiscal Year-End Table</w:t>
      </w:r>
    </w:p>
    <w:p>
      <w:pPr>
        <w:spacing w:after="0" w:line="40" w:lineRule="exact"/>
        <w:rPr>
          <w:sz w:val="20"/>
          <w:szCs w:val="20"/>
          <w:color w:val="auto"/>
        </w:rPr>
      </w:pPr>
    </w:p>
    <w:p>
      <w:pPr>
        <w:jc w:val="both"/>
        <w:ind w:left="540" w:right="100" w:hanging="424"/>
        <w:spacing w:after="0" w:line="263" w:lineRule="auto"/>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the number of RSUs awarded to non-employee directors in 2025 under the 2024 Omnibus Equity Plan, as described in the narrative preceding the “2025 Director Compensation” table above. These RSU awards are scheduled to vest in full and be settled in stock at the earlier of (i) the first anniversary of the grant date or (ii) the 2026 Annual Meeting, generally subject to continued service.</w:t>
      </w:r>
    </w:p>
    <w:p>
      <w:pPr>
        <w:sectPr>
          <w:pgSz w:w="11900" w:h="16838" w:orient="portrait"/>
          <w:cols w:equalWidth="0" w:num="1">
            <w:col w:w="11140"/>
          </w:cols>
          <w:pgMar w:left="320" w:top="482" w:right="439" w:bottom="1440" w:gutter="0" w:footer="0" w:header="0"/>
        </w:sectPr>
      </w:pPr>
    </w:p>
    <w:p>
      <w:pPr>
        <w:spacing w:after="0" w:line="11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-20-</w:t>
      </w:r>
    </w:p>
    <w:p>
      <w:pPr>
        <w:sectPr>
          <w:pgSz w:w="11900" w:h="16838" w:orient="portrait"/>
          <w:cols w:equalWidth="0" w:num="1">
            <w:col w:w="11140"/>
          </w:cols>
          <w:pgMar w:left="320" w:top="482"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120"/>
        <w:spacing w:after="0"/>
        <w:rPr>
          <w:sz w:val="20"/>
          <w:szCs w:val="20"/>
          <w:color w:val="auto"/>
        </w:rPr>
      </w:pPr>
      <w:r>
        <w:rPr>
          <w:rFonts w:ascii="Arial" w:cs="Arial" w:eastAsia="Arial" w:hAnsi="Arial"/>
          <w:sz w:val="19"/>
          <w:szCs w:val="19"/>
          <w:color w:val="0075C9"/>
        </w:rPr>
        <w:t>Corporate Governance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Corporate Responsibility</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Culture and Essentials</w:t>
      </w:r>
    </w:p>
    <w:p>
      <w:pPr>
        <w:spacing w:after="0" w:line="108"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6"/>
          <w:szCs w:val="16"/>
          <w:color w:val="auto"/>
        </w:rPr>
        <w:t>The New Biogen Way continues to build on our strong culture, aiming to maintain our spirit of innovation and patient-centricity while advancing a more entrepreneurial business mindset and results-focused approach. The New Biogen Way describes the mission and behaviors – pioneer, think broadly, drive results, ethical and inclusive – that provide the foundation for long-term success.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Corporate Responsibility</w:t>
      </w:r>
    </w:p>
    <w:p>
      <w:pPr>
        <w:spacing w:after="0" w:line="108" w:lineRule="exact"/>
        <w:rPr>
          <w:sz w:val="20"/>
          <w:szCs w:val="20"/>
          <w:color w:val="auto"/>
        </w:rPr>
      </w:pPr>
    </w:p>
    <w:p>
      <w:pPr>
        <w:ind w:left="120" w:right="760"/>
        <w:spacing w:after="0" w:line="256" w:lineRule="auto"/>
        <w:rPr>
          <w:sz w:val="20"/>
          <w:szCs w:val="20"/>
          <w:color w:val="auto"/>
        </w:rPr>
      </w:pPr>
      <w:r>
        <w:rPr>
          <w:rFonts w:ascii="Arial" w:cs="Arial" w:eastAsia="Arial" w:hAnsi="Arial"/>
          <w:sz w:val="16"/>
          <w:szCs w:val="16"/>
          <w:color w:val="auto"/>
        </w:rPr>
        <w:t>Consistent with our aim to drive sustainable growth, we have evolved and refined our Corporate Responsibility strategy and programs to deliver meaningful results in the areas where we can have the greatest impact. Read Biogen’s Corporate Responsibility Report to understand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environmental, social and governance work, priorities and achievements in detail. Our 2025 highlights across our four key pillars include:</w:t>
      </w:r>
    </w:p>
    <w:p>
      <w:pPr>
        <w:spacing w:after="0" w:line="226" w:lineRule="exact"/>
        <w:rPr>
          <w:sz w:val="20"/>
          <w:szCs w:val="20"/>
          <w:color w:val="auto"/>
        </w:rPr>
      </w:pPr>
    </w:p>
    <w:tbl>
      <w:tblPr>
        <w:tblLayout w:type="fixed"/>
        <w:tblInd w:w="130" w:type="dxa"/>
        <w:tblCellMar>
          <w:top w:w="0" w:type="dxa"/>
          <w:left w:w="0" w:type="dxa"/>
          <w:bottom w:w="0" w:type="dxa"/>
          <w:right w:w="0" w:type="dxa"/>
        </w:tblCellMar>
      </w:tblPr>
      <w:tr>
        <w:trPr>
          <w:trHeight w:val="202"/>
        </w:trPr>
        <w:tc>
          <w:tcPr>
            <w:tcW w:w="2760" w:type="dxa"/>
            <w:vAlign w:val="bottom"/>
            <w:tcBorders>
              <w:top w:val="single" w:sz="8" w:color="auto"/>
              <w:left w:val="single" w:sz="8" w:color="auto"/>
              <w:right w:val="single" w:sz="8" w:color="auto"/>
            </w:tcBorders>
            <w:shd w:val="clear" w:color="auto" w:fill="E5F1F9"/>
          </w:tcPr>
          <w:p>
            <w:pPr>
              <w:ind w:left="680"/>
              <w:spacing w:after="0"/>
              <w:rPr>
                <w:sz w:val="20"/>
                <w:szCs w:val="20"/>
                <w:color w:val="auto"/>
              </w:rPr>
            </w:pPr>
            <w:r>
              <w:rPr>
                <w:rFonts w:ascii="Arial" w:cs="Arial" w:eastAsia="Arial" w:hAnsi="Arial"/>
                <w:sz w:val="16"/>
                <w:szCs w:val="16"/>
                <w:b w:val="1"/>
                <w:bCs w:val="1"/>
                <w:color w:val="auto"/>
              </w:rPr>
              <w:t>ACCESS &amp; HEALTH</w:t>
            </w:r>
          </w:p>
        </w:tc>
        <w:tc>
          <w:tcPr>
            <w:tcW w:w="2880" w:type="dxa"/>
            <w:vAlign w:val="bottom"/>
            <w:tcBorders>
              <w:top w:val="single" w:sz="8" w:color="auto"/>
              <w:right w:val="single" w:sz="8" w:color="auto"/>
            </w:tcBorders>
            <w:shd w:val="clear" w:color="auto" w:fill="FAE3D6"/>
          </w:tcPr>
          <w:p>
            <w:pPr>
              <w:spacing w:after="0"/>
              <w:rPr>
                <w:sz w:val="17"/>
                <w:szCs w:val="17"/>
                <w:color w:val="auto"/>
              </w:rPr>
            </w:pPr>
          </w:p>
        </w:tc>
        <w:tc>
          <w:tcPr>
            <w:tcW w:w="2860" w:type="dxa"/>
            <w:vAlign w:val="bottom"/>
            <w:tcBorders>
              <w:top w:val="single" w:sz="8" w:color="auto"/>
              <w:right w:val="single" w:sz="8" w:color="auto"/>
            </w:tcBorders>
            <w:shd w:val="clear" w:color="auto" w:fill="FFF2CC"/>
          </w:tcPr>
          <w:p>
            <w:pPr>
              <w:spacing w:after="0"/>
              <w:rPr>
                <w:sz w:val="17"/>
                <w:szCs w:val="17"/>
                <w:color w:val="auto"/>
              </w:rPr>
            </w:pPr>
          </w:p>
        </w:tc>
        <w:tc>
          <w:tcPr>
            <w:tcW w:w="2540" w:type="dxa"/>
            <w:vAlign w:val="bottom"/>
            <w:tcBorders>
              <w:top w:val="single" w:sz="8" w:color="auto"/>
              <w:right w:val="single" w:sz="8" w:color="auto"/>
            </w:tcBorders>
            <w:shd w:val="clear" w:color="auto" w:fill="E2EAD9"/>
          </w:tcPr>
          <w:p>
            <w:pPr>
              <w:spacing w:after="0"/>
              <w:rPr>
                <w:sz w:val="17"/>
                <w:szCs w:val="17"/>
                <w:color w:val="auto"/>
              </w:rPr>
            </w:pPr>
          </w:p>
        </w:tc>
      </w:tr>
      <w:tr>
        <w:trPr>
          <w:trHeight w:val="262"/>
        </w:trPr>
        <w:tc>
          <w:tcPr>
            <w:tcW w:w="2760" w:type="dxa"/>
            <w:vAlign w:val="bottom"/>
            <w:tcBorders>
              <w:left w:val="single" w:sz="8" w:color="auto"/>
              <w:bottom w:val="single" w:sz="8" w:color="E5F1F9"/>
              <w:right w:val="single" w:sz="8" w:color="auto"/>
            </w:tcBorders>
            <w:shd w:val="clear" w:color="auto" w:fill="E5F1F9"/>
          </w:tcPr>
          <w:p>
            <w:pPr>
              <w:ind w:left="1100"/>
              <w:spacing w:after="0"/>
              <w:rPr>
                <w:sz w:val="20"/>
                <w:szCs w:val="20"/>
                <w:color w:val="auto"/>
              </w:rPr>
            </w:pPr>
            <w:r>
              <w:rPr>
                <w:rFonts w:ascii="Arial" w:cs="Arial" w:eastAsia="Arial" w:hAnsi="Arial"/>
                <w:sz w:val="16"/>
                <w:szCs w:val="16"/>
                <w:b w:val="1"/>
                <w:bCs w:val="1"/>
                <w:color w:val="auto"/>
              </w:rPr>
              <w:t>EQUITY</w:t>
            </w:r>
          </w:p>
        </w:tc>
        <w:tc>
          <w:tcPr>
            <w:tcW w:w="2880" w:type="dxa"/>
            <w:vAlign w:val="bottom"/>
            <w:tcBorders>
              <w:bottom w:val="single" w:sz="8" w:color="FAE3D6"/>
              <w:right w:val="single" w:sz="8" w:color="auto"/>
            </w:tcBorders>
            <w:shd w:val="clear" w:color="auto" w:fill="FAE3D6"/>
          </w:tcPr>
          <w:p>
            <w:pPr>
              <w:ind w:left="460"/>
              <w:spacing w:after="0"/>
              <w:rPr>
                <w:sz w:val="20"/>
                <w:szCs w:val="20"/>
                <w:color w:val="auto"/>
              </w:rPr>
            </w:pPr>
            <w:r>
              <w:rPr>
                <w:rFonts w:ascii="Arial" w:cs="Arial" w:eastAsia="Arial" w:hAnsi="Arial"/>
                <w:sz w:val="16"/>
                <w:szCs w:val="16"/>
                <w:b w:val="1"/>
                <w:bCs w:val="1"/>
                <w:color w:val="auto"/>
              </w:rPr>
              <w:t>WORKFORCE &amp; CULTURE</w:t>
            </w:r>
          </w:p>
        </w:tc>
        <w:tc>
          <w:tcPr>
            <w:tcW w:w="2860" w:type="dxa"/>
            <w:vAlign w:val="bottom"/>
            <w:tcBorders>
              <w:bottom w:val="single" w:sz="8" w:color="FFF2CC"/>
              <w:right w:val="single" w:sz="8" w:color="auto"/>
            </w:tcBorders>
            <w:shd w:val="clear" w:color="auto" w:fill="FFF2CC"/>
          </w:tcPr>
          <w:p>
            <w:pPr>
              <w:ind w:left="580"/>
              <w:spacing w:after="0"/>
              <w:rPr>
                <w:sz w:val="20"/>
                <w:szCs w:val="20"/>
                <w:color w:val="auto"/>
              </w:rPr>
            </w:pPr>
            <w:r>
              <w:rPr>
                <w:rFonts w:ascii="Arial" w:cs="Arial" w:eastAsia="Arial" w:hAnsi="Arial"/>
                <w:sz w:val="16"/>
                <w:szCs w:val="16"/>
                <w:b w:val="1"/>
                <w:bCs w:val="1"/>
                <w:color w:val="auto"/>
              </w:rPr>
              <w:t>COMMUNITY IMPACT</w:t>
            </w:r>
          </w:p>
        </w:tc>
        <w:tc>
          <w:tcPr>
            <w:tcW w:w="2540" w:type="dxa"/>
            <w:vAlign w:val="bottom"/>
            <w:tcBorders>
              <w:bottom w:val="single" w:sz="8" w:color="E2EAD9"/>
              <w:right w:val="single" w:sz="8" w:color="auto"/>
            </w:tcBorders>
            <w:shd w:val="clear" w:color="auto" w:fill="E2EAD9"/>
          </w:tcPr>
          <w:p>
            <w:pPr>
              <w:ind w:left="680"/>
              <w:spacing w:after="0"/>
              <w:rPr>
                <w:sz w:val="20"/>
                <w:szCs w:val="20"/>
                <w:color w:val="auto"/>
              </w:rPr>
            </w:pPr>
            <w:r>
              <w:rPr>
                <w:rFonts w:ascii="Arial" w:cs="Arial" w:eastAsia="Arial" w:hAnsi="Arial"/>
                <w:sz w:val="16"/>
                <w:szCs w:val="16"/>
                <w:b w:val="1"/>
                <w:bCs w:val="1"/>
                <w:color w:val="auto"/>
              </w:rPr>
              <w:t>ENVIRONMENT</w:t>
            </w:r>
          </w:p>
        </w:tc>
      </w:tr>
      <w:tr>
        <w:trPr>
          <w:trHeight w:val="168"/>
        </w:trPr>
        <w:tc>
          <w:tcPr>
            <w:tcW w:w="2760" w:type="dxa"/>
            <w:vAlign w:val="bottom"/>
            <w:tcBorders>
              <w:top w:val="single" w:sz="8" w:color="auto"/>
              <w:left w:val="single" w:sz="8" w:color="auto"/>
              <w:right w:val="single" w:sz="8" w:color="auto"/>
            </w:tcBorders>
            <w:shd w:val="clear" w:color="auto" w:fill="E5F1F9"/>
          </w:tcPr>
          <w:p>
            <w:pPr>
              <w:ind w:left="160"/>
              <w:spacing w:after="0" w:line="168" w:lineRule="exact"/>
              <w:rPr>
                <w:sz w:val="20"/>
                <w:szCs w:val="20"/>
                <w:color w:val="auto"/>
              </w:rPr>
            </w:pPr>
            <w:r>
              <w:rPr>
                <w:rFonts w:ascii="Arial" w:cs="Arial" w:eastAsia="Arial" w:hAnsi="Arial"/>
                <w:sz w:val="16"/>
                <w:szCs w:val="16"/>
                <w:color w:val="auto"/>
              </w:rPr>
              <w:t>•  100% enrollment of two Phase 3</w:t>
            </w:r>
          </w:p>
        </w:tc>
        <w:tc>
          <w:tcPr>
            <w:tcW w:w="2880" w:type="dxa"/>
            <w:vAlign w:val="bottom"/>
            <w:tcBorders>
              <w:top w:val="single" w:sz="8" w:color="auto"/>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 Received 2025 Great Place To</w:t>
            </w:r>
          </w:p>
        </w:tc>
        <w:tc>
          <w:tcPr>
            <w:tcW w:w="2860" w:type="dxa"/>
            <w:vAlign w:val="bottom"/>
            <w:tcBorders>
              <w:top w:val="single" w:sz="8" w:color="auto"/>
              <w:right w:val="single" w:sz="8" w:color="auto"/>
            </w:tcBorders>
          </w:tcPr>
          <w:p>
            <w:pPr>
              <w:ind w:left="60"/>
              <w:spacing w:after="0" w:line="168" w:lineRule="exact"/>
              <w:rPr>
                <w:sz w:val="20"/>
                <w:szCs w:val="20"/>
                <w:color w:val="auto"/>
              </w:rPr>
            </w:pPr>
            <w:r>
              <w:rPr>
                <w:rFonts w:ascii="Arial" w:cs="Arial" w:eastAsia="Arial" w:hAnsi="Arial"/>
                <w:sz w:val="16"/>
                <w:szCs w:val="16"/>
                <w:color w:val="auto"/>
              </w:rPr>
              <w:t>• $34.6 million+ in grants,</w:t>
            </w:r>
          </w:p>
        </w:tc>
        <w:tc>
          <w:tcPr>
            <w:tcW w:w="2540" w:type="dxa"/>
            <w:vAlign w:val="bottom"/>
            <w:tcBorders>
              <w:top w:val="single" w:sz="8" w:color="auto"/>
              <w:right w:val="single" w:sz="8" w:color="auto"/>
            </w:tcBorders>
            <w:shd w:val="clear" w:color="auto" w:fill="E2EAD9"/>
          </w:tcPr>
          <w:p>
            <w:pPr>
              <w:ind w:left="140"/>
              <w:spacing w:after="0" w:line="168" w:lineRule="exact"/>
              <w:rPr>
                <w:sz w:val="20"/>
                <w:szCs w:val="20"/>
                <w:color w:val="auto"/>
              </w:rPr>
            </w:pPr>
            <w:r>
              <w:rPr>
                <w:rFonts w:ascii="Arial" w:cs="Arial" w:eastAsia="Arial" w:hAnsi="Arial"/>
                <w:sz w:val="16"/>
                <w:szCs w:val="16"/>
                <w:color w:val="auto"/>
              </w:rPr>
              <w:t>• Achieved a 15% reduction in</w:t>
            </w:r>
          </w:p>
        </w:tc>
      </w:tr>
      <w:tr>
        <w:trPr>
          <w:trHeight w:val="189"/>
        </w:trPr>
        <w:tc>
          <w:tcPr>
            <w:tcW w:w="2760" w:type="dxa"/>
            <w:vAlign w:val="bottom"/>
            <w:tcBorders>
              <w:left w:val="single" w:sz="8" w:color="auto"/>
              <w:right w:val="single" w:sz="8" w:color="auto"/>
            </w:tcBorders>
            <w:shd w:val="clear" w:color="auto" w:fill="E5F1F9"/>
          </w:tcPr>
          <w:p>
            <w:pPr>
              <w:ind w:left="320"/>
              <w:spacing w:after="0"/>
              <w:rPr>
                <w:sz w:val="20"/>
                <w:szCs w:val="20"/>
                <w:color w:val="auto"/>
              </w:rPr>
            </w:pPr>
            <w:r>
              <w:rPr>
                <w:rFonts w:ascii="Arial" w:cs="Arial" w:eastAsia="Arial" w:hAnsi="Arial"/>
                <w:sz w:val="16"/>
                <w:szCs w:val="16"/>
                <w:color w:val="auto"/>
              </w:rPr>
              <w:t>lupus clinical trials, ensuring that</w:t>
            </w:r>
          </w:p>
        </w:tc>
        <w:tc>
          <w:tcPr>
            <w:tcW w:w="2880" w:type="dxa"/>
            <w:vAlign w:val="bottom"/>
            <w:tcBorders>
              <w:right w:val="single" w:sz="8" w:color="auto"/>
            </w:tcBorders>
          </w:tcPr>
          <w:p>
            <w:pPr>
              <w:ind w:left="240"/>
              <w:spacing w:after="0" w:line="189" w:lineRule="exact"/>
              <w:rPr>
                <w:sz w:val="20"/>
                <w:szCs w:val="20"/>
                <w:color w:val="auto"/>
              </w:rPr>
            </w:pPr>
            <w:r>
              <w:rPr>
                <w:rFonts w:ascii="Arial" w:cs="Arial" w:eastAsia="Arial" w:hAnsi="Arial"/>
                <w:sz w:val="14"/>
                <w:szCs w:val="14"/>
                <w:color w:val="auto"/>
              </w:rPr>
              <w:t>Work</w:t>
            </w:r>
            <w:r>
              <w:rPr>
                <w:rFonts w:ascii="Arial" w:cs="Arial" w:eastAsia="Arial" w:hAnsi="Arial"/>
                <w:sz w:val="21"/>
                <w:szCs w:val="21"/>
                <w:color w:val="auto"/>
                <w:vertAlign w:val="superscript"/>
              </w:rPr>
              <w:t>®</w:t>
            </w:r>
            <w:r>
              <w:rPr>
                <w:rFonts w:ascii="Arial" w:cs="Arial" w:eastAsia="Arial" w:hAnsi="Arial"/>
                <w:sz w:val="14"/>
                <w:szCs w:val="14"/>
                <w:color w:val="auto"/>
              </w:rPr>
              <w:t xml:space="preserve"> Certification</w:t>
            </w:r>
            <w:r>
              <w:rPr>
                <w:rFonts w:ascii="Arial" w:cs="Arial" w:eastAsia="Arial" w:hAnsi="Arial"/>
                <w:sz w:val="21"/>
                <w:szCs w:val="21"/>
                <w:color w:val="auto"/>
                <w:vertAlign w:val="superscript"/>
              </w:rPr>
              <w:t>™</w:t>
            </w:r>
            <w:r>
              <w:rPr>
                <w:rFonts w:ascii="Arial" w:cs="Arial" w:eastAsia="Arial" w:hAnsi="Arial"/>
                <w:sz w:val="14"/>
                <w:szCs w:val="14"/>
                <w:color w:val="auto"/>
              </w:rPr>
              <w:t xml:space="preserve"> in 28 countries</w:t>
            </w:r>
          </w:p>
        </w:tc>
        <w:tc>
          <w:tcPr>
            <w:tcW w:w="28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sponsorships, donations and in-kind</w:t>
            </w:r>
          </w:p>
        </w:tc>
        <w:tc>
          <w:tcPr>
            <w:tcW w:w="2540" w:type="dxa"/>
            <w:vAlign w:val="bottom"/>
            <w:tcBorders>
              <w:right w:val="single" w:sz="8" w:color="auto"/>
            </w:tcBorders>
            <w:shd w:val="clear" w:color="auto" w:fill="E2EAD9"/>
          </w:tcPr>
          <w:p>
            <w:pPr>
              <w:ind w:left="300"/>
              <w:spacing w:after="0"/>
              <w:rPr>
                <w:sz w:val="20"/>
                <w:szCs w:val="20"/>
                <w:color w:val="auto"/>
              </w:rPr>
            </w:pPr>
            <w:r>
              <w:rPr>
                <w:rFonts w:ascii="Arial" w:cs="Arial" w:eastAsia="Arial" w:hAnsi="Arial"/>
                <w:sz w:val="16"/>
                <w:szCs w:val="16"/>
                <w:color w:val="auto"/>
              </w:rPr>
              <w:t>Scope 1 emissions since</w:t>
            </w:r>
          </w:p>
        </w:tc>
      </w:tr>
      <w:tr>
        <w:trPr>
          <w:trHeight w:val="189"/>
        </w:trPr>
        <w:tc>
          <w:tcPr>
            <w:tcW w:w="2760" w:type="dxa"/>
            <w:vAlign w:val="bottom"/>
            <w:tcBorders>
              <w:left w:val="single" w:sz="8" w:color="auto"/>
              <w:right w:val="single" w:sz="8" w:color="auto"/>
            </w:tcBorders>
            <w:shd w:val="clear" w:color="auto" w:fill="E5F1F9"/>
          </w:tcPr>
          <w:p>
            <w:pPr>
              <w:ind w:left="320"/>
              <w:spacing w:after="0"/>
              <w:rPr>
                <w:sz w:val="20"/>
                <w:szCs w:val="20"/>
                <w:color w:val="auto"/>
              </w:rPr>
            </w:pPr>
            <w:r>
              <w:rPr>
                <w:rFonts w:ascii="Arial" w:cs="Arial" w:eastAsia="Arial" w:hAnsi="Arial"/>
                <w:sz w:val="16"/>
                <w:szCs w:val="16"/>
                <w:color w:val="auto"/>
              </w:rPr>
              <w:t>trial participants reflect the</w:t>
            </w:r>
          </w:p>
        </w:tc>
        <w:tc>
          <w:tcPr>
            <w:tcW w:w="2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or regions</w:t>
            </w:r>
          </w:p>
        </w:tc>
        <w:tc>
          <w:tcPr>
            <w:tcW w:w="28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contributions from Biogen and the</w:t>
            </w:r>
          </w:p>
        </w:tc>
        <w:tc>
          <w:tcPr>
            <w:tcW w:w="2540" w:type="dxa"/>
            <w:vAlign w:val="bottom"/>
            <w:tcBorders>
              <w:right w:val="single" w:sz="8" w:color="auto"/>
            </w:tcBorders>
            <w:shd w:val="clear" w:color="auto" w:fill="E2EAD9"/>
          </w:tcPr>
          <w:p>
            <w:pPr>
              <w:ind w:left="300"/>
              <w:spacing w:after="0"/>
              <w:rPr>
                <w:sz w:val="20"/>
                <w:szCs w:val="20"/>
                <w:color w:val="auto"/>
              </w:rPr>
            </w:pPr>
            <w:r>
              <w:rPr>
                <w:rFonts w:ascii="Arial" w:cs="Arial" w:eastAsia="Arial" w:hAnsi="Arial"/>
                <w:sz w:val="16"/>
                <w:szCs w:val="16"/>
                <w:color w:val="auto"/>
              </w:rPr>
              <w:t>2019</w:t>
            </w:r>
          </w:p>
        </w:tc>
      </w:tr>
      <w:tr>
        <w:trPr>
          <w:trHeight w:val="189"/>
        </w:trPr>
        <w:tc>
          <w:tcPr>
            <w:tcW w:w="2760" w:type="dxa"/>
            <w:vAlign w:val="bottom"/>
            <w:tcBorders>
              <w:left w:val="single" w:sz="8" w:color="auto"/>
              <w:right w:val="single" w:sz="8" w:color="auto"/>
            </w:tcBorders>
            <w:shd w:val="clear" w:color="auto" w:fill="E5F1F9"/>
          </w:tcPr>
          <w:p>
            <w:pPr>
              <w:ind w:left="320"/>
              <w:spacing w:after="0"/>
              <w:rPr>
                <w:sz w:val="20"/>
                <w:szCs w:val="20"/>
                <w:color w:val="auto"/>
              </w:rPr>
            </w:pPr>
            <w:r>
              <w:rPr>
                <w:rFonts w:ascii="Arial" w:cs="Arial" w:eastAsia="Arial" w:hAnsi="Arial"/>
                <w:sz w:val="16"/>
                <w:szCs w:val="16"/>
                <w:color w:val="auto"/>
              </w:rPr>
              <w:t>epidemiology of the disease</w:t>
            </w:r>
          </w:p>
        </w:tc>
        <w:tc>
          <w:tcPr>
            <w:tcW w:w="28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71% of employees participating in</w:t>
            </w:r>
          </w:p>
        </w:tc>
        <w:tc>
          <w:tcPr>
            <w:tcW w:w="28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Biogen Foundation</w:t>
            </w:r>
          </w:p>
        </w:tc>
        <w:tc>
          <w:tcPr>
            <w:tcW w:w="2540" w:type="dxa"/>
            <w:vAlign w:val="bottom"/>
            <w:tcBorders>
              <w:right w:val="single" w:sz="8" w:color="auto"/>
            </w:tcBorders>
            <w:shd w:val="clear" w:color="auto" w:fill="E2EAD9"/>
          </w:tcPr>
          <w:p>
            <w:pPr>
              <w:ind w:left="140"/>
              <w:spacing w:after="0"/>
              <w:rPr>
                <w:sz w:val="20"/>
                <w:szCs w:val="20"/>
                <w:color w:val="auto"/>
              </w:rPr>
            </w:pPr>
            <w:r>
              <w:rPr>
                <w:rFonts w:ascii="Arial" w:cs="Arial" w:eastAsia="Arial" w:hAnsi="Arial"/>
                <w:sz w:val="16"/>
                <w:szCs w:val="16"/>
                <w:color w:val="auto"/>
              </w:rPr>
              <w:t>• 100% of labs My Green Lab</w:t>
            </w:r>
          </w:p>
        </w:tc>
      </w:tr>
      <w:tr>
        <w:trPr>
          <w:trHeight w:val="189"/>
        </w:trPr>
        <w:tc>
          <w:tcPr>
            <w:tcW w:w="2760" w:type="dxa"/>
            <w:vAlign w:val="bottom"/>
            <w:tcBorders>
              <w:left w:val="single" w:sz="8" w:color="auto"/>
              <w:righ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  35 countries where patients can</w:t>
            </w:r>
          </w:p>
        </w:tc>
        <w:tc>
          <w:tcPr>
            <w:tcW w:w="2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our annual survey said they feel</w:t>
            </w: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662,700+ community members</w:t>
            </w:r>
          </w:p>
        </w:tc>
        <w:tc>
          <w:tcPr>
            <w:tcW w:w="2540" w:type="dxa"/>
            <w:vAlign w:val="bottom"/>
            <w:tcBorders>
              <w:right w:val="single" w:sz="8" w:color="auto"/>
            </w:tcBorders>
            <w:shd w:val="clear" w:color="auto" w:fill="E2EAD9"/>
          </w:tcPr>
          <w:p>
            <w:pPr>
              <w:ind w:left="300"/>
              <w:spacing w:after="0"/>
              <w:rPr>
                <w:sz w:val="20"/>
                <w:szCs w:val="20"/>
                <w:color w:val="auto"/>
              </w:rPr>
            </w:pPr>
            <w:r>
              <w:rPr>
                <w:rFonts w:ascii="Arial" w:cs="Arial" w:eastAsia="Arial" w:hAnsi="Arial"/>
                <w:sz w:val="16"/>
                <w:szCs w:val="16"/>
                <w:color w:val="auto"/>
              </w:rPr>
              <w:t>certified, with 74% achieving</w:t>
            </w:r>
          </w:p>
        </w:tc>
      </w:tr>
      <w:tr>
        <w:trPr>
          <w:trHeight w:val="189"/>
        </w:trPr>
        <w:tc>
          <w:tcPr>
            <w:tcW w:w="2760" w:type="dxa"/>
            <w:vAlign w:val="bottom"/>
            <w:tcBorders>
              <w:left w:val="single" w:sz="8" w:color="auto"/>
              <w:right w:val="single" w:sz="8" w:color="auto"/>
            </w:tcBorders>
            <w:shd w:val="clear" w:color="auto" w:fill="E5F1F9"/>
          </w:tcPr>
          <w:p>
            <w:pPr>
              <w:ind w:left="320"/>
              <w:spacing w:after="0" w:line="189" w:lineRule="exact"/>
              <w:rPr>
                <w:sz w:val="20"/>
                <w:szCs w:val="20"/>
                <w:color w:val="auto"/>
              </w:rPr>
            </w:pPr>
            <w:r>
              <w:rPr>
                <w:rFonts w:ascii="Arial" w:cs="Arial" w:eastAsia="Arial" w:hAnsi="Arial"/>
                <w:sz w:val="14"/>
                <w:szCs w:val="14"/>
                <w:color w:val="auto"/>
              </w:rPr>
              <w:t>now access SKYCLARYS</w:t>
            </w:r>
            <w:r>
              <w:rPr>
                <w:rFonts w:ascii="Arial" w:cs="Arial" w:eastAsia="Arial" w:hAnsi="Arial"/>
                <w:sz w:val="21"/>
                <w:szCs w:val="21"/>
                <w:color w:val="auto"/>
                <w:vertAlign w:val="superscript"/>
              </w:rPr>
              <w:t>®</w:t>
            </w:r>
          </w:p>
        </w:tc>
        <w:tc>
          <w:tcPr>
            <w:tcW w:w="2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engaged at work</w:t>
            </w:r>
          </w:p>
        </w:tc>
        <w:tc>
          <w:tcPr>
            <w:tcW w:w="28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supported, including nearly 84,000</w:t>
            </w:r>
          </w:p>
        </w:tc>
        <w:tc>
          <w:tcPr>
            <w:tcW w:w="2540" w:type="dxa"/>
            <w:vAlign w:val="bottom"/>
            <w:tcBorders>
              <w:right w:val="single" w:sz="8" w:color="auto"/>
            </w:tcBorders>
            <w:shd w:val="clear" w:color="auto" w:fill="E2EAD9"/>
          </w:tcPr>
          <w:p>
            <w:pPr>
              <w:ind w:left="300"/>
              <w:spacing w:after="0"/>
              <w:rPr>
                <w:sz w:val="20"/>
                <w:szCs w:val="20"/>
                <w:color w:val="auto"/>
              </w:rPr>
            </w:pPr>
            <w:r>
              <w:rPr>
                <w:rFonts w:ascii="Arial" w:cs="Arial" w:eastAsia="Arial" w:hAnsi="Arial"/>
                <w:sz w:val="16"/>
                <w:szCs w:val="16"/>
                <w:color w:val="auto"/>
              </w:rPr>
              <w:t>the highest level</w:t>
            </w:r>
          </w:p>
        </w:tc>
      </w:tr>
      <w:tr>
        <w:trPr>
          <w:trHeight w:val="189"/>
        </w:trPr>
        <w:tc>
          <w:tcPr>
            <w:tcW w:w="2760" w:type="dxa"/>
            <w:vAlign w:val="bottom"/>
            <w:tcBorders>
              <w:left w:val="single" w:sz="8" w:color="auto"/>
              <w:right w:val="single" w:sz="8" w:color="auto"/>
            </w:tcBorders>
            <w:shd w:val="clear" w:color="auto" w:fill="E5F1F9"/>
          </w:tcPr>
          <w:p>
            <w:pPr>
              <w:ind w:left="320"/>
              <w:spacing w:after="0"/>
              <w:rPr>
                <w:sz w:val="20"/>
                <w:szCs w:val="20"/>
                <w:color w:val="auto"/>
              </w:rPr>
            </w:pPr>
            <w:r>
              <w:rPr>
                <w:rFonts w:ascii="Arial" w:cs="Arial" w:eastAsia="Arial" w:hAnsi="Arial"/>
                <w:sz w:val="16"/>
                <w:szCs w:val="16"/>
                <w:color w:val="auto"/>
              </w:rPr>
              <w:t>(omaveloxolone)</w:t>
            </w:r>
          </w:p>
        </w:tc>
        <w:tc>
          <w:tcPr>
            <w:tcW w:w="28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Fostered a workforce reflective of</w:t>
            </w:r>
          </w:p>
        </w:tc>
        <w:tc>
          <w:tcPr>
            <w:tcW w:w="28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high-need patients and nearly</w:t>
            </w:r>
          </w:p>
        </w:tc>
        <w:tc>
          <w:tcPr>
            <w:tcW w:w="2540" w:type="dxa"/>
            <w:vAlign w:val="bottom"/>
            <w:tcBorders>
              <w:right w:val="single" w:sz="8" w:color="auto"/>
            </w:tcBorders>
            <w:shd w:val="clear" w:color="auto" w:fill="E2EAD9"/>
          </w:tcPr>
          <w:p>
            <w:pPr>
              <w:ind w:left="140"/>
              <w:spacing w:after="0"/>
              <w:rPr>
                <w:sz w:val="20"/>
                <w:szCs w:val="20"/>
                <w:color w:val="auto"/>
              </w:rPr>
            </w:pPr>
            <w:r>
              <w:rPr>
                <w:rFonts w:ascii="Arial" w:cs="Arial" w:eastAsia="Arial" w:hAnsi="Arial"/>
                <w:sz w:val="16"/>
                <w:szCs w:val="16"/>
                <w:color w:val="auto"/>
              </w:rPr>
              <w:t>• Named to Newsweek’s</w:t>
            </w:r>
          </w:p>
        </w:tc>
      </w:tr>
      <w:tr>
        <w:trPr>
          <w:trHeight w:val="189"/>
        </w:trPr>
        <w:tc>
          <w:tcPr>
            <w:tcW w:w="2760" w:type="dxa"/>
            <w:vAlign w:val="bottom"/>
            <w:tcBorders>
              <w:left w:val="single" w:sz="8" w:color="auto"/>
              <w:right w:val="single" w:sz="8" w:color="auto"/>
            </w:tcBorders>
            <w:shd w:val="clear" w:color="auto" w:fill="E5F1F9"/>
          </w:tcPr>
          <w:p>
            <w:pPr>
              <w:ind w:left="160"/>
              <w:spacing w:after="0"/>
              <w:rPr>
                <w:sz w:val="20"/>
                <w:szCs w:val="20"/>
                <w:color w:val="auto"/>
              </w:rPr>
            </w:pPr>
            <w:r>
              <w:rPr>
                <w:rFonts w:ascii="Arial" w:cs="Arial" w:eastAsia="Arial" w:hAnsi="Arial"/>
                <w:sz w:val="16"/>
                <w:szCs w:val="16"/>
                <w:color w:val="auto"/>
              </w:rPr>
              <w:t>•  Approximately 2,400</w:t>
            </w:r>
          </w:p>
        </w:tc>
        <w:tc>
          <w:tcPr>
            <w:tcW w:w="2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the broader population, with women</w:t>
            </w:r>
          </w:p>
        </w:tc>
        <w:tc>
          <w:tcPr>
            <w:tcW w:w="28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55,000 life science learners</w:t>
            </w:r>
          </w:p>
        </w:tc>
        <w:tc>
          <w:tcPr>
            <w:tcW w:w="2540" w:type="dxa"/>
            <w:vAlign w:val="bottom"/>
            <w:tcBorders>
              <w:right w:val="single" w:sz="8" w:color="auto"/>
            </w:tcBorders>
            <w:shd w:val="clear" w:color="auto" w:fill="E2EAD9"/>
          </w:tcPr>
          <w:p>
            <w:pPr>
              <w:ind w:left="300"/>
              <w:spacing w:after="0"/>
              <w:rPr>
                <w:sz w:val="20"/>
                <w:szCs w:val="20"/>
                <w:color w:val="auto"/>
              </w:rPr>
            </w:pPr>
            <w:r>
              <w:rPr>
                <w:rFonts w:ascii="Arial" w:cs="Arial" w:eastAsia="Arial" w:hAnsi="Arial"/>
                <w:sz w:val="16"/>
                <w:szCs w:val="16"/>
                <w:color w:val="auto"/>
              </w:rPr>
              <w:t>America’s Greenest</w:t>
            </w:r>
          </w:p>
        </w:tc>
      </w:tr>
      <w:tr>
        <w:trPr>
          <w:trHeight w:val="189"/>
        </w:trPr>
        <w:tc>
          <w:tcPr>
            <w:tcW w:w="2760" w:type="dxa"/>
            <w:vAlign w:val="bottom"/>
            <w:tcBorders>
              <w:left w:val="single" w:sz="8" w:color="auto"/>
              <w:right w:val="single" w:sz="8" w:color="auto"/>
            </w:tcBorders>
            <w:shd w:val="clear" w:color="auto" w:fill="E5F1F9"/>
          </w:tcPr>
          <w:p>
            <w:pPr>
              <w:ind w:left="320"/>
              <w:spacing w:after="0"/>
              <w:rPr>
                <w:sz w:val="20"/>
                <w:szCs w:val="20"/>
                <w:color w:val="auto"/>
              </w:rPr>
            </w:pPr>
            <w:r>
              <w:rPr>
                <w:rFonts w:ascii="Arial" w:cs="Arial" w:eastAsia="Arial" w:hAnsi="Arial"/>
                <w:sz w:val="16"/>
                <w:szCs w:val="16"/>
                <w:color w:val="auto"/>
              </w:rPr>
              <w:t>patients benefitted from Biogen</w:t>
            </w:r>
          </w:p>
        </w:tc>
        <w:tc>
          <w:tcPr>
            <w:tcW w:w="2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in the role of director-level and</w:t>
            </w: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Nearly 500,000 meals provided to</w:t>
            </w:r>
          </w:p>
        </w:tc>
        <w:tc>
          <w:tcPr>
            <w:tcW w:w="2540" w:type="dxa"/>
            <w:vAlign w:val="bottom"/>
            <w:tcBorders>
              <w:right w:val="single" w:sz="8" w:color="auto"/>
            </w:tcBorders>
            <w:shd w:val="clear" w:color="auto" w:fill="E2EAD9"/>
          </w:tcPr>
          <w:p>
            <w:pPr>
              <w:ind w:left="300"/>
              <w:spacing w:after="0"/>
              <w:rPr>
                <w:sz w:val="20"/>
                <w:szCs w:val="20"/>
                <w:color w:val="auto"/>
              </w:rPr>
            </w:pPr>
            <w:r>
              <w:rPr>
                <w:rFonts w:ascii="Arial" w:cs="Arial" w:eastAsia="Arial" w:hAnsi="Arial"/>
                <w:sz w:val="16"/>
                <w:szCs w:val="16"/>
                <w:color w:val="auto"/>
              </w:rPr>
              <w:t>Companies 2025 and</w:t>
            </w:r>
          </w:p>
        </w:tc>
      </w:tr>
      <w:tr>
        <w:trPr>
          <w:trHeight w:val="189"/>
        </w:trPr>
        <w:tc>
          <w:tcPr>
            <w:tcW w:w="2760" w:type="dxa"/>
            <w:vAlign w:val="bottom"/>
            <w:tcBorders>
              <w:left w:val="single" w:sz="8" w:color="auto"/>
              <w:right w:val="single" w:sz="8" w:color="auto"/>
            </w:tcBorders>
            <w:shd w:val="clear" w:color="auto" w:fill="E5F1F9"/>
          </w:tcPr>
          <w:p>
            <w:pPr>
              <w:ind w:left="320"/>
              <w:spacing w:after="0"/>
              <w:rPr>
                <w:sz w:val="20"/>
                <w:szCs w:val="20"/>
                <w:color w:val="auto"/>
              </w:rPr>
            </w:pPr>
            <w:r>
              <w:rPr>
                <w:rFonts w:ascii="Arial" w:cs="Arial" w:eastAsia="Arial" w:hAnsi="Arial"/>
                <w:sz w:val="16"/>
                <w:szCs w:val="16"/>
                <w:color w:val="auto"/>
              </w:rPr>
              <w:t>Global Access Mechanism</w:t>
            </w:r>
          </w:p>
        </w:tc>
        <w:tc>
          <w:tcPr>
            <w:tcW w:w="2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above (global) at 50%</w:t>
            </w:r>
          </w:p>
        </w:tc>
        <w:tc>
          <w:tcPr>
            <w:tcW w:w="28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food-insecure families</w:t>
            </w:r>
          </w:p>
        </w:tc>
        <w:tc>
          <w:tcPr>
            <w:tcW w:w="2540" w:type="dxa"/>
            <w:vAlign w:val="bottom"/>
            <w:tcBorders>
              <w:right w:val="single" w:sz="8" w:color="auto"/>
            </w:tcBorders>
            <w:shd w:val="clear" w:color="auto" w:fill="E2EAD9"/>
          </w:tcPr>
          <w:p>
            <w:pPr>
              <w:ind w:left="300"/>
              <w:spacing w:after="0"/>
              <w:rPr>
                <w:sz w:val="20"/>
                <w:szCs w:val="20"/>
                <w:color w:val="auto"/>
              </w:rPr>
            </w:pPr>
            <w:r>
              <w:rPr>
                <w:rFonts w:ascii="Arial" w:cs="Arial" w:eastAsia="Arial" w:hAnsi="Arial"/>
                <w:sz w:val="16"/>
                <w:szCs w:val="16"/>
                <w:color w:val="auto"/>
              </w:rPr>
              <w:t>included in TIME’s World’s</w:t>
            </w:r>
          </w:p>
        </w:tc>
      </w:tr>
      <w:tr>
        <w:trPr>
          <w:trHeight w:val="189"/>
        </w:trPr>
        <w:tc>
          <w:tcPr>
            <w:tcW w:w="2760" w:type="dxa"/>
            <w:vAlign w:val="bottom"/>
            <w:tcBorders>
              <w:left w:val="single" w:sz="8" w:color="auto"/>
              <w:right w:val="single" w:sz="8" w:color="auto"/>
            </w:tcBorders>
            <w:shd w:val="clear" w:color="auto" w:fill="E5F1F9"/>
          </w:tcPr>
          <w:p>
            <w:pPr>
              <w:ind w:left="320"/>
              <w:spacing w:after="0"/>
              <w:rPr>
                <w:sz w:val="20"/>
                <w:szCs w:val="20"/>
                <w:color w:val="auto"/>
              </w:rPr>
            </w:pPr>
            <w:r>
              <w:rPr>
                <w:rFonts w:ascii="Arial" w:cs="Arial" w:eastAsia="Arial" w:hAnsi="Arial"/>
                <w:sz w:val="16"/>
                <w:szCs w:val="16"/>
                <w:color w:val="auto"/>
              </w:rPr>
              <w:t>programs, expanding access to</w:t>
            </w:r>
          </w:p>
        </w:tc>
        <w:tc>
          <w:tcPr>
            <w:tcW w:w="288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spacing w:after="0"/>
              <w:rPr>
                <w:sz w:val="16"/>
                <w:szCs w:val="16"/>
                <w:color w:val="auto"/>
              </w:rPr>
            </w:pPr>
          </w:p>
        </w:tc>
        <w:tc>
          <w:tcPr>
            <w:tcW w:w="2540" w:type="dxa"/>
            <w:vAlign w:val="bottom"/>
            <w:tcBorders>
              <w:right w:val="single" w:sz="8" w:color="auto"/>
            </w:tcBorders>
            <w:shd w:val="clear" w:color="auto" w:fill="E2EAD9"/>
          </w:tcPr>
          <w:p>
            <w:pPr>
              <w:ind w:left="300"/>
              <w:spacing w:after="0"/>
              <w:rPr>
                <w:sz w:val="20"/>
                <w:szCs w:val="20"/>
                <w:color w:val="auto"/>
              </w:rPr>
            </w:pPr>
            <w:r>
              <w:rPr>
                <w:rFonts w:ascii="Arial" w:cs="Arial" w:eastAsia="Arial" w:hAnsi="Arial"/>
                <w:sz w:val="16"/>
                <w:szCs w:val="16"/>
                <w:color w:val="auto"/>
              </w:rPr>
              <w:t>Most Sustainable Companies</w:t>
            </w:r>
          </w:p>
        </w:tc>
      </w:tr>
      <w:tr>
        <w:trPr>
          <w:trHeight w:val="215"/>
        </w:trPr>
        <w:tc>
          <w:tcPr>
            <w:tcW w:w="2760" w:type="dxa"/>
            <w:vAlign w:val="bottom"/>
            <w:tcBorders>
              <w:left w:val="single" w:sz="8" w:color="auto"/>
              <w:right w:val="single" w:sz="8" w:color="auto"/>
            </w:tcBorders>
            <w:shd w:val="clear" w:color="auto" w:fill="E5F1F9"/>
          </w:tcPr>
          <w:p>
            <w:pPr>
              <w:ind w:left="320"/>
              <w:spacing w:after="0"/>
              <w:rPr>
                <w:sz w:val="20"/>
                <w:szCs w:val="20"/>
                <w:color w:val="auto"/>
              </w:rPr>
            </w:pPr>
            <w:r>
              <w:rPr>
                <w:rFonts w:ascii="Arial" w:cs="Arial" w:eastAsia="Arial" w:hAnsi="Arial"/>
                <w:sz w:val="16"/>
                <w:szCs w:val="16"/>
                <w:color w:val="auto"/>
              </w:rPr>
              <w:t>approximately 40 countries</w:t>
            </w:r>
          </w:p>
        </w:tc>
        <w:tc>
          <w:tcPr>
            <w:tcW w:w="288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shd w:val="clear" w:color="auto" w:fill="E2EAD9"/>
          </w:tcPr>
          <w:p>
            <w:pPr>
              <w:ind w:left="300"/>
              <w:spacing w:after="0"/>
              <w:rPr>
                <w:sz w:val="20"/>
                <w:szCs w:val="20"/>
                <w:color w:val="auto"/>
              </w:rPr>
            </w:pPr>
            <w:r>
              <w:rPr>
                <w:rFonts w:ascii="Arial" w:cs="Arial" w:eastAsia="Arial" w:hAnsi="Arial"/>
                <w:sz w:val="16"/>
                <w:szCs w:val="16"/>
                <w:color w:val="auto"/>
              </w:rPr>
              <w:t>of 2025</w:t>
            </w:r>
          </w:p>
        </w:tc>
      </w:tr>
      <w:tr>
        <w:trPr>
          <w:trHeight w:val="245"/>
        </w:trPr>
        <w:tc>
          <w:tcPr>
            <w:tcW w:w="2760" w:type="dxa"/>
            <w:vAlign w:val="bottom"/>
            <w:tcBorders>
              <w:left w:val="single" w:sz="8" w:color="auto"/>
              <w:bottom w:val="single" w:sz="8" w:color="auto"/>
              <w:right w:val="single" w:sz="8" w:color="auto"/>
            </w:tcBorders>
            <w:shd w:val="clear" w:color="auto" w:fill="E5F1F9"/>
          </w:tcPr>
          <w:p>
            <w:pPr>
              <w:spacing w:after="0"/>
              <w:rPr>
                <w:sz w:val="21"/>
                <w:szCs w:val="21"/>
                <w:color w:val="auto"/>
              </w:rPr>
            </w:pPr>
          </w:p>
        </w:tc>
        <w:tc>
          <w:tcPr>
            <w:tcW w:w="2880" w:type="dxa"/>
            <w:vAlign w:val="bottom"/>
            <w:tcBorders>
              <w:bottom w:val="single" w:sz="8" w:color="auto"/>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shd w:val="clear" w:color="auto" w:fill="E2EAD9"/>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-1893570</wp:posOffset>
            </wp:positionV>
            <wp:extent cx="3634740" cy="18859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34740" cy="1885950"/>
                    </a:xfrm>
                    <a:prstGeom prst="rect">
                      <a:avLst/>
                    </a:prstGeom>
                    <a:noFill/>
                  </pic:spPr>
                </pic:pic>
              </a:graphicData>
            </a:graphic>
          </wp:anchor>
        </w:drawing>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 &amp; Health Equity</w:t>
      </w:r>
    </w:p>
    <w:p>
      <w:pPr>
        <w:spacing w:after="0" w:line="108"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In 2025, we advanced our standard for patient-first clinical research, highlighted by completing enrollment for the TOPAZ Phase 3 lupus clinical trials, an achievement made even more meaningful by who enrolled. Lupus disproportionately affects young women, especially women of color, and the trials were intentionally designed to reflect this reality. By selecting sites in highly impacted communities and addressing real-world barriers like transportation and childcare, we created a trial experience that met patients where they are.</w:t>
      </w:r>
    </w:p>
    <w:p>
      <w:pPr>
        <w:spacing w:after="0" w:line="70" w:lineRule="exact"/>
        <w:rPr>
          <w:sz w:val="20"/>
          <w:szCs w:val="20"/>
          <w:color w:val="auto"/>
        </w:rPr>
      </w:pPr>
    </w:p>
    <w:p>
      <w:pPr>
        <w:ind w:left="120" w:right="200"/>
        <w:spacing w:after="0" w:line="220" w:lineRule="auto"/>
        <w:rPr>
          <w:sz w:val="20"/>
          <w:szCs w:val="20"/>
          <w:color w:val="auto"/>
        </w:rPr>
      </w:pPr>
      <w:r>
        <w:rPr>
          <w:rFonts w:ascii="Arial" w:cs="Arial" w:eastAsia="Arial" w:hAnsi="Arial"/>
          <w:sz w:val="16"/>
          <w:szCs w:val="16"/>
          <w:color w:val="auto"/>
        </w:rPr>
        <w:t>Beyond lupus, we expanded access to innovative therapies for people with severe and rare diseases worldwide. Global Access Mechanisms reached patients across approximately 40 countries, while programs for FA, ALS and SMA continued to grow. In AD, more flexible LEQEMBI</w:t>
      </w:r>
      <w:r>
        <w:rPr>
          <w:rFonts w:ascii="Arial" w:cs="Arial" w:eastAsia="Arial" w:hAnsi="Arial"/>
          <w:sz w:val="24"/>
          <w:szCs w:val="24"/>
          <w:color w:val="auto"/>
          <w:vertAlign w:val="superscript"/>
        </w:rPr>
        <w:t>®</w:t>
      </w:r>
      <w:r>
        <w:rPr>
          <w:rFonts w:ascii="Arial" w:cs="Arial" w:eastAsia="Arial" w:hAnsi="Arial"/>
          <w:sz w:val="16"/>
          <w:szCs w:val="16"/>
          <w:color w:val="auto"/>
        </w:rPr>
        <w:t xml:space="preserve"> (lecanemab-irmb) subcutaneous maintenance dosing options helped make treatment more practical for patients and caregivers.</w:t>
      </w:r>
    </w:p>
    <w:p>
      <w:pPr>
        <w:spacing w:after="0" w:line="85"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We also strengthened ties with patient communities through new advocacy partnerships, immersive learning programs for employees and our first Patient Advocacy Group Leadership Summit. These efforts, grounded in real patient experiences, ensure that insights from people living with diseases we address help shape research, access and innovation. Together, they reflect our commitment to making breakthrough treatments accessible.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Workforce &amp; Culture</w:t>
      </w:r>
    </w:p>
    <w:p>
      <w:pPr>
        <w:spacing w:after="0" w:line="108" w:lineRule="exact"/>
        <w:rPr>
          <w:sz w:val="20"/>
          <w:szCs w:val="20"/>
          <w:color w:val="auto"/>
        </w:rPr>
      </w:pPr>
    </w:p>
    <w:p>
      <w:pPr>
        <w:ind w:left="120" w:right="300"/>
        <w:spacing w:after="0" w:line="266" w:lineRule="auto"/>
        <w:rPr>
          <w:sz w:val="20"/>
          <w:szCs w:val="20"/>
          <w:color w:val="auto"/>
        </w:rPr>
      </w:pPr>
      <w:r>
        <w:rPr>
          <w:rFonts w:ascii="Arial" w:cs="Arial" w:eastAsia="Arial" w:hAnsi="Arial"/>
          <w:sz w:val="16"/>
          <w:szCs w:val="16"/>
          <w:color w:val="auto"/>
        </w:rPr>
        <w:t>In 2025, we advanced our commitment to scientific innovation and a patient-centric approach by investing deeply in our people and strengthening a culture that supports excellence, learning and a results-driven mindset. Leadership and development offerings helped employees build the capabilities needed for a rapidly evolving industry.</w:t>
      </w:r>
    </w:p>
    <w:p>
      <w:pPr>
        <w:spacing w:after="0" w:line="63"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We also marked a major milestone in North Carolina, where we celebrated 30 years of U.S. manufacturing and announced a $2 billion investment in our existing manufacturing footprint in RTP. With the life science industry continuing to grow in the state, we also reinforced our commitment to workforce development through a $250,000 donation to Durham Technical Community College’s new Life Sciences Center. These efforts aim to prepare more learners for biomanufacturing careers and strengthen the region’s talent pipeline.</w:t>
      </w:r>
    </w:p>
    <w:p>
      <w:pPr>
        <w:spacing w:after="0" w:line="12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-21-</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120"/>
        <w:spacing w:after="0"/>
        <w:rPr>
          <w:sz w:val="20"/>
          <w:szCs w:val="20"/>
          <w:color w:val="auto"/>
        </w:rPr>
      </w:pPr>
      <w:r>
        <w:rPr>
          <w:rFonts w:ascii="Arial" w:cs="Arial" w:eastAsia="Arial" w:hAnsi="Arial"/>
          <w:sz w:val="19"/>
          <w:szCs w:val="19"/>
          <w:color w:val="0075C9"/>
        </w:rPr>
        <w:t>Corporate Governance</w:t>
      </w:r>
    </w:p>
    <w:p>
      <w:pPr>
        <w:spacing w:after="0" w:line="154" w:lineRule="exact"/>
        <w:rPr>
          <w:sz w:val="20"/>
          <w:szCs w:val="20"/>
          <w:color w:val="auto"/>
        </w:rPr>
      </w:pPr>
    </w:p>
    <w:p>
      <w:pPr>
        <w:ind w:left="120" w:right="120"/>
        <w:spacing w:after="0" w:line="220" w:lineRule="auto"/>
        <w:rPr>
          <w:sz w:val="20"/>
          <w:szCs w:val="20"/>
          <w:color w:val="auto"/>
        </w:rPr>
      </w:pPr>
      <w:r>
        <w:rPr>
          <w:rFonts w:ascii="Arial" w:cs="Arial" w:eastAsia="Arial" w:hAnsi="Arial"/>
          <w:sz w:val="16"/>
          <w:szCs w:val="16"/>
          <w:color w:val="auto"/>
        </w:rPr>
        <w:t>We continue to foster a high-performing, inclusive culture through the New Biogen Way, with 71% of employees participating in our annual survey saying they feel engaged. We were also Great Place to Work</w:t>
      </w:r>
      <w:r>
        <w:rPr>
          <w:rFonts w:ascii="Arial" w:cs="Arial" w:eastAsia="Arial" w:hAnsi="Arial"/>
          <w:sz w:val="24"/>
          <w:szCs w:val="24"/>
          <w:color w:val="auto"/>
          <w:vertAlign w:val="superscript"/>
        </w:rPr>
        <w:t>®</w:t>
      </w:r>
      <w:r>
        <w:rPr>
          <w:rFonts w:ascii="Arial" w:cs="Arial" w:eastAsia="Arial" w:hAnsi="Arial"/>
          <w:sz w:val="16"/>
          <w:szCs w:val="16"/>
          <w:color w:val="auto"/>
        </w:rPr>
        <w:t xml:space="preserve"> Certified</w:t>
      </w:r>
      <w:r>
        <w:rPr>
          <w:rFonts w:ascii="Arial" w:cs="Arial" w:eastAsia="Arial" w:hAnsi="Arial"/>
          <w:sz w:val="24"/>
          <w:szCs w:val="24"/>
          <w:color w:val="auto"/>
          <w:vertAlign w:val="superscript"/>
        </w:rPr>
        <w:t>™</w:t>
      </w:r>
      <w:r>
        <w:rPr>
          <w:rFonts w:ascii="Arial" w:cs="Arial" w:eastAsia="Arial" w:hAnsi="Arial"/>
          <w:sz w:val="16"/>
          <w:szCs w:val="16"/>
          <w:color w:val="auto"/>
        </w:rPr>
        <w:t xml:space="preserve"> in 28 countries. We advanced employee well-being through enhancements to Total Rewards, expanded mental health support and strengthened health and safety practices.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Community Impact</w:t>
      </w:r>
    </w:p>
    <w:p>
      <w:pPr>
        <w:spacing w:after="0" w:line="108"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Our work is rooted in a commitment to the communities where we live and work. Beyond our medicines, we are dedicated to upholding our credo of Caring Deeply, Achieving Excellence and Changing Lives to advance better health and to inspire the next generation of healthcare workers.</w:t>
      </w:r>
    </w:p>
    <w:p>
      <w:pPr>
        <w:spacing w:after="0" w:line="48"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In 2025, Biogen and the Biogen Foundation contributed more than $34.6 million in grants, sponsorships, donations and in-kind contributions to broaden access to healthcare, address the fundamentals of community health and strengthen the life sciences talent pipeline.</w:t>
      </w:r>
    </w:p>
    <w:p>
      <w:pPr>
        <w:spacing w:after="0" w:line="48"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We made important new investments in broadening healthcare access. Responding to elevated needs, the Biogen Foundation more than tripled its support for food security initiatives year over year, providing around 500,000 meals to families in North Carolina and Massachusetts. Our CoLab hosted more than 2,300 learners, helping students and early-career adults explore new opportunities in the life sciences industry.</w:t>
      </w:r>
    </w:p>
    <w:p>
      <w:pPr>
        <w:spacing w:after="0" w:line="63"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Employees around the world took part in Caring Deeply Week, our global volunteer week, serving more than 9,000 of our neighbors. And, together with Biogen Foundation matching, our employees gave more than $2.4 million to nonprofit organizations that matter most to them.</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w:t>
      </w:r>
    </w:p>
    <w:p>
      <w:pPr>
        <w:spacing w:after="0" w:line="10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Our environmental sustainability strategy advances operational excellence via three pillars: sustainable operations, responsible product development and engaged suppliers and employees. This framework supports strategic decision-making and regulatory compliance while reducing our environmental impact.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2025, we continued to work across our manufacturing and operations sites to prioritize reductions in energy, water use and waste.</w:t>
      </w:r>
    </w:p>
    <w:p>
      <w:pPr>
        <w:spacing w:after="0" w:line="113"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We achieved a 15% reduction in Scope 1 emissions from a 2019 baseline. We also addressed 95% of our market-based Scope 2 emissions by sustaining our commitment to 100% renewable electricity across our global operations. Site-led initiatives contributed to a 48% reduction in total waste since 2019 and 98% diversion of waste from landfills, while managing costs.</w:t>
      </w:r>
    </w:p>
    <w:p>
      <w:pPr>
        <w:spacing w:after="0" w:line="63"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Responsible product development is embedded across our research, development and manufacturing processes, integrating environmental considerations while maintaining high standards for patient safety and product quality. We sustained 100% My Green Lab certification across our laboratories, with 74% certified at Green Level, the program’s highest certification tier. We continue to consider environmental criteria in our selection of materials across our Chemistry, Manufacturing and Controls and packaging development processes.</w:t>
      </w:r>
    </w:p>
    <w:p>
      <w:pPr>
        <w:spacing w:after="0" w:line="70"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Together, our efforts demonstrate how effective governance, targeted investments and engaged suppliers and employees can deliver both environmental and business benefits. By minimizing the environmental impacts of our operations while ensuring high standards of patient safety, we can contribute to more sustainable healthcare delivery.</w:t>
      </w:r>
    </w:p>
    <w:p>
      <w:pPr>
        <w:spacing w:after="0" w:line="63"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 xml:space="preserve">Biogen’s Corporate Responsibility Report provides more detail about our corporate responsibility initiatives, priorities and achievements, which will be posted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“Reporting and Principles” subsection of the “Responsibility” section of the website. References to Biogen’s Corporate Responsibility Report are for informational purposes only and neither our Corporate Responsibility Report nor the other information on our website is incorporated by reference into this Proxy Statement.</w:t>
      </w:r>
    </w:p>
    <w:p>
      <w:pPr>
        <w:spacing w:after="0" w:line="12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-22-</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640"/>
        <w:spacing w:after="0"/>
        <w:rPr>
          <w:sz w:val="20"/>
          <w:szCs w:val="20"/>
          <w:color w:val="auto"/>
        </w:rPr>
      </w:pPr>
      <w:r>
        <w:rPr>
          <w:rFonts w:ascii="Arial" w:cs="Arial" w:eastAsia="Arial" w:hAnsi="Arial"/>
          <w:sz w:val="19"/>
          <w:szCs w:val="19"/>
          <w:color w:val="0075C9"/>
        </w:rPr>
        <w:t>Stock Ownership</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31"/>
          <w:szCs w:val="31"/>
          <w:color w:val="0075C9"/>
        </w:rPr>
        <w:t>STOCK OWNERSHIP</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and accompanying notes provide information about the beneficial ownership of our common stock by:</w:t>
      </w:r>
    </w:p>
    <w:p>
      <w:pPr>
        <w:spacing w:after="0" w:line="127" w:lineRule="exact"/>
        <w:rPr>
          <w:sz w:val="20"/>
          <w:szCs w:val="20"/>
          <w:color w:val="auto"/>
        </w:rPr>
      </w:pPr>
    </w:p>
    <w:p>
      <w:pPr>
        <w:ind w:left="440" w:hanging="324"/>
        <w:spacing w:after="0"/>
        <w:tabs>
          <w:tab w:leader="none" w:pos="440" w:val="left"/>
        </w:tabs>
        <w:numPr>
          <w:ilvl w:val="0"/>
          <w:numId w:val="72"/>
        </w:numPr>
        <w:rPr>
          <w:rFonts w:ascii="Arial" w:cs="Arial" w:eastAsia="Arial" w:hAnsi="Arial"/>
          <w:sz w:val="16"/>
          <w:szCs w:val="16"/>
          <w:color w:val="0075C9"/>
        </w:rPr>
      </w:pPr>
      <w:r>
        <w:rPr>
          <w:rFonts w:ascii="Arial" w:cs="Arial" w:eastAsia="Arial" w:hAnsi="Arial"/>
          <w:sz w:val="16"/>
          <w:szCs w:val="16"/>
          <w:color w:val="auto"/>
        </w:rPr>
        <w:t>each stockholder known by us to be the beneficial owner of more than 5% of our common stock;</w:t>
      </w:r>
    </w:p>
    <w:p>
      <w:pPr>
        <w:spacing w:after="0" w:line="21" w:lineRule="exact"/>
        <w:rPr>
          <w:rFonts w:ascii="Arial" w:cs="Arial" w:eastAsia="Arial" w:hAnsi="Arial"/>
          <w:sz w:val="16"/>
          <w:szCs w:val="16"/>
          <w:color w:val="0075C9"/>
        </w:rPr>
      </w:pPr>
    </w:p>
    <w:p>
      <w:pPr>
        <w:ind w:left="440" w:hanging="324"/>
        <w:spacing w:after="0"/>
        <w:tabs>
          <w:tab w:leader="none" w:pos="440" w:val="left"/>
        </w:tabs>
        <w:numPr>
          <w:ilvl w:val="0"/>
          <w:numId w:val="72"/>
        </w:numPr>
        <w:rPr>
          <w:rFonts w:ascii="Arial" w:cs="Arial" w:eastAsia="Arial" w:hAnsi="Arial"/>
          <w:sz w:val="16"/>
          <w:szCs w:val="16"/>
          <w:color w:val="0075C9"/>
        </w:rPr>
      </w:pPr>
      <w:r>
        <w:rPr>
          <w:rFonts w:ascii="Arial" w:cs="Arial" w:eastAsia="Arial" w:hAnsi="Arial"/>
          <w:sz w:val="16"/>
          <w:szCs w:val="16"/>
          <w:color w:val="auto"/>
        </w:rPr>
        <w:t>each of our named executive officers;</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72"/>
        </w:numPr>
        <w:rPr>
          <w:rFonts w:ascii="Arial" w:cs="Arial" w:eastAsia="Arial" w:hAnsi="Arial"/>
          <w:sz w:val="16"/>
          <w:szCs w:val="16"/>
          <w:color w:val="0075C9"/>
        </w:rPr>
      </w:pPr>
      <w:r>
        <w:rPr>
          <w:rFonts w:ascii="Arial" w:cs="Arial" w:eastAsia="Arial" w:hAnsi="Arial"/>
          <w:sz w:val="16"/>
          <w:szCs w:val="16"/>
          <w:color w:val="auto"/>
        </w:rPr>
        <w:t>each of our directors and nominees for director; and</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72"/>
        </w:numPr>
        <w:rPr>
          <w:rFonts w:ascii="Arial" w:cs="Arial" w:eastAsia="Arial" w:hAnsi="Arial"/>
          <w:sz w:val="16"/>
          <w:szCs w:val="16"/>
          <w:color w:val="0075C9"/>
        </w:rPr>
      </w:pPr>
      <w:r>
        <w:rPr>
          <w:rFonts w:ascii="Arial" w:cs="Arial" w:eastAsia="Arial" w:hAnsi="Arial"/>
          <w:sz w:val="16"/>
          <w:szCs w:val="16"/>
          <w:color w:val="auto"/>
        </w:rPr>
        <w:t>all of our directors and executive officers as a group.</w:t>
      </w:r>
    </w:p>
    <w:p>
      <w:pPr>
        <w:spacing w:after="0" w:line="97"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Except as otherwise noted, the persons identified have sole voting and investment power with respect to the shares of our common stock beneficially owned. Beneficial ownership is determined in accordance with the rules of the SEC and includes voting and investment power with respect to the shares. Except as otherwise noted, the information below is as of April 21, 2026 (Ownership Date).</w:t>
      </w:r>
    </w:p>
    <w:p>
      <w:pPr>
        <w:spacing w:after="0" w:line="63"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Unless otherwise indicated in the footnotes, the address of each of the individuals named below is: c/o Biogen Inc., 225 Binney Street, Cambridge, Massachusetts 02142.</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240" w:type="dxa"/>
            <w:vAlign w:val="bottom"/>
            <w:shd w:val="clear" w:color="auto" w:fill="0075C9"/>
          </w:tcPr>
          <w:p>
            <w:pPr>
              <w:spacing w:after="0"/>
              <w:rPr>
                <w:sz w:val="13"/>
                <w:szCs w:val="13"/>
                <w:color w:val="auto"/>
              </w:rPr>
            </w:pPr>
          </w:p>
        </w:tc>
        <w:tc>
          <w:tcPr>
            <w:tcW w:w="1420" w:type="dxa"/>
            <w:vAlign w:val="bottom"/>
            <w:shd w:val="clear" w:color="auto" w:fill="0075C9"/>
          </w:tcPr>
          <w:p>
            <w:pPr>
              <w:spacing w:after="0"/>
              <w:rPr>
                <w:sz w:val="13"/>
                <w:szCs w:val="13"/>
                <w:color w:val="auto"/>
              </w:rPr>
            </w:pPr>
          </w:p>
        </w:tc>
        <w:tc>
          <w:tcPr>
            <w:tcW w:w="158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Shares Subject to</w:t>
            </w:r>
          </w:p>
        </w:tc>
        <w:tc>
          <w:tcPr>
            <w:tcW w:w="1560" w:type="dxa"/>
            <w:vAlign w:val="bottom"/>
            <w:shd w:val="clear" w:color="auto" w:fill="0075C9"/>
          </w:tcPr>
          <w:p>
            <w:pPr>
              <w:jc w:val="center"/>
              <w:ind w:left="33"/>
              <w:spacing w:after="0"/>
              <w:rPr>
                <w:sz w:val="20"/>
                <w:szCs w:val="20"/>
                <w:color w:val="auto"/>
              </w:rPr>
            </w:pPr>
            <w:r>
              <w:rPr>
                <w:rFonts w:ascii="Arial" w:cs="Arial" w:eastAsia="Arial" w:hAnsi="Arial"/>
                <w:sz w:val="13"/>
                <w:szCs w:val="13"/>
                <w:color w:val="FFFFFF"/>
              </w:rPr>
              <w:t>Total Number of</w:t>
            </w:r>
          </w:p>
        </w:tc>
        <w:tc>
          <w:tcPr>
            <w:tcW w:w="12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Percentage of</w:t>
            </w:r>
          </w:p>
        </w:tc>
      </w:tr>
      <w:tr>
        <w:trPr>
          <w:trHeight w:val="149"/>
        </w:trPr>
        <w:tc>
          <w:tcPr>
            <w:tcW w:w="5240" w:type="dxa"/>
            <w:vAlign w:val="bottom"/>
            <w:shd w:val="clear" w:color="auto" w:fill="0075C9"/>
          </w:tcPr>
          <w:p>
            <w:pPr>
              <w:spacing w:after="0"/>
              <w:rPr>
                <w:sz w:val="12"/>
                <w:szCs w:val="12"/>
                <w:color w:val="auto"/>
              </w:rPr>
            </w:pPr>
          </w:p>
        </w:tc>
        <w:tc>
          <w:tcPr>
            <w:tcW w:w="1420" w:type="dxa"/>
            <w:vAlign w:val="bottom"/>
            <w:shd w:val="clear" w:color="auto" w:fill="0075C9"/>
          </w:tcPr>
          <w:p>
            <w:pPr>
              <w:jc w:val="center"/>
              <w:ind w:left="153"/>
              <w:spacing w:after="0"/>
              <w:rPr>
                <w:sz w:val="20"/>
                <w:szCs w:val="20"/>
                <w:color w:val="auto"/>
              </w:rPr>
            </w:pPr>
            <w:r>
              <w:rPr>
                <w:rFonts w:ascii="Arial" w:cs="Arial" w:eastAsia="Arial" w:hAnsi="Arial"/>
                <w:sz w:val="13"/>
                <w:szCs w:val="13"/>
                <w:color w:val="FFFFFF"/>
              </w:rPr>
              <w:t>Shares</w:t>
            </w:r>
          </w:p>
        </w:tc>
        <w:tc>
          <w:tcPr>
            <w:tcW w:w="158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Options and</w:t>
            </w:r>
          </w:p>
        </w:tc>
        <w:tc>
          <w:tcPr>
            <w:tcW w:w="1560" w:type="dxa"/>
            <w:vAlign w:val="bottom"/>
            <w:shd w:val="clear" w:color="auto" w:fill="0075C9"/>
          </w:tcPr>
          <w:p>
            <w:pPr>
              <w:jc w:val="center"/>
              <w:ind w:left="33"/>
              <w:spacing w:after="0"/>
              <w:rPr>
                <w:sz w:val="20"/>
                <w:szCs w:val="20"/>
                <w:color w:val="auto"/>
              </w:rPr>
            </w:pPr>
            <w:r>
              <w:rPr>
                <w:rFonts w:ascii="Arial" w:cs="Arial" w:eastAsia="Arial" w:hAnsi="Arial"/>
                <w:sz w:val="13"/>
                <w:szCs w:val="13"/>
                <w:color w:val="FFFFFF"/>
              </w:rPr>
              <w:t>Shares Beneficially</w:t>
            </w:r>
          </w:p>
        </w:tc>
        <w:tc>
          <w:tcPr>
            <w:tcW w:w="12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Outstanding</w:t>
            </w:r>
          </w:p>
        </w:tc>
      </w:tr>
      <w:tr>
        <w:trPr>
          <w:trHeight w:val="175"/>
        </w:trPr>
        <w:tc>
          <w:tcPr>
            <w:tcW w:w="5240" w:type="dxa"/>
            <w:vAlign w:val="bottom"/>
            <w:shd w:val="clear" w:color="auto" w:fill="0075C9"/>
          </w:tcPr>
          <w:p>
            <w:pPr>
              <w:spacing w:after="0"/>
              <w:rPr>
                <w:sz w:val="20"/>
                <w:szCs w:val="20"/>
                <w:color w:val="auto"/>
              </w:rPr>
            </w:pPr>
            <w:r>
              <w:rPr>
                <w:rFonts w:ascii="Arial" w:cs="Arial" w:eastAsia="Arial" w:hAnsi="Arial"/>
                <w:sz w:val="13"/>
                <w:szCs w:val="13"/>
                <w:color w:val="FFFFFF"/>
              </w:rPr>
              <w:t>  Name</w:t>
            </w:r>
          </w:p>
        </w:tc>
        <w:tc>
          <w:tcPr>
            <w:tcW w:w="1420" w:type="dxa"/>
            <w:vAlign w:val="bottom"/>
            <w:shd w:val="clear" w:color="auto" w:fill="0075C9"/>
          </w:tcPr>
          <w:p>
            <w:pPr>
              <w:jc w:val="center"/>
              <w:ind w:left="153"/>
              <w:spacing w:after="0"/>
              <w:rPr>
                <w:sz w:val="20"/>
                <w:szCs w:val="20"/>
                <w:color w:val="auto"/>
              </w:rPr>
            </w:pPr>
            <w:r>
              <w:rPr>
                <w:rFonts w:ascii="Arial" w:cs="Arial" w:eastAsia="Arial" w:hAnsi="Arial"/>
                <w:sz w:val="13"/>
                <w:szCs w:val="13"/>
                <w:color w:val="FFFFFF"/>
              </w:rPr>
              <w:t>Owned</w:t>
            </w:r>
            <w:r>
              <w:rPr>
                <w:rFonts w:ascii="Arial" w:cs="Arial" w:eastAsia="Arial" w:hAnsi="Arial"/>
                <w:sz w:val="6"/>
                <w:szCs w:val="6"/>
                <w:color w:val="FFFFFF"/>
              </w:rPr>
              <w:t>(1)</w:t>
            </w:r>
          </w:p>
        </w:tc>
        <w:tc>
          <w:tcPr>
            <w:tcW w:w="158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Stock Units</w:t>
            </w:r>
            <w:r>
              <w:rPr>
                <w:rFonts w:ascii="Arial" w:cs="Arial" w:eastAsia="Arial" w:hAnsi="Arial"/>
                <w:sz w:val="6"/>
                <w:szCs w:val="6"/>
                <w:color w:val="FFFFFF"/>
              </w:rPr>
              <w:t>(2)</w:t>
            </w:r>
          </w:p>
        </w:tc>
        <w:tc>
          <w:tcPr>
            <w:tcW w:w="1560" w:type="dxa"/>
            <w:vAlign w:val="bottom"/>
            <w:shd w:val="clear" w:color="auto" w:fill="0075C9"/>
          </w:tcPr>
          <w:p>
            <w:pPr>
              <w:jc w:val="center"/>
              <w:ind w:left="33"/>
              <w:spacing w:after="0"/>
              <w:rPr>
                <w:sz w:val="20"/>
                <w:szCs w:val="20"/>
                <w:color w:val="auto"/>
              </w:rPr>
            </w:pPr>
            <w:r>
              <w:rPr>
                <w:rFonts w:ascii="Arial" w:cs="Arial" w:eastAsia="Arial" w:hAnsi="Arial"/>
                <w:sz w:val="13"/>
                <w:szCs w:val="13"/>
                <w:color w:val="FFFFFF"/>
              </w:rPr>
              <w:t>Owned</w:t>
            </w:r>
            <w:r>
              <w:rPr>
                <w:rFonts w:ascii="Arial" w:cs="Arial" w:eastAsia="Arial" w:hAnsi="Arial"/>
                <w:sz w:val="6"/>
                <w:szCs w:val="6"/>
                <w:color w:val="FFFFFF"/>
              </w:rPr>
              <w:t>(1)</w:t>
            </w:r>
          </w:p>
        </w:tc>
        <w:tc>
          <w:tcPr>
            <w:tcW w:w="12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Shares</w:t>
            </w:r>
            <w:r>
              <w:rPr>
                <w:rFonts w:ascii="Arial" w:cs="Arial" w:eastAsia="Arial" w:hAnsi="Arial"/>
                <w:sz w:val="6"/>
                <w:szCs w:val="6"/>
                <w:color w:val="FFFFFF"/>
              </w:rPr>
              <w:t>(3)</w:t>
            </w:r>
          </w:p>
        </w:tc>
      </w:tr>
      <w:tr>
        <w:trPr>
          <w:trHeight w:val="257"/>
        </w:trPr>
        <w:tc>
          <w:tcPr>
            <w:tcW w:w="5240" w:type="dxa"/>
            <w:vAlign w:val="bottom"/>
            <w:shd w:val="clear" w:color="auto" w:fill="E5F1F9"/>
          </w:tcPr>
          <w:p>
            <w:pPr>
              <w:spacing w:after="0"/>
              <w:rPr>
                <w:sz w:val="20"/>
                <w:szCs w:val="20"/>
                <w:color w:val="auto"/>
              </w:rPr>
            </w:pPr>
            <w:r>
              <w:rPr>
                <w:rFonts w:ascii="Arial" w:cs="Arial" w:eastAsia="Arial" w:hAnsi="Arial"/>
                <w:sz w:val="13"/>
                <w:szCs w:val="13"/>
                <w:b w:val="1"/>
                <w:bCs w:val="1"/>
                <w:color w:val="auto"/>
              </w:rPr>
              <w:t>  5% Stockholders</w:t>
            </w:r>
            <w:r>
              <w:rPr>
                <w:rFonts w:ascii="Arial" w:cs="Arial" w:eastAsia="Arial" w:hAnsi="Arial"/>
                <w:sz w:val="20"/>
                <w:szCs w:val="20"/>
                <w:b w:val="1"/>
                <w:bCs w:val="1"/>
                <w:color w:val="auto"/>
                <w:vertAlign w:val="superscript"/>
              </w:rPr>
              <w:t>(11)</w:t>
            </w:r>
          </w:p>
        </w:tc>
        <w:tc>
          <w:tcPr>
            <w:tcW w:w="1420" w:type="dxa"/>
            <w:vAlign w:val="bottom"/>
            <w:shd w:val="clear" w:color="auto" w:fill="E5F1F9"/>
          </w:tcPr>
          <w:p>
            <w:pPr>
              <w:spacing w:after="0"/>
              <w:rPr>
                <w:sz w:val="22"/>
                <w:szCs w:val="22"/>
                <w:color w:val="auto"/>
              </w:rPr>
            </w:pPr>
          </w:p>
        </w:tc>
        <w:tc>
          <w:tcPr>
            <w:tcW w:w="1580" w:type="dxa"/>
            <w:vAlign w:val="bottom"/>
            <w:shd w:val="clear" w:color="auto" w:fill="E5F1F9"/>
          </w:tcPr>
          <w:p>
            <w:pPr>
              <w:spacing w:after="0"/>
              <w:rPr>
                <w:sz w:val="22"/>
                <w:szCs w:val="22"/>
                <w:color w:val="auto"/>
              </w:rPr>
            </w:pPr>
          </w:p>
        </w:tc>
        <w:tc>
          <w:tcPr>
            <w:tcW w:w="1560" w:type="dxa"/>
            <w:vAlign w:val="bottom"/>
            <w:shd w:val="clear" w:color="auto" w:fill="E5F1F9"/>
          </w:tcPr>
          <w:p>
            <w:pPr>
              <w:spacing w:after="0"/>
              <w:rPr>
                <w:sz w:val="22"/>
                <w:szCs w:val="22"/>
                <w:color w:val="auto"/>
              </w:rPr>
            </w:pPr>
          </w:p>
        </w:tc>
        <w:tc>
          <w:tcPr>
            <w:tcW w:w="1220" w:type="dxa"/>
            <w:vAlign w:val="bottom"/>
            <w:shd w:val="clear" w:color="auto" w:fill="E5F1F9"/>
          </w:tcPr>
          <w:p>
            <w:pPr>
              <w:spacing w:after="0"/>
              <w:rPr>
                <w:sz w:val="22"/>
                <w:szCs w:val="22"/>
                <w:color w:val="auto"/>
              </w:rPr>
            </w:pPr>
          </w:p>
        </w:tc>
      </w:tr>
      <w:tr>
        <w:trPr>
          <w:trHeight w:val="190"/>
        </w:trPr>
        <w:tc>
          <w:tcPr>
            <w:tcW w:w="5240" w:type="dxa"/>
            <w:vAlign w:val="bottom"/>
            <w:shd w:val="clear" w:color="auto" w:fill="B2D5EE"/>
          </w:tcPr>
          <w:p>
            <w:pPr>
              <w:spacing w:after="0" w:line="190" w:lineRule="exact"/>
              <w:rPr>
                <w:sz w:val="20"/>
                <w:szCs w:val="20"/>
                <w:color w:val="auto"/>
              </w:rPr>
            </w:pPr>
            <w:r>
              <w:rPr>
                <w:rFonts w:ascii="Arial" w:cs="Arial" w:eastAsia="Arial" w:hAnsi="Arial"/>
                <w:sz w:val="13"/>
                <w:szCs w:val="13"/>
                <w:color w:val="auto"/>
              </w:rPr>
              <w:t>  PRIMECAP Management Company</w:t>
            </w:r>
            <w:r>
              <w:rPr>
                <w:rFonts w:ascii="Arial" w:cs="Arial" w:eastAsia="Arial" w:hAnsi="Arial"/>
                <w:sz w:val="20"/>
                <w:szCs w:val="20"/>
                <w:color w:val="auto"/>
                <w:vertAlign w:val="superscript"/>
              </w:rPr>
              <w:t>(4)</w:t>
            </w:r>
          </w:p>
        </w:tc>
        <w:tc>
          <w:tcPr>
            <w:tcW w:w="1420" w:type="dxa"/>
            <w:vAlign w:val="bottom"/>
            <w:shd w:val="clear" w:color="auto" w:fill="B2D5EE"/>
          </w:tcPr>
          <w:p>
            <w:pPr>
              <w:jc w:val="center"/>
              <w:ind w:left="193"/>
              <w:spacing w:after="0"/>
              <w:rPr>
                <w:sz w:val="20"/>
                <w:szCs w:val="20"/>
                <w:color w:val="auto"/>
              </w:rPr>
            </w:pPr>
            <w:r>
              <w:rPr>
                <w:rFonts w:ascii="Arial" w:cs="Arial" w:eastAsia="Arial" w:hAnsi="Arial"/>
                <w:sz w:val="13"/>
                <w:szCs w:val="13"/>
                <w:color w:val="auto"/>
              </w:rPr>
              <w:t>14,954,697</w:t>
            </w:r>
          </w:p>
        </w:tc>
        <w:tc>
          <w:tcPr>
            <w:tcW w:w="1580" w:type="dxa"/>
            <w:vAlign w:val="bottom"/>
            <w:shd w:val="clear" w:color="auto" w:fill="B2D5EE"/>
          </w:tcPr>
          <w:p>
            <w:pPr>
              <w:jc w:val="center"/>
              <w:ind w:left="13"/>
              <w:spacing w:after="0"/>
              <w:rPr>
                <w:sz w:val="20"/>
                <w:szCs w:val="20"/>
                <w:color w:val="auto"/>
              </w:rPr>
            </w:pPr>
            <w:r>
              <w:rPr>
                <w:rFonts w:ascii="Arial" w:cs="Arial" w:eastAsia="Arial" w:hAnsi="Arial"/>
                <w:sz w:val="13"/>
                <w:szCs w:val="13"/>
                <w:color w:val="auto"/>
              </w:rPr>
              <w:t>—</w:t>
            </w:r>
          </w:p>
        </w:tc>
        <w:tc>
          <w:tcPr>
            <w:tcW w:w="156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14,954,697</w:t>
            </w:r>
          </w:p>
        </w:tc>
        <w:tc>
          <w:tcPr>
            <w:tcW w:w="12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10.1%</w:t>
            </w:r>
          </w:p>
        </w:tc>
      </w:tr>
      <w:tr>
        <w:trPr>
          <w:trHeight w:val="148"/>
        </w:trPr>
        <w:tc>
          <w:tcPr>
            <w:tcW w:w="5240" w:type="dxa"/>
            <w:vAlign w:val="bottom"/>
            <w:shd w:val="clear" w:color="auto" w:fill="B2D5EE"/>
          </w:tcPr>
          <w:p>
            <w:pPr>
              <w:ind w:left="140"/>
              <w:spacing w:after="0"/>
              <w:rPr>
                <w:sz w:val="20"/>
                <w:szCs w:val="20"/>
                <w:color w:val="auto"/>
              </w:rPr>
            </w:pPr>
            <w:r>
              <w:rPr>
                <w:rFonts w:ascii="Arial" w:cs="Arial" w:eastAsia="Arial" w:hAnsi="Arial"/>
                <w:sz w:val="13"/>
                <w:szCs w:val="13"/>
                <w:color w:val="auto"/>
              </w:rPr>
              <w:t>  177 East Colorado Boulevard</w:t>
            </w:r>
          </w:p>
        </w:tc>
        <w:tc>
          <w:tcPr>
            <w:tcW w:w="1420" w:type="dxa"/>
            <w:vAlign w:val="bottom"/>
            <w:shd w:val="clear" w:color="auto" w:fill="B2D5EE"/>
          </w:tcPr>
          <w:p>
            <w:pPr>
              <w:spacing w:after="0"/>
              <w:rPr>
                <w:sz w:val="12"/>
                <w:szCs w:val="12"/>
                <w:color w:val="auto"/>
              </w:rPr>
            </w:pPr>
          </w:p>
        </w:tc>
        <w:tc>
          <w:tcPr>
            <w:tcW w:w="1580" w:type="dxa"/>
            <w:vAlign w:val="bottom"/>
            <w:shd w:val="clear" w:color="auto" w:fill="B2D5EE"/>
          </w:tcPr>
          <w:p>
            <w:pPr>
              <w:spacing w:after="0"/>
              <w:rPr>
                <w:sz w:val="12"/>
                <w:szCs w:val="12"/>
                <w:color w:val="auto"/>
              </w:rPr>
            </w:pPr>
          </w:p>
        </w:tc>
        <w:tc>
          <w:tcPr>
            <w:tcW w:w="1560" w:type="dxa"/>
            <w:vAlign w:val="bottom"/>
            <w:shd w:val="clear" w:color="auto" w:fill="B2D5EE"/>
          </w:tcPr>
          <w:p>
            <w:pPr>
              <w:spacing w:after="0"/>
              <w:rPr>
                <w:sz w:val="12"/>
                <w:szCs w:val="12"/>
                <w:color w:val="auto"/>
              </w:rPr>
            </w:pPr>
          </w:p>
        </w:tc>
        <w:tc>
          <w:tcPr>
            <w:tcW w:w="1220" w:type="dxa"/>
            <w:vAlign w:val="bottom"/>
            <w:shd w:val="clear" w:color="auto" w:fill="B2D5EE"/>
          </w:tcPr>
          <w:p>
            <w:pPr>
              <w:spacing w:after="0"/>
              <w:rPr>
                <w:sz w:val="12"/>
                <w:szCs w:val="12"/>
                <w:color w:val="auto"/>
              </w:rPr>
            </w:pPr>
          </w:p>
        </w:tc>
      </w:tr>
      <w:tr>
        <w:trPr>
          <w:trHeight w:val="148"/>
        </w:trPr>
        <w:tc>
          <w:tcPr>
            <w:tcW w:w="5240" w:type="dxa"/>
            <w:vAlign w:val="bottom"/>
            <w:shd w:val="clear" w:color="auto" w:fill="B2D5EE"/>
          </w:tcPr>
          <w:p>
            <w:pPr>
              <w:ind w:left="140"/>
              <w:spacing w:after="0" w:line="149" w:lineRule="exact"/>
              <w:rPr>
                <w:sz w:val="20"/>
                <w:szCs w:val="20"/>
                <w:color w:val="auto"/>
              </w:rPr>
            </w:pPr>
            <w:r>
              <w:rPr>
                <w:rFonts w:ascii="Arial" w:cs="Arial" w:eastAsia="Arial" w:hAnsi="Arial"/>
                <w:sz w:val="12"/>
                <w:szCs w:val="12"/>
                <w:color w:val="auto"/>
              </w:rPr>
              <w:t>  11</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Floor</w:t>
            </w:r>
          </w:p>
        </w:tc>
        <w:tc>
          <w:tcPr>
            <w:tcW w:w="1420" w:type="dxa"/>
            <w:vAlign w:val="bottom"/>
            <w:shd w:val="clear" w:color="auto" w:fill="B2D5EE"/>
          </w:tcPr>
          <w:p>
            <w:pPr>
              <w:spacing w:after="0"/>
              <w:rPr>
                <w:sz w:val="12"/>
                <w:szCs w:val="12"/>
                <w:color w:val="auto"/>
              </w:rPr>
            </w:pPr>
          </w:p>
        </w:tc>
        <w:tc>
          <w:tcPr>
            <w:tcW w:w="1580" w:type="dxa"/>
            <w:vAlign w:val="bottom"/>
            <w:shd w:val="clear" w:color="auto" w:fill="B2D5EE"/>
          </w:tcPr>
          <w:p>
            <w:pPr>
              <w:spacing w:after="0"/>
              <w:rPr>
                <w:sz w:val="12"/>
                <w:szCs w:val="12"/>
                <w:color w:val="auto"/>
              </w:rPr>
            </w:pPr>
          </w:p>
        </w:tc>
        <w:tc>
          <w:tcPr>
            <w:tcW w:w="1560" w:type="dxa"/>
            <w:vAlign w:val="bottom"/>
            <w:shd w:val="clear" w:color="auto" w:fill="B2D5EE"/>
          </w:tcPr>
          <w:p>
            <w:pPr>
              <w:spacing w:after="0"/>
              <w:rPr>
                <w:sz w:val="12"/>
                <w:szCs w:val="12"/>
                <w:color w:val="auto"/>
              </w:rPr>
            </w:pPr>
          </w:p>
        </w:tc>
        <w:tc>
          <w:tcPr>
            <w:tcW w:w="1220" w:type="dxa"/>
            <w:vAlign w:val="bottom"/>
            <w:shd w:val="clear" w:color="auto" w:fill="B2D5EE"/>
          </w:tcPr>
          <w:p>
            <w:pPr>
              <w:spacing w:after="0"/>
              <w:rPr>
                <w:sz w:val="12"/>
                <w:szCs w:val="12"/>
                <w:color w:val="auto"/>
              </w:rPr>
            </w:pPr>
          </w:p>
        </w:tc>
      </w:tr>
      <w:tr>
        <w:trPr>
          <w:trHeight w:val="209"/>
        </w:trPr>
        <w:tc>
          <w:tcPr>
            <w:tcW w:w="5240" w:type="dxa"/>
            <w:vAlign w:val="bottom"/>
            <w:tcBorders>
              <w:bottom w:val="single" w:sz="8" w:color="B2D5EE"/>
            </w:tcBorders>
            <w:shd w:val="clear" w:color="auto" w:fill="B2D5EE"/>
          </w:tcPr>
          <w:p>
            <w:pPr>
              <w:ind w:left="140"/>
              <w:spacing w:after="0"/>
              <w:rPr>
                <w:sz w:val="20"/>
                <w:szCs w:val="20"/>
                <w:color w:val="auto"/>
              </w:rPr>
            </w:pPr>
            <w:r>
              <w:rPr>
                <w:rFonts w:ascii="Arial" w:cs="Arial" w:eastAsia="Arial" w:hAnsi="Arial"/>
                <w:sz w:val="13"/>
                <w:szCs w:val="13"/>
                <w:color w:val="auto"/>
              </w:rPr>
              <w:t>  Pasadena, CA 91105</w:t>
            </w:r>
          </w:p>
        </w:tc>
        <w:tc>
          <w:tcPr>
            <w:tcW w:w="1420" w:type="dxa"/>
            <w:vAlign w:val="bottom"/>
            <w:tcBorders>
              <w:bottom w:val="single" w:sz="8" w:color="B2D5EE"/>
            </w:tcBorders>
            <w:shd w:val="clear" w:color="auto" w:fill="B2D5EE"/>
          </w:tcPr>
          <w:p>
            <w:pPr>
              <w:spacing w:after="0"/>
              <w:rPr>
                <w:sz w:val="18"/>
                <w:szCs w:val="18"/>
                <w:color w:val="auto"/>
              </w:rPr>
            </w:pPr>
          </w:p>
        </w:tc>
        <w:tc>
          <w:tcPr>
            <w:tcW w:w="1580" w:type="dxa"/>
            <w:vAlign w:val="bottom"/>
            <w:tcBorders>
              <w:bottom w:val="single" w:sz="8" w:color="B2D5EE"/>
            </w:tcBorders>
            <w:shd w:val="clear" w:color="auto" w:fill="B2D5EE"/>
          </w:tcPr>
          <w:p>
            <w:pPr>
              <w:spacing w:after="0"/>
              <w:rPr>
                <w:sz w:val="18"/>
                <w:szCs w:val="18"/>
                <w:color w:val="auto"/>
              </w:rPr>
            </w:pPr>
          </w:p>
        </w:tc>
        <w:tc>
          <w:tcPr>
            <w:tcW w:w="1560" w:type="dxa"/>
            <w:vAlign w:val="bottom"/>
            <w:tcBorders>
              <w:bottom w:val="single" w:sz="8" w:color="B2D5EE"/>
            </w:tcBorders>
            <w:shd w:val="clear" w:color="auto" w:fill="B2D5EE"/>
          </w:tcPr>
          <w:p>
            <w:pPr>
              <w:spacing w:after="0"/>
              <w:rPr>
                <w:sz w:val="18"/>
                <w:szCs w:val="18"/>
                <w:color w:val="auto"/>
              </w:rPr>
            </w:pPr>
          </w:p>
        </w:tc>
        <w:tc>
          <w:tcPr>
            <w:tcW w:w="1220" w:type="dxa"/>
            <w:vAlign w:val="bottom"/>
            <w:tcBorders>
              <w:bottom w:val="single" w:sz="8" w:color="B2D5EE"/>
            </w:tcBorders>
            <w:shd w:val="clear" w:color="auto" w:fill="B2D5EE"/>
          </w:tcPr>
          <w:p>
            <w:pPr>
              <w:spacing w:after="0"/>
              <w:rPr>
                <w:sz w:val="18"/>
                <w:szCs w:val="18"/>
                <w:color w:val="auto"/>
              </w:rPr>
            </w:pPr>
          </w:p>
        </w:tc>
      </w:tr>
      <w:tr>
        <w:trPr>
          <w:trHeight w:val="190"/>
        </w:trPr>
        <w:tc>
          <w:tcPr>
            <w:tcW w:w="5240" w:type="dxa"/>
            <w:vAlign w:val="bottom"/>
            <w:shd w:val="clear" w:color="auto" w:fill="E5F1F9"/>
          </w:tcPr>
          <w:p>
            <w:pPr>
              <w:spacing w:after="0" w:line="190" w:lineRule="exact"/>
              <w:rPr>
                <w:sz w:val="20"/>
                <w:szCs w:val="20"/>
                <w:color w:val="auto"/>
              </w:rPr>
            </w:pPr>
            <w:r>
              <w:rPr>
                <w:rFonts w:ascii="Arial" w:cs="Arial" w:eastAsia="Arial" w:hAnsi="Arial"/>
                <w:sz w:val="13"/>
                <w:szCs w:val="13"/>
                <w:color w:val="auto"/>
              </w:rPr>
              <w:t>  BlackRock, Inc.</w:t>
            </w:r>
            <w:r>
              <w:rPr>
                <w:rFonts w:ascii="Arial" w:cs="Arial" w:eastAsia="Arial" w:hAnsi="Arial"/>
                <w:sz w:val="20"/>
                <w:szCs w:val="20"/>
                <w:color w:val="auto"/>
                <w:vertAlign w:val="superscript"/>
              </w:rPr>
              <w:t>(5)</w:t>
            </w:r>
          </w:p>
        </w:tc>
        <w:tc>
          <w:tcPr>
            <w:tcW w:w="1420" w:type="dxa"/>
            <w:vAlign w:val="bottom"/>
            <w:shd w:val="clear" w:color="auto" w:fill="E5F1F9"/>
          </w:tcPr>
          <w:p>
            <w:pPr>
              <w:jc w:val="center"/>
              <w:ind w:left="193"/>
              <w:spacing w:after="0"/>
              <w:rPr>
                <w:sz w:val="20"/>
                <w:szCs w:val="20"/>
                <w:color w:val="auto"/>
              </w:rPr>
            </w:pPr>
            <w:r>
              <w:rPr>
                <w:rFonts w:ascii="Arial" w:cs="Arial" w:eastAsia="Arial" w:hAnsi="Arial"/>
                <w:sz w:val="13"/>
                <w:szCs w:val="13"/>
                <w:color w:val="auto"/>
              </w:rPr>
              <w:t>12,506,681</w:t>
            </w:r>
          </w:p>
        </w:tc>
        <w:tc>
          <w:tcPr>
            <w:tcW w:w="1580" w:type="dxa"/>
            <w:vAlign w:val="bottom"/>
            <w:shd w:val="clear" w:color="auto" w:fill="E5F1F9"/>
          </w:tcPr>
          <w:p>
            <w:pPr>
              <w:jc w:val="center"/>
              <w:ind w:left="13"/>
              <w:spacing w:after="0"/>
              <w:rPr>
                <w:sz w:val="20"/>
                <w:szCs w:val="20"/>
                <w:color w:val="auto"/>
              </w:rPr>
            </w:pPr>
            <w:r>
              <w:rPr>
                <w:rFonts w:ascii="Arial" w:cs="Arial" w:eastAsia="Arial" w:hAnsi="Arial"/>
                <w:sz w:val="13"/>
                <w:szCs w:val="13"/>
                <w:color w:val="auto"/>
              </w:rPr>
              <w:t>—</w:t>
            </w:r>
          </w:p>
        </w:tc>
        <w:tc>
          <w:tcPr>
            <w:tcW w:w="156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rPr>
              <w:t>12,506,681</w:t>
            </w:r>
          </w:p>
        </w:tc>
        <w:tc>
          <w:tcPr>
            <w:tcW w:w="12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8.5%</w:t>
            </w:r>
          </w:p>
        </w:tc>
      </w:tr>
      <w:tr>
        <w:trPr>
          <w:trHeight w:val="148"/>
        </w:trPr>
        <w:tc>
          <w:tcPr>
            <w:tcW w:w="5240" w:type="dxa"/>
            <w:vAlign w:val="bottom"/>
            <w:shd w:val="clear" w:color="auto" w:fill="E5F1F9"/>
          </w:tcPr>
          <w:p>
            <w:pPr>
              <w:ind w:left="140"/>
              <w:spacing w:after="0" w:line="149" w:lineRule="exact"/>
              <w:rPr>
                <w:sz w:val="20"/>
                <w:szCs w:val="20"/>
                <w:color w:val="auto"/>
              </w:rPr>
            </w:pPr>
            <w:r>
              <w:rPr>
                <w:rFonts w:ascii="Arial" w:cs="Arial" w:eastAsia="Arial" w:hAnsi="Arial"/>
                <w:sz w:val="12"/>
                <w:szCs w:val="12"/>
                <w:color w:val="auto"/>
              </w:rPr>
              <w:t>  55 East 52</w:t>
            </w:r>
            <w:r>
              <w:rPr>
                <w:rFonts w:ascii="Arial" w:cs="Arial" w:eastAsia="Arial" w:hAnsi="Arial"/>
                <w:sz w:val="17"/>
                <w:szCs w:val="17"/>
                <w:color w:val="auto"/>
                <w:vertAlign w:val="superscript"/>
              </w:rPr>
              <w:t>nd</w:t>
            </w:r>
            <w:r>
              <w:rPr>
                <w:rFonts w:ascii="Arial" w:cs="Arial" w:eastAsia="Arial" w:hAnsi="Arial"/>
                <w:sz w:val="12"/>
                <w:szCs w:val="12"/>
                <w:color w:val="auto"/>
              </w:rPr>
              <w:t xml:space="preserve"> Street</w:t>
            </w:r>
          </w:p>
        </w:tc>
        <w:tc>
          <w:tcPr>
            <w:tcW w:w="1420" w:type="dxa"/>
            <w:vAlign w:val="bottom"/>
            <w:shd w:val="clear" w:color="auto" w:fill="E5F1F9"/>
          </w:tcPr>
          <w:p>
            <w:pPr>
              <w:spacing w:after="0"/>
              <w:rPr>
                <w:sz w:val="12"/>
                <w:szCs w:val="12"/>
                <w:color w:val="auto"/>
              </w:rPr>
            </w:pPr>
          </w:p>
        </w:tc>
        <w:tc>
          <w:tcPr>
            <w:tcW w:w="1580" w:type="dxa"/>
            <w:vAlign w:val="bottom"/>
            <w:shd w:val="clear" w:color="auto" w:fill="E5F1F9"/>
          </w:tcPr>
          <w:p>
            <w:pPr>
              <w:spacing w:after="0"/>
              <w:rPr>
                <w:sz w:val="12"/>
                <w:szCs w:val="12"/>
                <w:color w:val="auto"/>
              </w:rPr>
            </w:pPr>
          </w:p>
        </w:tc>
        <w:tc>
          <w:tcPr>
            <w:tcW w:w="1560" w:type="dxa"/>
            <w:vAlign w:val="bottom"/>
            <w:shd w:val="clear" w:color="auto" w:fill="E5F1F9"/>
          </w:tcPr>
          <w:p>
            <w:pPr>
              <w:spacing w:after="0"/>
              <w:rPr>
                <w:sz w:val="12"/>
                <w:szCs w:val="12"/>
                <w:color w:val="auto"/>
              </w:rPr>
            </w:pPr>
          </w:p>
        </w:tc>
        <w:tc>
          <w:tcPr>
            <w:tcW w:w="1220" w:type="dxa"/>
            <w:vAlign w:val="bottom"/>
            <w:shd w:val="clear" w:color="auto" w:fill="E5F1F9"/>
          </w:tcPr>
          <w:p>
            <w:pPr>
              <w:spacing w:after="0"/>
              <w:rPr>
                <w:sz w:val="12"/>
                <w:szCs w:val="12"/>
                <w:color w:val="auto"/>
              </w:rPr>
            </w:pPr>
          </w:p>
        </w:tc>
      </w:tr>
      <w:tr>
        <w:trPr>
          <w:trHeight w:val="209"/>
        </w:trPr>
        <w:tc>
          <w:tcPr>
            <w:tcW w:w="5240" w:type="dxa"/>
            <w:vAlign w:val="bottom"/>
            <w:tcBorders>
              <w:bottom w:val="single" w:sz="8" w:color="E5F1F9"/>
            </w:tcBorders>
            <w:shd w:val="clear" w:color="auto" w:fill="E5F1F9"/>
          </w:tcPr>
          <w:p>
            <w:pPr>
              <w:ind w:left="140"/>
              <w:spacing w:after="0"/>
              <w:rPr>
                <w:sz w:val="20"/>
                <w:szCs w:val="20"/>
                <w:color w:val="auto"/>
              </w:rPr>
            </w:pPr>
            <w:r>
              <w:rPr>
                <w:rFonts w:ascii="Arial" w:cs="Arial" w:eastAsia="Arial" w:hAnsi="Arial"/>
                <w:sz w:val="13"/>
                <w:szCs w:val="13"/>
                <w:color w:val="auto"/>
              </w:rPr>
              <w:t>  New York, NY 10055</w:t>
            </w:r>
          </w:p>
        </w:tc>
        <w:tc>
          <w:tcPr>
            <w:tcW w:w="1420" w:type="dxa"/>
            <w:vAlign w:val="bottom"/>
            <w:tcBorders>
              <w:bottom w:val="single" w:sz="8" w:color="E5F1F9"/>
            </w:tcBorders>
            <w:shd w:val="clear" w:color="auto" w:fill="E5F1F9"/>
          </w:tcPr>
          <w:p>
            <w:pPr>
              <w:spacing w:after="0"/>
              <w:rPr>
                <w:sz w:val="18"/>
                <w:szCs w:val="18"/>
                <w:color w:val="auto"/>
              </w:rPr>
            </w:pPr>
          </w:p>
        </w:tc>
        <w:tc>
          <w:tcPr>
            <w:tcW w:w="1580" w:type="dxa"/>
            <w:vAlign w:val="bottom"/>
            <w:tcBorders>
              <w:bottom w:val="single" w:sz="8" w:color="E5F1F9"/>
            </w:tcBorders>
            <w:shd w:val="clear" w:color="auto" w:fill="E5F1F9"/>
          </w:tcPr>
          <w:p>
            <w:pPr>
              <w:spacing w:after="0"/>
              <w:rPr>
                <w:sz w:val="18"/>
                <w:szCs w:val="18"/>
                <w:color w:val="auto"/>
              </w:rPr>
            </w:pPr>
          </w:p>
        </w:tc>
        <w:tc>
          <w:tcPr>
            <w:tcW w:w="1560" w:type="dxa"/>
            <w:vAlign w:val="bottom"/>
            <w:tcBorders>
              <w:bottom w:val="single" w:sz="8" w:color="E5F1F9"/>
            </w:tcBorders>
            <w:shd w:val="clear" w:color="auto" w:fill="E5F1F9"/>
          </w:tcPr>
          <w:p>
            <w:pPr>
              <w:spacing w:after="0"/>
              <w:rPr>
                <w:sz w:val="18"/>
                <w:szCs w:val="18"/>
                <w:color w:val="auto"/>
              </w:rPr>
            </w:pPr>
          </w:p>
        </w:tc>
        <w:tc>
          <w:tcPr>
            <w:tcW w:w="1220" w:type="dxa"/>
            <w:vAlign w:val="bottom"/>
            <w:tcBorders>
              <w:bottom w:val="single" w:sz="8" w:color="E5F1F9"/>
            </w:tcBorders>
            <w:shd w:val="clear" w:color="auto" w:fill="E5F1F9"/>
          </w:tcPr>
          <w:p>
            <w:pPr>
              <w:spacing w:after="0"/>
              <w:rPr>
                <w:sz w:val="18"/>
                <w:szCs w:val="18"/>
                <w:color w:val="auto"/>
              </w:rPr>
            </w:pPr>
          </w:p>
        </w:tc>
      </w:tr>
      <w:tr>
        <w:trPr>
          <w:trHeight w:val="190"/>
        </w:trPr>
        <w:tc>
          <w:tcPr>
            <w:tcW w:w="5240" w:type="dxa"/>
            <w:vAlign w:val="bottom"/>
            <w:shd w:val="clear" w:color="auto" w:fill="B2D5EE"/>
          </w:tcPr>
          <w:p>
            <w:pPr>
              <w:spacing w:after="0" w:line="190" w:lineRule="exact"/>
              <w:rPr>
                <w:sz w:val="20"/>
                <w:szCs w:val="20"/>
                <w:color w:val="auto"/>
              </w:rPr>
            </w:pPr>
            <w:r>
              <w:rPr>
                <w:rFonts w:ascii="Arial" w:cs="Arial" w:eastAsia="Arial" w:hAnsi="Arial"/>
                <w:sz w:val="13"/>
                <w:szCs w:val="13"/>
                <w:color w:val="auto"/>
              </w:rPr>
              <w:t>  FMR LLC</w:t>
            </w:r>
            <w:r>
              <w:rPr>
                <w:rFonts w:ascii="Arial" w:cs="Arial" w:eastAsia="Arial" w:hAnsi="Arial"/>
                <w:sz w:val="20"/>
                <w:szCs w:val="20"/>
                <w:color w:val="auto"/>
                <w:vertAlign w:val="superscript"/>
              </w:rPr>
              <w:t>(6)</w:t>
            </w:r>
          </w:p>
        </w:tc>
        <w:tc>
          <w:tcPr>
            <w:tcW w:w="1420" w:type="dxa"/>
            <w:vAlign w:val="bottom"/>
            <w:shd w:val="clear" w:color="auto" w:fill="B2D5EE"/>
          </w:tcPr>
          <w:p>
            <w:pPr>
              <w:jc w:val="center"/>
              <w:ind w:left="193"/>
              <w:spacing w:after="0"/>
              <w:rPr>
                <w:sz w:val="20"/>
                <w:szCs w:val="20"/>
                <w:color w:val="auto"/>
              </w:rPr>
            </w:pPr>
            <w:r>
              <w:rPr>
                <w:rFonts w:ascii="Arial" w:cs="Arial" w:eastAsia="Arial" w:hAnsi="Arial"/>
                <w:sz w:val="13"/>
                <w:szCs w:val="13"/>
                <w:color w:val="auto"/>
              </w:rPr>
              <w:t>9,413,062</w:t>
            </w:r>
          </w:p>
        </w:tc>
        <w:tc>
          <w:tcPr>
            <w:tcW w:w="1580" w:type="dxa"/>
            <w:vAlign w:val="bottom"/>
            <w:shd w:val="clear" w:color="auto" w:fill="B2D5EE"/>
          </w:tcPr>
          <w:p>
            <w:pPr>
              <w:jc w:val="center"/>
              <w:ind w:left="13"/>
              <w:spacing w:after="0"/>
              <w:rPr>
                <w:sz w:val="20"/>
                <w:szCs w:val="20"/>
                <w:color w:val="auto"/>
              </w:rPr>
            </w:pPr>
            <w:r>
              <w:rPr>
                <w:rFonts w:ascii="Arial" w:cs="Arial" w:eastAsia="Arial" w:hAnsi="Arial"/>
                <w:sz w:val="13"/>
                <w:szCs w:val="13"/>
                <w:color w:val="auto"/>
              </w:rPr>
              <w:t>—</w:t>
            </w:r>
          </w:p>
        </w:tc>
        <w:tc>
          <w:tcPr>
            <w:tcW w:w="156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9,413,062</w:t>
            </w:r>
          </w:p>
        </w:tc>
        <w:tc>
          <w:tcPr>
            <w:tcW w:w="12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6.4%</w:t>
            </w:r>
          </w:p>
        </w:tc>
      </w:tr>
      <w:tr>
        <w:trPr>
          <w:trHeight w:val="148"/>
        </w:trPr>
        <w:tc>
          <w:tcPr>
            <w:tcW w:w="5240" w:type="dxa"/>
            <w:vAlign w:val="bottom"/>
            <w:shd w:val="clear" w:color="auto" w:fill="B2D5EE"/>
          </w:tcPr>
          <w:p>
            <w:pPr>
              <w:ind w:left="140"/>
              <w:spacing w:after="0"/>
              <w:rPr>
                <w:sz w:val="20"/>
                <w:szCs w:val="20"/>
                <w:color w:val="auto"/>
              </w:rPr>
            </w:pPr>
            <w:r>
              <w:rPr>
                <w:rFonts w:ascii="Arial" w:cs="Arial" w:eastAsia="Arial" w:hAnsi="Arial"/>
                <w:sz w:val="13"/>
                <w:szCs w:val="13"/>
                <w:color w:val="auto"/>
              </w:rPr>
              <w:t>  245 Summer Street</w:t>
            </w:r>
          </w:p>
        </w:tc>
        <w:tc>
          <w:tcPr>
            <w:tcW w:w="1420" w:type="dxa"/>
            <w:vAlign w:val="bottom"/>
            <w:shd w:val="clear" w:color="auto" w:fill="B2D5EE"/>
          </w:tcPr>
          <w:p>
            <w:pPr>
              <w:spacing w:after="0"/>
              <w:rPr>
                <w:sz w:val="12"/>
                <w:szCs w:val="12"/>
                <w:color w:val="auto"/>
              </w:rPr>
            </w:pPr>
          </w:p>
        </w:tc>
        <w:tc>
          <w:tcPr>
            <w:tcW w:w="1580" w:type="dxa"/>
            <w:vAlign w:val="bottom"/>
            <w:shd w:val="clear" w:color="auto" w:fill="B2D5EE"/>
          </w:tcPr>
          <w:p>
            <w:pPr>
              <w:spacing w:after="0"/>
              <w:rPr>
                <w:sz w:val="12"/>
                <w:szCs w:val="12"/>
                <w:color w:val="auto"/>
              </w:rPr>
            </w:pPr>
          </w:p>
        </w:tc>
        <w:tc>
          <w:tcPr>
            <w:tcW w:w="1560" w:type="dxa"/>
            <w:vAlign w:val="bottom"/>
            <w:shd w:val="clear" w:color="auto" w:fill="B2D5EE"/>
          </w:tcPr>
          <w:p>
            <w:pPr>
              <w:spacing w:after="0"/>
              <w:rPr>
                <w:sz w:val="12"/>
                <w:szCs w:val="12"/>
                <w:color w:val="auto"/>
              </w:rPr>
            </w:pPr>
          </w:p>
        </w:tc>
        <w:tc>
          <w:tcPr>
            <w:tcW w:w="1220" w:type="dxa"/>
            <w:vAlign w:val="bottom"/>
            <w:shd w:val="clear" w:color="auto" w:fill="B2D5EE"/>
          </w:tcPr>
          <w:p>
            <w:pPr>
              <w:spacing w:after="0"/>
              <w:rPr>
                <w:sz w:val="12"/>
                <w:szCs w:val="12"/>
                <w:color w:val="auto"/>
              </w:rPr>
            </w:pPr>
          </w:p>
        </w:tc>
      </w:tr>
      <w:tr>
        <w:trPr>
          <w:trHeight w:val="209"/>
        </w:trPr>
        <w:tc>
          <w:tcPr>
            <w:tcW w:w="5240" w:type="dxa"/>
            <w:vAlign w:val="bottom"/>
            <w:tcBorders>
              <w:bottom w:val="single" w:sz="8" w:color="B2D5EE"/>
            </w:tcBorders>
            <w:shd w:val="clear" w:color="auto" w:fill="B2D5EE"/>
          </w:tcPr>
          <w:p>
            <w:pPr>
              <w:ind w:left="140"/>
              <w:spacing w:after="0"/>
              <w:rPr>
                <w:sz w:val="20"/>
                <w:szCs w:val="20"/>
                <w:color w:val="auto"/>
              </w:rPr>
            </w:pPr>
            <w:r>
              <w:rPr>
                <w:rFonts w:ascii="Arial" w:cs="Arial" w:eastAsia="Arial" w:hAnsi="Arial"/>
                <w:sz w:val="13"/>
                <w:szCs w:val="13"/>
                <w:color w:val="auto"/>
              </w:rPr>
              <w:t>  Boston, MA 02210</w:t>
            </w:r>
          </w:p>
        </w:tc>
        <w:tc>
          <w:tcPr>
            <w:tcW w:w="1420" w:type="dxa"/>
            <w:vAlign w:val="bottom"/>
            <w:tcBorders>
              <w:bottom w:val="single" w:sz="8" w:color="B2D5EE"/>
            </w:tcBorders>
            <w:shd w:val="clear" w:color="auto" w:fill="B2D5EE"/>
          </w:tcPr>
          <w:p>
            <w:pPr>
              <w:spacing w:after="0"/>
              <w:rPr>
                <w:sz w:val="18"/>
                <w:szCs w:val="18"/>
                <w:color w:val="auto"/>
              </w:rPr>
            </w:pPr>
          </w:p>
        </w:tc>
        <w:tc>
          <w:tcPr>
            <w:tcW w:w="1580" w:type="dxa"/>
            <w:vAlign w:val="bottom"/>
            <w:tcBorders>
              <w:bottom w:val="single" w:sz="8" w:color="B2D5EE"/>
            </w:tcBorders>
            <w:shd w:val="clear" w:color="auto" w:fill="B2D5EE"/>
          </w:tcPr>
          <w:p>
            <w:pPr>
              <w:spacing w:after="0"/>
              <w:rPr>
                <w:sz w:val="18"/>
                <w:szCs w:val="18"/>
                <w:color w:val="auto"/>
              </w:rPr>
            </w:pPr>
          </w:p>
        </w:tc>
        <w:tc>
          <w:tcPr>
            <w:tcW w:w="1560" w:type="dxa"/>
            <w:vAlign w:val="bottom"/>
            <w:tcBorders>
              <w:bottom w:val="single" w:sz="8" w:color="B2D5EE"/>
            </w:tcBorders>
            <w:shd w:val="clear" w:color="auto" w:fill="B2D5EE"/>
          </w:tcPr>
          <w:p>
            <w:pPr>
              <w:spacing w:after="0"/>
              <w:rPr>
                <w:sz w:val="18"/>
                <w:szCs w:val="18"/>
                <w:color w:val="auto"/>
              </w:rPr>
            </w:pPr>
          </w:p>
        </w:tc>
        <w:tc>
          <w:tcPr>
            <w:tcW w:w="1220" w:type="dxa"/>
            <w:vAlign w:val="bottom"/>
            <w:tcBorders>
              <w:bottom w:val="single" w:sz="8" w:color="B2D5EE"/>
            </w:tcBorders>
            <w:shd w:val="clear" w:color="auto" w:fill="B2D5EE"/>
          </w:tcPr>
          <w:p>
            <w:pPr>
              <w:spacing w:after="0"/>
              <w:rPr>
                <w:sz w:val="18"/>
                <w:szCs w:val="18"/>
                <w:color w:val="auto"/>
              </w:rPr>
            </w:pPr>
          </w:p>
        </w:tc>
      </w:tr>
      <w:tr>
        <w:trPr>
          <w:trHeight w:val="190"/>
        </w:trPr>
        <w:tc>
          <w:tcPr>
            <w:tcW w:w="5240" w:type="dxa"/>
            <w:vAlign w:val="bottom"/>
            <w:shd w:val="clear" w:color="auto" w:fill="E5F1F9"/>
          </w:tcPr>
          <w:p>
            <w:pPr>
              <w:spacing w:after="0" w:line="190" w:lineRule="exact"/>
              <w:rPr>
                <w:sz w:val="20"/>
                <w:szCs w:val="20"/>
                <w:color w:val="auto"/>
              </w:rPr>
            </w:pPr>
            <w:r>
              <w:rPr>
                <w:rFonts w:ascii="Arial" w:cs="Arial" w:eastAsia="Arial" w:hAnsi="Arial"/>
                <w:sz w:val="13"/>
                <w:szCs w:val="13"/>
                <w:color w:val="auto"/>
              </w:rPr>
              <w:t>  State Street Corporation</w:t>
            </w:r>
            <w:r>
              <w:rPr>
                <w:rFonts w:ascii="Arial" w:cs="Arial" w:eastAsia="Arial" w:hAnsi="Arial"/>
                <w:sz w:val="20"/>
                <w:szCs w:val="20"/>
                <w:color w:val="auto"/>
                <w:vertAlign w:val="superscript"/>
              </w:rPr>
              <w:t>(7)</w:t>
            </w:r>
          </w:p>
        </w:tc>
        <w:tc>
          <w:tcPr>
            <w:tcW w:w="1420" w:type="dxa"/>
            <w:vAlign w:val="bottom"/>
            <w:shd w:val="clear" w:color="auto" w:fill="E5F1F9"/>
          </w:tcPr>
          <w:p>
            <w:pPr>
              <w:jc w:val="center"/>
              <w:ind w:left="193"/>
              <w:spacing w:after="0"/>
              <w:rPr>
                <w:sz w:val="20"/>
                <w:szCs w:val="20"/>
                <w:color w:val="auto"/>
              </w:rPr>
            </w:pPr>
            <w:r>
              <w:rPr>
                <w:rFonts w:ascii="Arial" w:cs="Arial" w:eastAsia="Arial" w:hAnsi="Arial"/>
                <w:sz w:val="13"/>
                <w:szCs w:val="13"/>
                <w:color w:val="auto"/>
              </w:rPr>
              <w:t>7,321,168</w:t>
            </w:r>
          </w:p>
        </w:tc>
        <w:tc>
          <w:tcPr>
            <w:tcW w:w="1580" w:type="dxa"/>
            <w:vAlign w:val="bottom"/>
            <w:shd w:val="clear" w:color="auto" w:fill="E5F1F9"/>
          </w:tcPr>
          <w:p>
            <w:pPr>
              <w:jc w:val="center"/>
              <w:ind w:left="13"/>
              <w:spacing w:after="0"/>
              <w:rPr>
                <w:sz w:val="20"/>
                <w:szCs w:val="20"/>
                <w:color w:val="auto"/>
              </w:rPr>
            </w:pPr>
            <w:r>
              <w:rPr>
                <w:rFonts w:ascii="Arial" w:cs="Arial" w:eastAsia="Arial" w:hAnsi="Arial"/>
                <w:sz w:val="13"/>
                <w:szCs w:val="13"/>
                <w:color w:val="auto"/>
              </w:rPr>
              <w:t>—</w:t>
            </w:r>
          </w:p>
        </w:tc>
        <w:tc>
          <w:tcPr>
            <w:tcW w:w="156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rPr>
              <w:t>7,321,168</w:t>
            </w:r>
          </w:p>
        </w:tc>
        <w:tc>
          <w:tcPr>
            <w:tcW w:w="12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5.0%</w:t>
            </w:r>
          </w:p>
        </w:tc>
      </w:tr>
      <w:tr>
        <w:trPr>
          <w:trHeight w:val="148"/>
        </w:trPr>
        <w:tc>
          <w:tcPr>
            <w:tcW w:w="5240" w:type="dxa"/>
            <w:vAlign w:val="bottom"/>
            <w:shd w:val="clear" w:color="auto" w:fill="E5F1F9"/>
          </w:tcPr>
          <w:p>
            <w:pPr>
              <w:ind w:left="140"/>
              <w:spacing w:after="0"/>
              <w:rPr>
                <w:sz w:val="20"/>
                <w:szCs w:val="20"/>
                <w:color w:val="auto"/>
              </w:rPr>
            </w:pPr>
            <w:r>
              <w:rPr>
                <w:rFonts w:ascii="Arial" w:cs="Arial" w:eastAsia="Arial" w:hAnsi="Arial"/>
                <w:sz w:val="13"/>
                <w:szCs w:val="13"/>
                <w:color w:val="auto"/>
              </w:rPr>
              <w:t>  One Congress Street, Suite 1,</w:t>
            </w:r>
          </w:p>
        </w:tc>
        <w:tc>
          <w:tcPr>
            <w:tcW w:w="1420" w:type="dxa"/>
            <w:vAlign w:val="bottom"/>
            <w:shd w:val="clear" w:color="auto" w:fill="E5F1F9"/>
          </w:tcPr>
          <w:p>
            <w:pPr>
              <w:spacing w:after="0"/>
              <w:rPr>
                <w:sz w:val="12"/>
                <w:szCs w:val="12"/>
                <w:color w:val="auto"/>
              </w:rPr>
            </w:pPr>
          </w:p>
        </w:tc>
        <w:tc>
          <w:tcPr>
            <w:tcW w:w="1580" w:type="dxa"/>
            <w:vAlign w:val="bottom"/>
            <w:shd w:val="clear" w:color="auto" w:fill="E5F1F9"/>
          </w:tcPr>
          <w:p>
            <w:pPr>
              <w:spacing w:after="0"/>
              <w:rPr>
                <w:sz w:val="12"/>
                <w:szCs w:val="12"/>
                <w:color w:val="auto"/>
              </w:rPr>
            </w:pPr>
          </w:p>
        </w:tc>
        <w:tc>
          <w:tcPr>
            <w:tcW w:w="1560" w:type="dxa"/>
            <w:vAlign w:val="bottom"/>
            <w:shd w:val="clear" w:color="auto" w:fill="E5F1F9"/>
          </w:tcPr>
          <w:p>
            <w:pPr>
              <w:spacing w:after="0"/>
              <w:rPr>
                <w:sz w:val="12"/>
                <w:szCs w:val="12"/>
                <w:color w:val="auto"/>
              </w:rPr>
            </w:pPr>
          </w:p>
        </w:tc>
        <w:tc>
          <w:tcPr>
            <w:tcW w:w="1220" w:type="dxa"/>
            <w:vAlign w:val="bottom"/>
            <w:shd w:val="clear" w:color="auto" w:fill="E5F1F9"/>
          </w:tcPr>
          <w:p>
            <w:pPr>
              <w:spacing w:after="0"/>
              <w:rPr>
                <w:sz w:val="12"/>
                <w:szCs w:val="12"/>
                <w:color w:val="auto"/>
              </w:rPr>
            </w:pPr>
          </w:p>
        </w:tc>
      </w:tr>
      <w:tr>
        <w:trPr>
          <w:trHeight w:val="209"/>
        </w:trPr>
        <w:tc>
          <w:tcPr>
            <w:tcW w:w="5240" w:type="dxa"/>
            <w:vAlign w:val="bottom"/>
            <w:tcBorders>
              <w:bottom w:val="single" w:sz="8" w:color="E5F1F9"/>
            </w:tcBorders>
            <w:shd w:val="clear" w:color="auto" w:fill="E5F1F9"/>
          </w:tcPr>
          <w:p>
            <w:pPr>
              <w:ind w:left="140"/>
              <w:spacing w:after="0"/>
              <w:rPr>
                <w:sz w:val="20"/>
                <w:szCs w:val="20"/>
                <w:color w:val="auto"/>
              </w:rPr>
            </w:pPr>
            <w:r>
              <w:rPr>
                <w:rFonts w:ascii="Arial" w:cs="Arial" w:eastAsia="Arial" w:hAnsi="Arial"/>
                <w:sz w:val="13"/>
                <w:szCs w:val="13"/>
                <w:color w:val="auto"/>
              </w:rPr>
              <w:t>  Boston, MA 02114</w:t>
            </w:r>
          </w:p>
        </w:tc>
        <w:tc>
          <w:tcPr>
            <w:tcW w:w="1420" w:type="dxa"/>
            <w:vAlign w:val="bottom"/>
            <w:tcBorders>
              <w:bottom w:val="single" w:sz="8" w:color="E5F1F9"/>
            </w:tcBorders>
            <w:shd w:val="clear" w:color="auto" w:fill="E5F1F9"/>
          </w:tcPr>
          <w:p>
            <w:pPr>
              <w:spacing w:after="0"/>
              <w:rPr>
                <w:sz w:val="18"/>
                <w:szCs w:val="18"/>
                <w:color w:val="auto"/>
              </w:rPr>
            </w:pPr>
          </w:p>
        </w:tc>
        <w:tc>
          <w:tcPr>
            <w:tcW w:w="1580" w:type="dxa"/>
            <w:vAlign w:val="bottom"/>
            <w:tcBorders>
              <w:bottom w:val="single" w:sz="8" w:color="E5F1F9"/>
            </w:tcBorders>
            <w:shd w:val="clear" w:color="auto" w:fill="E5F1F9"/>
          </w:tcPr>
          <w:p>
            <w:pPr>
              <w:spacing w:after="0"/>
              <w:rPr>
                <w:sz w:val="18"/>
                <w:szCs w:val="18"/>
                <w:color w:val="auto"/>
              </w:rPr>
            </w:pPr>
          </w:p>
        </w:tc>
        <w:tc>
          <w:tcPr>
            <w:tcW w:w="1560" w:type="dxa"/>
            <w:vAlign w:val="bottom"/>
            <w:tcBorders>
              <w:bottom w:val="single" w:sz="8" w:color="E5F1F9"/>
            </w:tcBorders>
            <w:shd w:val="clear" w:color="auto" w:fill="E5F1F9"/>
          </w:tcPr>
          <w:p>
            <w:pPr>
              <w:spacing w:after="0"/>
              <w:rPr>
                <w:sz w:val="18"/>
                <w:szCs w:val="18"/>
                <w:color w:val="auto"/>
              </w:rPr>
            </w:pPr>
          </w:p>
        </w:tc>
        <w:tc>
          <w:tcPr>
            <w:tcW w:w="1220" w:type="dxa"/>
            <w:vAlign w:val="bottom"/>
            <w:tcBorders>
              <w:bottom w:val="single" w:sz="8" w:color="E5F1F9"/>
            </w:tcBorders>
            <w:shd w:val="clear" w:color="auto" w:fill="E5F1F9"/>
          </w:tcPr>
          <w:p>
            <w:pPr>
              <w:spacing w:after="0"/>
              <w:rPr>
                <w:sz w:val="18"/>
                <w:szCs w:val="18"/>
                <w:color w:val="auto"/>
              </w:rPr>
            </w:pPr>
          </w:p>
        </w:tc>
      </w:tr>
      <w:tr>
        <w:trPr>
          <w:trHeight w:val="236"/>
        </w:trPr>
        <w:tc>
          <w:tcPr>
            <w:tcW w:w="524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13"/>
                <w:szCs w:val="13"/>
                <w:b w:val="1"/>
                <w:bCs w:val="1"/>
                <w:color w:val="auto"/>
              </w:rPr>
              <w:t>  Named Executive Officers</w:t>
            </w:r>
          </w:p>
        </w:tc>
        <w:tc>
          <w:tcPr>
            <w:tcW w:w="1420" w:type="dxa"/>
            <w:vAlign w:val="bottom"/>
            <w:tcBorders>
              <w:bottom w:val="single" w:sz="8" w:color="B2D5EE"/>
            </w:tcBorders>
            <w:shd w:val="clear" w:color="auto" w:fill="B2D5EE"/>
          </w:tcPr>
          <w:p>
            <w:pPr>
              <w:spacing w:after="0"/>
              <w:rPr>
                <w:sz w:val="20"/>
                <w:szCs w:val="20"/>
                <w:color w:val="auto"/>
              </w:rPr>
            </w:pPr>
          </w:p>
        </w:tc>
        <w:tc>
          <w:tcPr>
            <w:tcW w:w="1580" w:type="dxa"/>
            <w:vAlign w:val="bottom"/>
            <w:tcBorders>
              <w:bottom w:val="single" w:sz="8" w:color="B2D5EE"/>
            </w:tcBorders>
            <w:shd w:val="clear" w:color="auto" w:fill="B2D5EE"/>
          </w:tcPr>
          <w:p>
            <w:pPr>
              <w:spacing w:after="0"/>
              <w:rPr>
                <w:sz w:val="20"/>
                <w:szCs w:val="20"/>
                <w:color w:val="auto"/>
              </w:rPr>
            </w:pPr>
          </w:p>
        </w:tc>
        <w:tc>
          <w:tcPr>
            <w:tcW w:w="1560" w:type="dxa"/>
            <w:vAlign w:val="bottom"/>
            <w:tcBorders>
              <w:bottom w:val="single" w:sz="8" w:color="B2D5EE"/>
            </w:tcBorders>
            <w:shd w:val="clear" w:color="auto" w:fill="B2D5EE"/>
          </w:tcPr>
          <w:p>
            <w:pPr>
              <w:spacing w:after="0"/>
              <w:rPr>
                <w:sz w:val="20"/>
                <w:szCs w:val="20"/>
                <w:color w:val="auto"/>
              </w:rPr>
            </w:pPr>
          </w:p>
        </w:tc>
        <w:tc>
          <w:tcPr>
            <w:tcW w:w="1220" w:type="dxa"/>
            <w:vAlign w:val="bottom"/>
            <w:tcBorders>
              <w:bottom w:val="single" w:sz="8" w:color="B2D5EE"/>
            </w:tcBorders>
            <w:shd w:val="clear" w:color="auto" w:fill="B2D5EE"/>
          </w:tcPr>
          <w:p>
            <w:pPr>
              <w:spacing w:after="0"/>
              <w:rPr>
                <w:sz w:val="20"/>
                <w:szCs w:val="20"/>
                <w:color w:val="auto"/>
              </w:rPr>
            </w:pPr>
          </w:p>
        </w:tc>
      </w:tr>
      <w:tr>
        <w:trPr>
          <w:trHeight w:val="237"/>
        </w:trPr>
        <w:tc>
          <w:tcPr>
            <w:tcW w:w="524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3"/>
                <w:szCs w:val="13"/>
                <w:color w:val="auto"/>
              </w:rPr>
              <w:t>  Christopher A. Viehbacher</w:t>
            </w:r>
          </w:p>
        </w:tc>
        <w:tc>
          <w:tcPr>
            <w:tcW w:w="1420" w:type="dxa"/>
            <w:vAlign w:val="bottom"/>
            <w:tcBorders>
              <w:bottom w:val="single" w:sz="8" w:color="E5F1F9"/>
            </w:tcBorders>
            <w:shd w:val="clear" w:color="auto" w:fill="E5F1F9"/>
          </w:tcPr>
          <w:p>
            <w:pPr>
              <w:jc w:val="center"/>
              <w:ind w:left="193"/>
              <w:spacing w:after="0"/>
              <w:rPr>
                <w:sz w:val="20"/>
                <w:szCs w:val="20"/>
                <w:color w:val="auto"/>
              </w:rPr>
            </w:pPr>
            <w:r>
              <w:rPr>
                <w:rFonts w:ascii="Arial" w:cs="Arial" w:eastAsia="Arial" w:hAnsi="Arial"/>
                <w:sz w:val="13"/>
                <w:szCs w:val="13"/>
                <w:color w:val="auto"/>
              </w:rPr>
              <w:t>30,065</w:t>
            </w:r>
          </w:p>
        </w:tc>
        <w:tc>
          <w:tcPr>
            <w:tcW w:w="1580" w:type="dxa"/>
            <w:vAlign w:val="bottom"/>
            <w:tcBorders>
              <w:bottom w:val="single" w:sz="8" w:color="E5F1F9"/>
            </w:tcBorders>
            <w:shd w:val="clear" w:color="auto" w:fill="E5F1F9"/>
          </w:tcPr>
          <w:p>
            <w:pPr>
              <w:jc w:val="center"/>
              <w:ind w:left="13"/>
              <w:spacing w:after="0"/>
              <w:rPr>
                <w:sz w:val="20"/>
                <w:szCs w:val="20"/>
                <w:color w:val="auto"/>
              </w:rPr>
            </w:pPr>
            <w:r>
              <w:rPr>
                <w:rFonts w:ascii="Arial" w:cs="Arial" w:eastAsia="Arial" w:hAnsi="Arial"/>
                <w:sz w:val="13"/>
                <w:szCs w:val="13"/>
                <w:color w:val="auto"/>
              </w:rPr>
              <w:t>80,522</w:t>
            </w:r>
          </w:p>
        </w:tc>
        <w:tc>
          <w:tcPr>
            <w:tcW w:w="1560" w:type="dxa"/>
            <w:vAlign w:val="bottom"/>
            <w:tcBorders>
              <w:bottom w:val="single" w:sz="8" w:color="E5F1F9"/>
            </w:tcBorders>
            <w:shd w:val="clear" w:color="auto" w:fill="E5F1F9"/>
          </w:tcPr>
          <w:p>
            <w:pPr>
              <w:jc w:val="center"/>
              <w:ind w:left="93"/>
              <w:spacing w:after="0"/>
              <w:rPr>
                <w:sz w:val="20"/>
                <w:szCs w:val="20"/>
                <w:color w:val="auto"/>
              </w:rPr>
            </w:pPr>
            <w:r>
              <w:rPr>
                <w:rFonts w:ascii="Arial" w:cs="Arial" w:eastAsia="Arial" w:hAnsi="Arial"/>
                <w:sz w:val="13"/>
                <w:szCs w:val="13"/>
                <w:color w:val="auto"/>
              </w:rPr>
              <w:t>110,587</w:t>
            </w:r>
          </w:p>
        </w:tc>
        <w:tc>
          <w:tcPr>
            <w:tcW w:w="12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r>
      <w:tr>
        <w:trPr>
          <w:trHeight w:val="236"/>
        </w:trPr>
        <w:tc>
          <w:tcPr>
            <w:tcW w:w="524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13"/>
                <w:szCs w:val="13"/>
                <w:color w:val="auto"/>
              </w:rPr>
              <w:t>  Robin C. Kramer</w:t>
            </w:r>
          </w:p>
        </w:tc>
        <w:tc>
          <w:tcPr>
            <w:tcW w:w="1420" w:type="dxa"/>
            <w:vAlign w:val="bottom"/>
            <w:tcBorders>
              <w:bottom w:val="single" w:sz="8" w:color="B2D5EE"/>
            </w:tcBorders>
            <w:shd w:val="clear" w:color="auto" w:fill="B2D5EE"/>
          </w:tcPr>
          <w:p>
            <w:pPr>
              <w:jc w:val="center"/>
              <w:ind w:left="193"/>
              <w:spacing w:after="0"/>
              <w:rPr>
                <w:sz w:val="20"/>
                <w:szCs w:val="20"/>
                <w:color w:val="auto"/>
              </w:rPr>
            </w:pPr>
            <w:r>
              <w:rPr>
                <w:rFonts w:ascii="Arial" w:cs="Arial" w:eastAsia="Arial" w:hAnsi="Arial"/>
                <w:sz w:val="13"/>
                <w:szCs w:val="13"/>
                <w:color w:val="auto"/>
              </w:rPr>
              <w:t>11,472</w:t>
            </w:r>
          </w:p>
        </w:tc>
        <w:tc>
          <w:tcPr>
            <w:tcW w:w="1580" w:type="dxa"/>
            <w:vAlign w:val="bottom"/>
            <w:tcBorders>
              <w:bottom w:val="single" w:sz="8" w:color="B2D5EE"/>
            </w:tcBorders>
            <w:shd w:val="clear" w:color="auto" w:fill="B2D5EE"/>
          </w:tcPr>
          <w:p>
            <w:pPr>
              <w:jc w:val="center"/>
              <w:ind w:left="13"/>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B2D5EE"/>
            </w:tcBorders>
            <w:shd w:val="clear" w:color="auto" w:fill="B2D5EE"/>
          </w:tcPr>
          <w:p>
            <w:pPr>
              <w:jc w:val="center"/>
              <w:ind w:left="93"/>
              <w:spacing w:after="0"/>
              <w:rPr>
                <w:sz w:val="20"/>
                <w:szCs w:val="20"/>
                <w:color w:val="auto"/>
              </w:rPr>
            </w:pPr>
            <w:r>
              <w:rPr>
                <w:rFonts w:ascii="Arial" w:cs="Arial" w:eastAsia="Arial" w:hAnsi="Arial"/>
                <w:sz w:val="13"/>
                <w:szCs w:val="13"/>
                <w:color w:val="auto"/>
              </w:rPr>
              <w:t>11,472</w:t>
            </w:r>
          </w:p>
        </w:tc>
        <w:tc>
          <w:tcPr>
            <w:tcW w:w="1220" w:type="dxa"/>
            <w:vAlign w:val="bottom"/>
            <w:tcBorders>
              <w:bottom w:val="single" w:sz="8" w:color="B2D5EE"/>
            </w:tcBorders>
            <w:shd w:val="clear" w:color="auto" w:fill="B2D5EE"/>
          </w:tcPr>
          <w:p>
            <w:pPr>
              <w:spacing w:after="0"/>
              <w:rPr>
                <w:sz w:val="20"/>
                <w:szCs w:val="20"/>
                <w:color w:val="auto"/>
              </w:rPr>
            </w:pPr>
          </w:p>
        </w:tc>
      </w:tr>
      <w:tr>
        <w:trPr>
          <w:trHeight w:val="257"/>
        </w:trPr>
        <w:tc>
          <w:tcPr>
            <w:tcW w:w="5240" w:type="dxa"/>
            <w:vAlign w:val="bottom"/>
            <w:shd w:val="clear" w:color="auto" w:fill="E5F1F9"/>
          </w:tcPr>
          <w:p>
            <w:pPr>
              <w:spacing w:after="0"/>
              <w:rPr>
                <w:sz w:val="20"/>
                <w:szCs w:val="20"/>
                <w:color w:val="auto"/>
              </w:rPr>
            </w:pPr>
            <w:r>
              <w:rPr>
                <w:rFonts w:ascii="Arial" w:cs="Arial" w:eastAsia="Arial" w:hAnsi="Arial"/>
                <w:sz w:val="13"/>
                <w:szCs w:val="13"/>
                <w:color w:val="auto"/>
              </w:rPr>
              <w:t>  Michael R. McDonnell</w:t>
            </w:r>
            <w:r>
              <w:rPr>
                <w:rFonts w:ascii="Arial" w:cs="Arial" w:eastAsia="Arial" w:hAnsi="Arial"/>
                <w:sz w:val="20"/>
                <w:szCs w:val="20"/>
                <w:color w:val="auto"/>
                <w:vertAlign w:val="superscript"/>
              </w:rPr>
              <w:t>(8)</w:t>
            </w:r>
          </w:p>
        </w:tc>
        <w:tc>
          <w:tcPr>
            <w:tcW w:w="1420" w:type="dxa"/>
            <w:vAlign w:val="bottom"/>
            <w:shd w:val="clear" w:color="auto" w:fill="E5F1F9"/>
          </w:tcPr>
          <w:p>
            <w:pPr>
              <w:jc w:val="center"/>
              <w:ind w:left="193"/>
              <w:spacing w:after="0"/>
              <w:rPr>
                <w:sz w:val="20"/>
                <w:szCs w:val="20"/>
                <w:color w:val="auto"/>
              </w:rPr>
            </w:pPr>
            <w:r>
              <w:rPr>
                <w:rFonts w:ascii="Arial" w:cs="Arial" w:eastAsia="Arial" w:hAnsi="Arial"/>
                <w:sz w:val="13"/>
                <w:szCs w:val="13"/>
                <w:color w:val="auto"/>
              </w:rPr>
              <w:t>24,341</w:t>
            </w:r>
          </w:p>
        </w:tc>
        <w:tc>
          <w:tcPr>
            <w:tcW w:w="1580" w:type="dxa"/>
            <w:vAlign w:val="bottom"/>
            <w:shd w:val="clear" w:color="auto" w:fill="E5F1F9"/>
          </w:tcPr>
          <w:p>
            <w:pPr>
              <w:jc w:val="center"/>
              <w:ind w:left="13"/>
              <w:spacing w:after="0"/>
              <w:rPr>
                <w:sz w:val="20"/>
                <w:szCs w:val="20"/>
                <w:color w:val="auto"/>
              </w:rPr>
            </w:pPr>
            <w:r>
              <w:rPr>
                <w:rFonts w:ascii="Arial" w:cs="Arial" w:eastAsia="Arial" w:hAnsi="Arial"/>
                <w:sz w:val="13"/>
                <w:szCs w:val="13"/>
                <w:color w:val="auto"/>
              </w:rPr>
              <w:t>—</w:t>
            </w:r>
          </w:p>
        </w:tc>
        <w:tc>
          <w:tcPr>
            <w:tcW w:w="1560" w:type="dxa"/>
            <w:vAlign w:val="bottom"/>
            <w:shd w:val="clear" w:color="auto" w:fill="E5F1F9"/>
          </w:tcPr>
          <w:p>
            <w:pPr>
              <w:jc w:val="center"/>
              <w:ind w:left="73"/>
              <w:spacing w:after="0"/>
              <w:rPr>
                <w:sz w:val="20"/>
                <w:szCs w:val="20"/>
                <w:color w:val="auto"/>
              </w:rPr>
            </w:pPr>
            <w:r>
              <w:rPr>
                <w:rFonts w:ascii="Arial" w:cs="Arial" w:eastAsia="Arial" w:hAnsi="Arial"/>
                <w:sz w:val="13"/>
                <w:szCs w:val="13"/>
                <w:color w:val="auto"/>
              </w:rPr>
              <w:t>24,341</w:t>
            </w:r>
          </w:p>
        </w:tc>
        <w:tc>
          <w:tcPr>
            <w:tcW w:w="12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r>
      <w:tr>
        <w:trPr>
          <w:trHeight w:val="256"/>
        </w:trPr>
        <w:tc>
          <w:tcPr>
            <w:tcW w:w="5240" w:type="dxa"/>
            <w:vAlign w:val="bottom"/>
            <w:shd w:val="clear" w:color="auto" w:fill="B2D5EE"/>
          </w:tcPr>
          <w:p>
            <w:pPr>
              <w:spacing w:after="0"/>
              <w:rPr>
                <w:sz w:val="20"/>
                <w:szCs w:val="20"/>
                <w:color w:val="auto"/>
              </w:rPr>
            </w:pPr>
            <w:r>
              <w:rPr>
                <w:rFonts w:ascii="Arial" w:cs="Arial" w:eastAsia="Arial" w:hAnsi="Arial"/>
                <w:sz w:val="13"/>
                <w:szCs w:val="13"/>
                <w:color w:val="auto"/>
              </w:rPr>
              <w:t>  Susan H. Alexander</w:t>
            </w:r>
            <w:r>
              <w:rPr>
                <w:rFonts w:ascii="Arial" w:cs="Arial" w:eastAsia="Arial" w:hAnsi="Arial"/>
                <w:sz w:val="20"/>
                <w:szCs w:val="20"/>
                <w:color w:val="auto"/>
                <w:vertAlign w:val="superscript"/>
              </w:rPr>
              <w:t>(9)</w:t>
            </w:r>
          </w:p>
        </w:tc>
        <w:tc>
          <w:tcPr>
            <w:tcW w:w="1420" w:type="dxa"/>
            <w:vAlign w:val="bottom"/>
            <w:shd w:val="clear" w:color="auto" w:fill="B2D5EE"/>
          </w:tcPr>
          <w:p>
            <w:pPr>
              <w:jc w:val="center"/>
              <w:ind w:left="193"/>
              <w:spacing w:after="0"/>
              <w:rPr>
                <w:sz w:val="20"/>
                <w:szCs w:val="20"/>
                <w:color w:val="auto"/>
              </w:rPr>
            </w:pPr>
            <w:r>
              <w:rPr>
                <w:rFonts w:ascii="Arial" w:cs="Arial" w:eastAsia="Arial" w:hAnsi="Arial"/>
                <w:sz w:val="13"/>
                <w:szCs w:val="13"/>
                <w:color w:val="auto"/>
              </w:rPr>
              <w:t>61,889</w:t>
            </w:r>
          </w:p>
        </w:tc>
        <w:tc>
          <w:tcPr>
            <w:tcW w:w="1580" w:type="dxa"/>
            <w:vAlign w:val="bottom"/>
            <w:shd w:val="clear" w:color="auto" w:fill="B2D5EE"/>
          </w:tcPr>
          <w:p>
            <w:pPr>
              <w:jc w:val="center"/>
              <w:ind w:left="13"/>
              <w:spacing w:after="0"/>
              <w:rPr>
                <w:sz w:val="20"/>
                <w:szCs w:val="20"/>
                <w:color w:val="auto"/>
              </w:rPr>
            </w:pPr>
            <w:r>
              <w:rPr>
                <w:rFonts w:ascii="Arial" w:cs="Arial" w:eastAsia="Arial" w:hAnsi="Arial"/>
                <w:sz w:val="13"/>
                <w:szCs w:val="13"/>
                <w:color w:val="auto"/>
              </w:rPr>
              <w:t>—</w:t>
            </w:r>
          </w:p>
        </w:tc>
        <w:tc>
          <w:tcPr>
            <w:tcW w:w="1560" w:type="dxa"/>
            <w:vAlign w:val="bottom"/>
            <w:shd w:val="clear" w:color="auto" w:fill="B2D5EE"/>
          </w:tcPr>
          <w:p>
            <w:pPr>
              <w:jc w:val="center"/>
              <w:ind w:left="73"/>
              <w:spacing w:after="0"/>
              <w:rPr>
                <w:sz w:val="20"/>
                <w:szCs w:val="20"/>
                <w:color w:val="auto"/>
              </w:rPr>
            </w:pPr>
            <w:r>
              <w:rPr>
                <w:rFonts w:ascii="Arial" w:cs="Arial" w:eastAsia="Arial" w:hAnsi="Arial"/>
                <w:sz w:val="13"/>
                <w:szCs w:val="13"/>
                <w:color w:val="auto"/>
              </w:rPr>
              <w:t>61,889</w:t>
            </w:r>
          </w:p>
        </w:tc>
        <w:tc>
          <w:tcPr>
            <w:tcW w:w="12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r>
      <w:tr>
        <w:trPr>
          <w:trHeight w:val="237"/>
        </w:trPr>
        <w:tc>
          <w:tcPr>
            <w:tcW w:w="524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3"/>
                <w:szCs w:val="13"/>
                <w:color w:val="auto"/>
              </w:rPr>
              <w:t>  Nicole C. Murphy</w:t>
            </w:r>
          </w:p>
        </w:tc>
        <w:tc>
          <w:tcPr>
            <w:tcW w:w="1420" w:type="dxa"/>
            <w:vAlign w:val="bottom"/>
            <w:tcBorders>
              <w:bottom w:val="single" w:sz="8" w:color="E5F1F9"/>
            </w:tcBorders>
            <w:shd w:val="clear" w:color="auto" w:fill="E5F1F9"/>
          </w:tcPr>
          <w:p>
            <w:pPr>
              <w:jc w:val="center"/>
              <w:ind w:left="193"/>
              <w:spacing w:after="0"/>
              <w:rPr>
                <w:sz w:val="20"/>
                <w:szCs w:val="20"/>
                <w:color w:val="auto"/>
              </w:rPr>
            </w:pPr>
            <w:r>
              <w:rPr>
                <w:rFonts w:ascii="Arial" w:cs="Arial" w:eastAsia="Arial" w:hAnsi="Arial"/>
                <w:sz w:val="13"/>
                <w:szCs w:val="13"/>
                <w:color w:val="auto"/>
              </w:rPr>
              <w:t>19,749</w:t>
            </w:r>
          </w:p>
        </w:tc>
        <w:tc>
          <w:tcPr>
            <w:tcW w:w="1580" w:type="dxa"/>
            <w:vAlign w:val="bottom"/>
            <w:tcBorders>
              <w:bottom w:val="single" w:sz="8" w:color="E5F1F9"/>
            </w:tcBorders>
            <w:shd w:val="clear" w:color="auto" w:fill="E5F1F9"/>
          </w:tcPr>
          <w:p>
            <w:pPr>
              <w:jc w:val="center"/>
              <w:ind w:left="13"/>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E5F1F9"/>
            </w:tcBorders>
            <w:shd w:val="clear" w:color="auto" w:fill="E5F1F9"/>
          </w:tcPr>
          <w:p>
            <w:pPr>
              <w:jc w:val="center"/>
              <w:ind w:left="73"/>
              <w:spacing w:after="0"/>
              <w:rPr>
                <w:sz w:val="20"/>
                <w:szCs w:val="20"/>
                <w:color w:val="auto"/>
              </w:rPr>
            </w:pPr>
            <w:r>
              <w:rPr>
                <w:rFonts w:ascii="Arial" w:cs="Arial" w:eastAsia="Arial" w:hAnsi="Arial"/>
                <w:sz w:val="13"/>
                <w:szCs w:val="13"/>
                <w:color w:val="auto"/>
              </w:rPr>
              <w:t>19,749</w:t>
            </w:r>
          </w:p>
        </w:tc>
        <w:tc>
          <w:tcPr>
            <w:tcW w:w="12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r>
      <w:tr>
        <w:trPr>
          <w:trHeight w:val="237"/>
        </w:trPr>
        <w:tc>
          <w:tcPr>
            <w:tcW w:w="524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13"/>
                <w:szCs w:val="13"/>
                <w:color w:val="auto"/>
              </w:rPr>
              <w:t>  Priya A. Singhal</w:t>
            </w:r>
          </w:p>
        </w:tc>
        <w:tc>
          <w:tcPr>
            <w:tcW w:w="1420" w:type="dxa"/>
            <w:vAlign w:val="bottom"/>
            <w:tcBorders>
              <w:bottom w:val="single" w:sz="8" w:color="B2D5EE"/>
            </w:tcBorders>
            <w:shd w:val="clear" w:color="auto" w:fill="B2D5EE"/>
          </w:tcPr>
          <w:p>
            <w:pPr>
              <w:jc w:val="center"/>
              <w:ind w:left="173"/>
              <w:spacing w:after="0"/>
              <w:rPr>
                <w:sz w:val="20"/>
                <w:szCs w:val="20"/>
                <w:color w:val="auto"/>
              </w:rPr>
            </w:pPr>
            <w:r>
              <w:rPr>
                <w:rFonts w:ascii="Arial" w:cs="Arial" w:eastAsia="Arial" w:hAnsi="Arial"/>
                <w:sz w:val="13"/>
                <w:szCs w:val="13"/>
                <w:color w:val="auto"/>
              </w:rPr>
              <w:t>8,043</w:t>
            </w:r>
          </w:p>
        </w:tc>
        <w:tc>
          <w:tcPr>
            <w:tcW w:w="1580" w:type="dxa"/>
            <w:vAlign w:val="bottom"/>
            <w:tcBorders>
              <w:bottom w:val="single" w:sz="8" w:color="B2D5EE"/>
            </w:tcBorders>
            <w:shd w:val="clear" w:color="auto" w:fill="B2D5EE"/>
          </w:tcPr>
          <w:p>
            <w:pPr>
              <w:jc w:val="center"/>
              <w:ind w:left="13"/>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B2D5EE"/>
            </w:tcBorders>
            <w:shd w:val="clear" w:color="auto" w:fill="B2D5EE"/>
          </w:tcPr>
          <w:p>
            <w:pPr>
              <w:jc w:val="center"/>
              <w:ind w:left="73"/>
              <w:spacing w:after="0"/>
              <w:rPr>
                <w:sz w:val="20"/>
                <w:szCs w:val="20"/>
                <w:color w:val="auto"/>
              </w:rPr>
            </w:pPr>
            <w:r>
              <w:rPr>
                <w:rFonts w:ascii="Arial" w:cs="Arial" w:eastAsia="Arial" w:hAnsi="Arial"/>
                <w:sz w:val="13"/>
                <w:szCs w:val="13"/>
                <w:color w:val="auto"/>
              </w:rPr>
              <w:t>8,043</w:t>
            </w:r>
          </w:p>
        </w:tc>
        <w:tc>
          <w:tcPr>
            <w:tcW w:w="12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r>
      <w:tr>
        <w:trPr>
          <w:trHeight w:val="236"/>
        </w:trPr>
        <w:tc>
          <w:tcPr>
            <w:tcW w:w="524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3"/>
                <w:szCs w:val="13"/>
                <w:b w:val="1"/>
                <w:bCs w:val="1"/>
                <w:color w:val="auto"/>
              </w:rPr>
              <w:t>  Directors</w:t>
            </w:r>
          </w:p>
        </w:tc>
        <w:tc>
          <w:tcPr>
            <w:tcW w:w="1420" w:type="dxa"/>
            <w:vAlign w:val="bottom"/>
            <w:tcBorders>
              <w:bottom w:val="single" w:sz="8" w:color="E5F1F9"/>
            </w:tcBorders>
            <w:shd w:val="clear" w:color="auto" w:fill="E5F1F9"/>
          </w:tcPr>
          <w:p>
            <w:pPr>
              <w:spacing w:after="0"/>
              <w:rPr>
                <w:sz w:val="20"/>
                <w:szCs w:val="20"/>
                <w:color w:val="auto"/>
              </w:rPr>
            </w:pPr>
          </w:p>
        </w:tc>
        <w:tc>
          <w:tcPr>
            <w:tcW w:w="1580" w:type="dxa"/>
            <w:vAlign w:val="bottom"/>
            <w:tcBorders>
              <w:bottom w:val="single" w:sz="8" w:color="E5F1F9"/>
            </w:tcBorders>
            <w:shd w:val="clear" w:color="auto" w:fill="E5F1F9"/>
          </w:tcPr>
          <w:p>
            <w:pPr>
              <w:spacing w:after="0"/>
              <w:rPr>
                <w:sz w:val="20"/>
                <w:szCs w:val="20"/>
                <w:color w:val="auto"/>
              </w:rPr>
            </w:pPr>
          </w:p>
        </w:tc>
        <w:tc>
          <w:tcPr>
            <w:tcW w:w="1560" w:type="dxa"/>
            <w:vAlign w:val="bottom"/>
            <w:tcBorders>
              <w:bottom w:val="single" w:sz="8" w:color="E5F1F9"/>
            </w:tcBorders>
            <w:shd w:val="clear" w:color="auto" w:fill="E5F1F9"/>
          </w:tcPr>
          <w:p>
            <w:pPr>
              <w:spacing w:after="0"/>
              <w:rPr>
                <w:sz w:val="20"/>
                <w:szCs w:val="20"/>
                <w:color w:val="auto"/>
              </w:rPr>
            </w:pPr>
          </w:p>
        </w:tc>
        <w:tc>
          <w:tcPr>
            <w:tcW w:w="1220" w:type="dxa"/>
            <w:vAlign w:val="bottom"/>
            <w:tcBorders>
              <w:bottom w:val="single" w:sz="8" w:color="E5F1F9"/>
            </w:tcBorders>
            <w:shd w:val="clear" w:color="auto" w:fill="E5F1F9"/>
          </w:tcPr>
          <w:p>
            <w:pPr>
              <w:spacing w:after="0"/>
              <w:rPr>
                <w:sz w:val="20"/>
                <w:szCs w:val="20"/>
                <w:color w:val="auto"/>
              </w:rPr>
            </w:pPr>
          </w:p>
        </w:tc>
      </w:tr>
      <w:tr>
        <w:trPr>
          <w:trHeight w:val="257"/>
        </w:trPr>
        <w:tc>
          <w:tcPr>
            <w:tcW w:w="5240" w:type="dxa"/>
            <w:vAlign w:val="bottom"/>
            <w:shd w:val="clear" w:color="auto" w:fill="B2D5EE"/>
          </w:tcPr>
          <w:p>
            <w:pPr>
              <w:spacing w:after="0"/>
              <w:rPr>
                <w:sz w:val="20"/>
                <w:szCs w:val="20"/>
                <w:color w:val="auto"/>
              </w:rPr>
            </w:pPr>
            <w:r>
              <w:rPr>
                <w:rFonts w:ascii="Arial" w:cs="Arial" w:eastAsia="Arial" w:hAnsi="Arial"/>
                <w:sz w:val="13"/>
                <w:szCs w:val="13"/>
                <w:color w:val="auto"/>
              </w:rPr>
              <w:t>  Caroline D. Dorsa</w:t>
            </w:r>
            <w:r>
              <w:rPr>
                <w:rFonts w:ascii="Arial" w:cs="Arial" w:eastAsia="Arial" w:hAnsi="Arial"/>
                <w:sz w:val="20"/>
                <w:szCs w:val="20"/>
                <w:color w:val="auto"/>
                <w:vertAlign w:val="superscript"/>
              </w:rPr>
              <w:t>(10)</w:t>
            </w:r>
          </w:p>
        </w:tc>
        <w:tc>
          <w:tcPr>
            <w:tcW w:w="1420" w:type="dxa"/>
            <w:vAlign w:val="bottom"/>
            <w:shd w:val="clear" w:color="auto" w:fill="B2D5EE"/>
          </w:tcPr>
          <w:p>
            <w:pPr>
              <w:jc w:val="center"/>
              <w:ind w:left="193"/>
              <w:spacing w:after="0"/>
              <w:rPr>
                <w:sz w:val="20"/>
                <w:szCs w:val="20"/>
                <w:color w:val="auto"/>
              </w:rPr>
            </w:pPr>
            <w:r>
              <w:rPr>
                <w:rFonts w:ascii="Arial" w:cs="Arial" w:eastAsia="Arial" w:hAnsi="Arial"/>
                <w:sz w:val="13"/>
                <w:szCs w:val="13"/>
                <w:color w:val="auto"/>
              </w:rPr>
              <w:t>27,842</w:t>
            </w:r>
          </w:p>
        </w:tc>
        <w:tc>
          <w:tcPr>
            <w:tcW w:w="1580" w:type="dxa"/>
            <w:vAlign w:val="bottom"/>
            <w:shd w:val="clear" w:color="auto" w:fill="B2D5EE"/>
          </w:tcPr>
          <w:p>
            <w:pPr>
              <w:jc w:val="center"/>
              <w:ind w:left="13"/>
              <w:spacing w:after="0"/>
              <w:rPr>
                <w:sz w:val="20"/>
                <w:szCs w:val="20"/>
                <w:color w:val="auto"/>
              </w:rPr>
            </w:pPr>
            <w:r>
              <w:rPr>
                <w:rFonts w:ascii="Arial" w:cs="Arial" w:eastAsia="Arial" w:hAnsi="Arial"/>
                <w:sz w:val="13"/>
                <w:szCs w:val="13"/>
                <w:color w:val="auto"/>
              </w:rPr>
              <w:t>3,160</w:t>
            </w:r>
          </w:p>
        </w:tc>
        <w:tc>
          <w:tcPr>
            <w:tcW w:w="1560" w:type="dxa"/>
            <w:vAlign w:val="bottom"/>
            <w:shd w:val="clear" w:color="auto" w:fill="B2D5EE"/>
          </w:tcPr>
          <w:p>
            <w:pPr>
              <w:jc w:val="center"/>
              <w:ind w:left="73"/>
              <w:spacing w:after="0"/>
              <w:rPr>
                <w:sz w:val="20"/>
                <w:szCs w:val="20"/>
                <w:color w:val="auto"/>
              </w:rPr>
            </w:pPr>
            <w:r>
              <w:rPr>
                <w:rFonts w:ascii="Arial" w:cs="Arial" w:eastAsia="Arial" w:hAnsi="Arial"/>
                <w:sz w:val="13"/>
                <w:szCs w:val="13"/>
                <w:color w:val="auto"/>
              </w:rPr>
              <w:t>31,002</w:t>
            </w:r>
          </w:p>
        </w:tc>
        <w:tc>
          <w:tcPr>
            <w:tcW w:w="12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r>
      <w:tr>
        <w:trPr>
          <w:trHeight w:val="236"/>
        </w:trPr>
        <w:tc>
          <w:tcPr>
            <w:tcW w:w="524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3"/>
                <w:szCs w:val="13"/>
                <w:color w:val="auto"/>
              </w:rPr>
              <w:t>  Maria C. Freire</w:t>
            </w:r>
          </w:p>
        </w:tc>
        <w:tc>
          <w:tcPr>
            <w:tcW w:w="1420" w:type="dxa"/>
            <w:vAlign w:val="bottom"/>
            <w:tcBorders>
              <w:bottom w:val="single" w:sz="8" w:color="E5F1F9"/>
            </w:tcBorders>
            <w:shd w:val="clear" w:color="auto" w:fill="E5F1F9"/>
          </w:tcPr>
          <w:p>
            <w:pPr>
              <w:jc w:val="center"/>
              <w:ind w:left="173"/>
              <w:spacing w:after="0"/>
              <w:rPr>
                <w:sz w:val="20"/>
                <w:szCs w:val="20"/>
                <w:color w:val="auto"/>
              </w:rPr>
            </w:pPr>
            <w:r>
              <w:rPr>
                <w:rFonts w:ascii="Arial" w:cs="Arial" w:eastAsia="Arial" w:hAnsi="Arial"/>
                <w:sz w:val="13"/>
                <w:szCs w:val="13"/>
                <w:color w:val="auto"/>
              </w:rPr>
              <w:t>4,445</w:t>
            </w:r>
          </w:p>
        </w:tc>
        <w:tc>
          <w:tcPr>
            <w:tcW w:w="1580" w:type="dxa"/>
            <w:vAlign w:val="bottom"/>
            <w:tcBorders>
              <w:bottom w:val="single" w:sz="8" w:color="E5F1F9"/>
            </w:tcBorders>
            <w:shd w:val="clear" w:color="auto" w:fill="E5F1F9"/>
          </w:tcPr>
          <w:p>
            <w:pPr>
              <w:jc w:val="center"/>
              <w:ind w:left="13"/>
              <w:spacing w:after="0"/>
              <w:rPr>
                <w:sz w:val="20"/>
                <w:szCs w:val="20"/>
                <w:color w:val="auto"/>
              </w:rPr>
            </w:pPr>
            <w:r>
              <w:rPr>
                <w:rFonts w:ascii="Arial" w:cs="Arial" w:eastAsia="Arial" w:hAnsi="Arial"/>
                <w:sz w:val="13"/>
                <w:szCs w:val="13"/>
                <w:color w:val="auto"/>
              </w:rPr>
              <w:t>2,370</w:t>
            </w:r>
          </w:p>
        </w:tc>
        <w:tc>
          <w:tcPr>
            <w:tcW w:w="1560" w:type="dxa"/>
            <w:vAlign w:val="bottom"/>
            <w:tcBorders>
              <w:bottom w:val="single" w:sz="8" w:color="E5F1F9"/>
            </w:tcBorders>
            <w:shd w:val="clear" w:color="auto" w:fill="E5F1F9"/>
          </w:tcPr>
          <w:p>
            <w:pPr>
              <w:jc w:val="center"/>
              <w:ind w:left="73"/>
              <w:spacing w:after="0"/>
              <w:rPr>
                <w:sz w:val="20"/>
                <w:szCs w:val="20"/>
                <w:color w:val="auto"/>
              </w:rPr>
            </w:pPr>
            <w:r>
              <w:rPr>
                <w:rFonts w:ascii="Arial" w:cs="Arial" w:eastAsia="Arial" w:hAnsi="Arial"/>
                <w:sz w:val="13"/>
                <w:szCs w:val="13"/>
                <w:color w:val="auto"/>
              </w:rPr>
              <w:t>6,815</w:t>
            </w:r>
          </w:p>
        </w:tc>
        <w:tc>
          <w:tcPr>
            <w:tcW w:w="12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r>
      <w:tr>
        <w:trPr>
          <w:trHeight w:val="237"/>
        </w:trPr>
        <w:tc>
          <w:tcPr>
            <w:tcW w:w="524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13"/>
                <w:szCs w:val="13"/>
                <w:color w:val="auto"/>
              </w:rPr>
              <w:t>  William A. Hawkins</w:t>
            </w:r>
          </w:p>
        </w:tc>
        <w:tc>
          <w:tcPr>
            <w:tcW w:w="1420" w:type="dxa"/>
            <w:vAlign w:val="bottom"/>
            <w:tcBorders>
              <w:bottom w:val="single" w:sz="8" w:color="B2D5EE"/>
            </w:tcBorders>
            <w:shd w:val="clear" w:color="auto" w:fill="B2D5EE"/>
          </w:tcPr>
          <w:p>
            <w:pPr>
              <w:jc w:val="center"/>
              <w:ind w:left="173"/>
              <w:spacing w:after="0"/>
              <w:rPr>
                <w:sz w:val="20"/>
                <w:szCs w:val="20"/>
                <w:color w:val="auto"/>
              </w:rPr>
            </w:pPr>
            <w:r>
              <w:rPr>
                <w:rFonts w:ascii="Arial" w:cs="Arial" w:eastAsia="Arial" w:hAnsi="Arial"/>
                <w:sz w:val="13"/>
                <w:szCs w:val="13"/>
                <w:color w:val="auto"/>
              </w:rPr>
              <w:t>6,490</w:t>
            </w:r>
          </w:p>
        </w:tc>
        <w:tc>
          <w:tcPr>
            <w:tcW w:w="1580" w:type="dxa"/>
            <w:vAlign w:val="bottom"/>
            <w:tcBorders>
              <w:bottom w:val="single" w:sz="8" w:color="B2D5EE"/>
            </w:tcBorders>
            <w:shd w:val="clear" w:color="auto" w:fill="B2D5EE"/>
          </w:tcPr>
          <w:p>
            <w:pPr>
              <w:jc w:val="center"/>
              <w:ind w:left="13"/>
              <w:spacing w:after="0"/>
              <w:rPr>
                <w:sz w:val="20"/>
                <w:szCs w:val="20"/>
                <w:color w:val="auto"/>
              </w:rPr>
            </w:pPr>
            <w:r>
              <w:rPr>
                <w:rFonts w:ascii="Arial" w:cs="Arial" w:eastAsia="Arial" w:hAnsi="Arial"/>
                <w:sz w:val="13"/>
                <w:szCs w:val="13"/>
                <w:color w:val="auto"/>
              </w:rPr>
              <w:t>2,370</w:t>
            </w:r>
          </w:p>
        </w:tc>
        <w:tc>
          <w:tcPr>
            <w:tcW w:w="1560" w:type="dxa"/>
            <w:vAlign w:val="bottom"/>
            <w:tcBorders>
              <w:bottom w:val="single" w:sz="8" w:color="B2D5EE"/>
            </w:tcBorders>
            <w:shd w:val="clear" w:color="auto" w:fill="B2D5EE"/>
          </w:tcPr>
          <w:p>
            <w:pPr>
              <w:jc w:val="center"/>
              <w:ind w:left="73"/>
              <w:spacing w:after="0"/>
              <w:rPr>
                <w:sz w:val="20"/>
                <w:szCs w:val="20"/>
                <w:color w:val="auto"/>
              </w:rPr>
            </w:pPr>
            <w:r>
              <w:rPr>
                <w:rFonts w:ascii="Arial" w:cs="Arial" w:eastAsia="Arial" w:hAnsi="Arial"/>
                <w:sz w:val="13"/>
                <w:szCs w:val="13"/>
                <w:color w:val="auto"/>
              </w:rPr>
              <w:t>8,860</w:t>
            </w:r>
          </w:p>
        </w:tc>
        <w:tc>
          <w:tcPr>
            <w:tcW w:w="12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r>
      <w:tr>
        <w:trPr>
          <w:trHeight w:val="236"/>
        </w:trPr>
        <w:tc>
          <w:tcPr>
            <w:tcW w:w="524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3"/>
                <w:szCs w:val="13"/>
                <w:color w:val="auto"/>
              </w:rPr>
              <w:t>  Susan K. Langer</w:t>
            </w:r>
          </w:p>
        </w:tc>
        <w:tc>
          <w:tcPr>
            <w:tcW w:w="1420" w:type="dxa"/>
            <w:vAlign w:val="bottom"/>
            <w:tcBorders>
              <w:bottom w:val="single" w:sz="8" w:color="E5F1F9"/>
            </w:tcBorders>
            <w:shd w:val="clear" w:color="auto" w:fill="E5F1F9"/>
          </w:tcPr>
          <w:p>
            <w:pPr>
              <w:jc w:val="center"/>
              <w:ind w:left="173"/>
              <w:spacing w:after="0"/>
              <w:rPr>
                <w:sz w:val="20"/>
                <w:szCs w:val="20"/>
                <w:color w:val="auto"/>
              </w:rPr>
            </w:pPr>
            <w:r>
              <w:rPr>
                <w:rFonts w:ascii="Arial" w:cs="Arial" w:eastAsia="Arial" w:hAnsi="Arial"/>
                <w:sz w:val="13"/>
                <w:szCs w:val="13"/>
                <w:color w:val="auto"/>
              </w:rPr>
              <w:t>2,759</w:t>
            </w:r>
          </w:p>
        </w:tc>
        <w:tc>
          <w:tcPr>
            <w:tcW w:w="1580" w:type="dxa"/>
            <w:vAlign w:val="bottom"/>
            <w:tcBorders>
              <w:bottom w:val="single" w:sz="8" w:color="E5F1F9"/>
            </w:tcBorders>
            <w:shd w:val="clear" w:color="auto" w:fill="E5F1F9"/>
          </w:tcPr>
          <w:p>
            <w:pPr>
              <w:jc w:val="center"/>
              <w:ind w:left="13"/>
              <w:spacing w:after="0"/>
              <w:rPr>
                <w:sz w:val="20"/>
                <w:szCs w:val="20"/>
                <w:color w:val="auto"/>
              </w:rPr>
            </w:pPr>
            <w:r>
              <w:rPr>
                <w:rFonts w:ascii="Arial" w:cs="Arial" w:eastAsia="Arial" w:hAnsi="Arial"/>
                <w:sz w:val="13"/>
                <w:szCs w:val="13"/>
                <w:color w:val="auto"/>
              </w:rPr>
              <w:t>2,370</w:t>
            </w:r>
          </w:p>
        </w:tc>
        <w:tc>
          <w:tcPr>
            <w:tcW w:w="1560" w:type="dxa"/>
            <w:vAlign w:val="bottom"/>
            <w:tcBorders>
              <w:bottom w:val="single" w:sz="8" w:color="E5F1F9"/>
            </w:tcBorders>
            <w:shd w:val="clear" w:color="auto" w:fill="E5F1F9"/>
          </w:tcPr>
          <w:p>
            <w:pPr>
              <w:jc w:val="center"/>
              <w:ind w:left="73"/>
              <w:spacing w:after="0"/>
              <w:rPr>
                <w:sz w:val="20"/>
                <w:szCs w:val="20"/>
                <w:color w:val="auto"/>
              </w:rPr>
            </w:pPr>
            <w:r>
              <w:rPr>
                <w:rFonts w:ascii="Arial" w:cs="Arial" w:eastAsia="Arial" w:hAnsi="Arial"/>
                <w:sz w:val="13"/>
                <w:szCs w:val="13"/>
                <w:color w:val="auto"/>
              </w:rPr>
              <w:t>5,129</w:t>
            </w:r>
          </w:p>
        </w:tc>
        <w:tc>
          <w:tcPr>
            <w:tcW w:w="12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r>
      <w:tr>
        <w:trPr>
          <w:trHeight w:val="237"/>
        </w:trPr>
        <w:tc>
          <w:tcPr>
            <w:tcW w:w="524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13"/>
                <w:szCs w:val="13"/>
                <w:color w:val="auto"/>
              </w:rPr>
              <w:t>  Jesus B. Mantas</w:t>
            </w:r>
          </w:p>
        </w:tc>
        <w:tc>
          <w:tcPr>
            <w:tcW w:w="1420" w:type="dxa"/>
            <w:vAlign w:val="bottom"/>
            <w:tcBorders>
              <w:bottom w:val="single" w:sz="8" w:color="B2D5EE"/>
            </w:tcBorders>
            <w:shd w:val="clear" w:color="auto" w:fill="B2D5EE"/>
          </w:tcPr>
          <w:p>
            <w:pPr>
              <w:jc w:val="center"/>
              <w:ind w:left="173"/>
              <w:spacing w:after="0"/>
              <w:rPr>
                <w:sz w:val="20"/>
                <w:szCs w:val="20"/>
                <w:color w:val="auto"/>
              </w:rPr>
            </w:pPr>
            <w:r>
              <w:rPr>
                <w:rFonts w:ascii="Arial" w:cs="Arial" w:eastAsia="Arial" w:hAnsi="Arial"/>
                <w:sz w:val="13"/>
                <w:szCs w:val="13"/>
                <w:color w:val="auto"/>
              </w:rPr>
              <w:t>7,388</w:t>
            </w:r>
          </w:p>
        </w:tc>
        <w:tc>
          <w:tcPr>
            <w:tcW w:w="1580" w:type="dxa"/>
            <w:vAlign w:val="bottom"/>
            <w:tcBorders>
              <w:bottom w:val="single" w:sz="8" w:color="B2D5EE"/>
            </w:tcBorders>
            <w:shd w:val="clear" w:color="auto" w:fill="B2D5EE"/>
          </w:tcPr>
          <w:p>
            <w:pPr>
              <w:jc w:val="center"/>
              <w:ind w:left="13"/>
              <w:spacing w:after="0"/>
              <w:rPr>
                <w:sz w:val="20"/>
                <w:szCs w:val="20"/>
                <w:color w:val="auto"/>
              </w:rPr>
            </w:pPr>
            <w:r>
              <w:rPr>
                <w:rFonts w:ascii="Arial" w:cs="Arial" w:eastAsia="Arial" w:hAnsi="Arial"/>
                <w:sz w:val="13"/>
                <w:szCs w:val="13"/>
                <w:color w:val="auto"/>
              </w:rPr>
              <w:t>2,370</w:t>
            </w:r>
          </w:p>
        </w:tc>
        <w:tc>
          <w:tcPr>
            <w:tcW w:w="1560" w:type="dxa"/>
            <w:vAlign w:val="bottom"/>
            <w:tcBorders>
              <w:bottom w:val="single" w:sz="8" w:color="B2D5EE"/>
            </w:tcBorders>
            <w:shd w:val="clear" w:color="auto" w:fill="B2D5EE"/>
          </w:tcPr>
          <w:p>
            <w:pPr>
              <w:jc w:val="center"/>
              <w:ind w:left="73"/>
              <w:spacing w:after="0"/>
              <w:rPr>
                <w:sz w:val="20"/>
                <w:szCs w:val="20"/>
                <w:color w:val="auto"/>
              </w:rPr>
            </w:pPr>
            <w:r>
              <w:rPr>
                <w:rFonts w:ascii="Arial" w:cs="Arial" w:eastAsia="Arial" w:hAnsi="Arial"/>
                <w:sz w:val="13"/>
                <w:szCs w:val="13"/>
                <w:color w:val="auto"/>
              </w:rPr>
              <w:t>9,758</w:t>
            </w:r>
          </w:p>
        </w:tc>
        <w:tc>
          <w:tcPr>
            <w:tcW w:w="12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r>
      <w:tr>
        <w:trPr>
          <w:trHeight w:val="236"/>
        </w:trPr>
        <w:tc>
          <w:tcPr>
            <w:tcW w:w="524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3"/>
                <w:szCs w:val="13"/>
                <w:color w:val="auto"/>
              </w:rPr>
              <w:t>  Lloyd Minor</w:t>
            </w:r>
          </w:p>
        </w:tc>
        <w:tc>
          <w:tcPr>
            <w:tcW w:w="1420" w:type="dxa"/>
            <w:vAlign w:val="bottom"/>
            <w:tcBorders>
              <w:bottom w:val="single" w:sz="8" w:color="E5F1F9"/>
            </w:tcBorders>
            <w:shd w:val="clear" w:color="auto" w:fill="E5F1F9"/>
          </w:tcPr>
          <w:p>
            <w:pPr>
              <w:jc w:val="center"/>
              <w:ind w:left="193"/>
              <w:spacing w:after="0"/>
              <w:rPr>
                <w:sz w:val="20"/>
                <w:szCs w:val="20"/>
                <w:color w:val="auto"/>
              </w:rPr>
            </w:pPr>
            <w:r>
              <w:rPr>
                <w:rFonts w:ascii="Arial" w:cs="Arial" w:eastAsia="Arial" w:hAnsi="Arial"/>
                <w:sz w:val="13"/>
                <w:szCs w:val="13"/>
                <w:color w:val="auto"/>
                <w:w w:val="91"/>
              </w:rPr>
              <w:t>—</w:t>
            </w:r>
          </w:p>
        </w:tc>
        <w:tc>
          <w:tcPr>
            <w:tcW w:w="1580" w:type="dxa"/>
            <w:vAlign w:val="bottom"/>
            <w:tcBorders>
              <w:bottom w:val="single" w:sz="8" w:color="E5F1F9"/>
            </w:tcBorders>
            <w:shd w:val="clear" w:color="auto" w:fill="E5F1F9"/>
          </w:tcPr>
          <w:p>
            <w:pPr>
              <w:jc w:val="center"/>
              <w:ind w:left="13"/>
              <w:spacing w:after="0"/>
              <w:rPr>
                <w:sz w:val="20"/>
                <w:szCs w:val="20"/>
                <w:color w:val="auto"/>
              </w:rPr>
            </w:pPr>
            <w:r>
              <w:rPr>
                <w:rFonts w:ascii="Arial" w:cs="Arial" w:eastAsia="Arial" w:hAnsi="Arial"/>
                <w:sz w:val="13"/>
                <w:szCs w:val="13"/>
                <w:color w:val="auto"/>
              </w:rPr>
              <w:t>2,370</w:t>
            </w:r>
          </w:p>
        </w:tc>
        <w:tc>
          <w:tcPr>
            <w:tcW w:w="1560" w:type="dxa"/>
            <w:vAlign w:val="bottom"/>
            <w:tcBorders>
              <w:bottom w:val="single" w:sz="8" w:color="E5F1F9"/>
            </w:tcBorders>
            <w:shd w:val="clear" w:color="auto" w:fill="E5F1F9"/>
          </w:tcPr>
          <w:p>
            <w:pPr>
              <w:jc w:val="center"/>
              <w:ind w:left="73"/>
              <w:spacing w:after="0"/>
              <w:rPr>
                <w:sz w:val="20"/>
                <w:szCs w:val="20"/>
                <w:color w:val="auto"/>
              </w:rPr>
            </w:pPr>
            <w:r>
              <w:rPr>
                <w:rFonts w:ascii="Arial" w:cs="Arial" w:eastAsia="Arial" w:hAnsi="Arial"/>
                <w:sz w:val="13"/>
                <w:szCs w:val="13"/>
                <w:color w:val="auto"/>
              </w:rPr>
              <w:t>2,370</w:t>
            </w:r>
          </w:p>
        </w:tc>
        <w:tc>
          <w:tcPr>
            <w:tcW w:w="12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r>
      <w:tr>
        <w:trPr>
          <w:trHeight w:val="237"/>
        </w:trPr>
        <w:tc>
          <w:tcPr>
            <w:tcW w:w="524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13"/>
                <w:szCs w:val="13"/>
                <w:color w:val="auto"/>
              </w:rPr>
              <w:t>  Menelas Pangalos</w:t>
            </w:r>
          </w:p>
        </w:tc>
        <w:tc>
          <w:tcPr>
            <w:tcW w:w="1420" w:type="dxa"/>
            <w:vAlign w:val="bottom"/>
            <w:tcBorders>
              <w:bottom w:val="single" w:sz="8" w:color="B2D5EE"/>
            </w:tcBorders>
            <w:shd w:val="clear" w:color="auto" w:fill="B2D5EE"/>
          </w:tcPr>
          <w:p>
            <w:pPr>
              <w:jc w:val="center"/>
              <w:ind w:left="193"/>
              <w:spacing w:after="0"/>
              <w:rPr>
                <w:sz w:val="20"/>
                <w:szCs w:val="20"/>
                <w:color w:val="auto"/>
              </w:rPr>
            </w:pPr>
            <w:r>
              <w:rPr>
                <w:rFonts w:ascii="Arial" w:cs="Arial" w:eastAsia="Arial" w:hAnsi="Arial"/>
                <w:sz w:val="13"/>
                <w:szCs w:val="13"/>
                <w:color w:val="auto"/>
                <w:w w:val="91"/>
              </w:rPr>
              <w:t>—</w:t>
            </w:r>
          </w:p>
        </w:tc>
        <w:tc>
          <w:tcPr>
            <w:tcW w:w="1580" w:type="dxa"/>
            <w:vAlign w:val="bottom"/>
            <w:tcBorders>
              <w:bottom w:val="single" w:sz="8" w:color="B2D5EE"/>
            </w:tcBorders>
            <w:shd w:val="clear" w:color="auto" w:fill="B2D5EE"/>
          </w:tcPr>
          <w:p>
            <w:pPr>
              <w:jc w:val="center"/>
              <w:ind w:left="13"/>
              <w:spacing w:after="0"/>
              <w:rPr>
                <w:sz w:val="20"/>
                <w:szCs w:val="20"/>
                <w:color w:val="auto"/>
              </w:rPr>
            </w:pPr>
            <w:r>
              <w:rPr>
                <w:rFonts w:ascii="Arial" w:cs="Arial" w:eastAsia="Arial" w:hAnsi="Arial"/>
                <w:sz w:val="13"/>
                <w:szCs w:val="13"/>
                <w:color w:val="auto"/>
              </w:rPr>
              <w:t>2,370</w:t>
            </w:r>
          </w:p>
        </w:tc>
        <w:tc>
          <w:tcPr>
            <w:tcW w:w="1560" w:type="dxa"/>
            <w:vAlign w:val="bottom"/>
            <w:tcBorders>
              <w:bottom w:val="single" w:sz="8" w:color="B2D5EE"/>
            </w:tcBorders>
            <w:shd w:val="clear" w:color="auto" w:fill="B2D5EE"/>
          </w:tcPr>
          <w:p>
            <w:pPr>
              <w:jc w:val="center"/>
              <w:ind w:left="73"/>
              <w:spacing w:after="0"/>
              <w:rPr>
                <w:sz w:val="20"/>
                <w:szCs w:val="20"/>
                <w:color w:val="auto"/>
              </w:rPr>
            </w:pPr>
            <w:r>
              <w:rPr>
                <w:rFonts w:ascii="Arial" w:cs="Arial" w:eastAsia="Arial" w:hAnsi="Arial"/>
                <w:sz w:val="13"/>
                <w:szCs w:val="13"/>
                <w:color w:val="auto"/>
              </w:rPr>
              <w:t>2,370</w:t>
            </w:r>
          </w:p>
        </w:tc>
        <w:tc>
          <w:tcPr>
            <w:tcW w:w="12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r>
      <w:tr>
        <w:trPr>
          <w:trHeight w:val="237"/>
        </w:trPr>
        <w:tc>
          <w:tcPr>
            <w:tcW w:w="524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3"/>
                <w:szCs w:val="13"/>
                <w:color w:val="auto"/>
              </w:rPr>
              <w:t>  Monish Patolawala</w:t>
            </w:r>
          </w:p>
        </w:tc>
        <w:tc>
          <w:tcPr>
            <w:tcW w:w="1420" w:type="dxa"/>
            <w:vAlign w:val="bottom"/>
            <w:tcBorders>
              <w:bottom w:val="single" w:sz="8" w:color="E5F1F9"/>
            </w:tcBorders>
            <w:shd w:val="clear" w:color="auto" w:fill="E5F1F9"/>
          </w:tcPr>
          <w:p>
            <w:pPr>
              <w:jc w:val="center"/>
              <w:ind w:left="173"/>
              <w:spacing w:after="0"/>
              <w:rPr>
                <w:sz w:val="20"/>
                <w:szCs w:val="20"/>
                <w:color w:val="auto"/>
              </w:rPr>
            </w:pPr>
            <w:r>
              <w:rPr>
                <w:rFonts w:ascii="Arial" w:cs="Arial" w:eastAsia="Arial" w:hAnsi="Arial"/>
                <w:sz w:val="13"/>
                <w:szCs w:val="13"/>
                <w:color w:val="auto"/>
              </w:rPr>
              <w:t>1,340</w:t>
            </w:r>
          </w:p>
        </w:tc>
        <w:tc>
          <w:tcPr>
            <w:tcW w:w="1580" w:type="dxa"/>
            <w:vAlign w:val="bottom"/>
            <w:tcBorders>
              <w:bottom w:val="single" w:sz="8" w:color="E5F1F9"/>
            </w:tcBorders>
            <w:shd w:val="clear" w:color="auto" w:fill="E5F1F9"/>
          </w:tcPr>
          <w:p>
            <w:pPr>
              <w:jc w:val="center"/>
              <w:ind w:left="13"/>
              <w:spacing w:after="0"/>
              <w:rPr>
                <w:sz w:val="20"/>
                <w:szCs w:val="20"/>
                <w:color w:val="auto"/>
              </w:rPr>
            </w:pPr>
            <w:r>
              <w:rPr>
                <w:rFonts w:ascii="Arial" w:cs="Arial" w:eastAsia="Arial" w:hAnsi="Arial"/>
                <w:sz w:val="13"/>
                <w:szCs w:val="13"/>
                <w:color w:val="auto"/>
              </w:rPr>
              <w:t>2,370</w:t>
            </w:r>
          </w:p>
        </w:tc>
        <w:tc>
          <w:tcPr>
            <w:tcW w:w="1560" w:type="dxa"/>
            <w:vAlign w:val="bottom"/>
            <w:tcBorders>
              <w:bottom w:val="single" w:sz="8" w:color="E5F1F9"/>
            </w:tcBorders>
            <w:shd w:val="clear" w:color="auto" w:fill="E5F1F9"/>
          </w:tcPr>
          <w:p>
            <w:pPr>
              <w:jc w:val="center"/>
              <w:ind w:left="73"/>
              <w:spacing w:after="0"/>
              <w:rPr>
                <w:sz w:val="20"/>
                <w:szCs w:val="20"/>
                <w:color w:val="auto"/>
              </w:rPr>
            </w:pPr>
            <w:r>
              <w:rPr>
                <w:rFonts w:ascii="Arial" w:cs="Arial" w:eastAsia="Arial" w:hAnsi="Arial"/>
                <w:sz w:val="13"/>
                <w:szCs w:val="13"/>
                <w:color w:val="auto"/>
              </w:rPr>
              <w:t>3,710</w:t>
            </w:r>
          </w:p>
        </w:tc>
        <w:tc>
          <w:tcPr>
            <w:tcW w:w="12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r>
      <w:tr>
        <w:trPr>
          <w:trHeight w:val="236"/>
        </w:trPr>
        <w:tc>
          <w:tcPr>
            <w:tcW w:w="524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13"/>
                <w:szCs w:val="13"/>
                <w:color w:val="auto"/>
              </w:rPr>
              <w:t>  Eric K. Rowinsky</w:t>
            </w:r>
          </w:p>
        </w:tc>
        <w:tc>
          <w:tcPr>
            <w:tcW w:w="1420" w:type="dxa"/>
            <w:vAlign w:val="bottom"/>
            <w:tcBorders>
              <w:bottom w:val="single" w:sz="8" w:color="B2D5EE"/>
            </w:tcBorders>
            <w:shd w:val="clear" w:color="auto" w:fill="B2D5EE"/>
          </w:tcPr>
          <w:p>
            <w:pPr>
              <w:jc w:val="center"/>
              <w:ind w:left="193"/>
              <w:spacing w:after="0"/>
              <w:rPr>
                <w:sz w:val="20"/>
                <w:szCs w:val="20"/>
                <w:color w:val="auto"/>
              </w:rPr>
            </w:pPr>
            <w:r>
              <w:rPr>
                <w:rFonts w:ascii="Arial" w:cs="Arial" w:eastAsia="Arial" w:hAnsi="Arial"/>
                <w:sz w:val="13"/>
                <w:szCs w:val="13"/>
                <w:color w:val="auto"/>
              </w:rPr>
              <w:t>21,969</w:t>
            </w:r>
          </w:p>
        </w:tc>
        <w:tc>
          <w:tcPr>
            <w:tcW w:w="1580" w:type="dxa"/>
            <w:vAlign w:val="bottom"/>
            <w:tcBorders>
              <w:bottom w:val="single" w:sz="8" w:color="B2D5EE"/>
            </w:tcBorders>
            <w:shd w:val="clear" w:color="auto" w:fill="B2D5EE"/>
          </w:tcPr>
          <w:p>
            <w:pPr>
              <w:jc w:val="center"/>
              <w:ind w:left="13"/>
              <w:spacing w:after="0"/>
              <w:rPr>
                <w:sz w:val="20"/>
                <w:szCs w:val="20"/>
                <w:color w:val="auto"/>
              </w:rPr>
            </w:pPr>
            <w:r>
              <w:rPr>
                <w:rFonts w:ascii="Arial" w:cs="Arial" w:eastAsia="Arial" w:hAnsi="Arial"/>
                <w:sz w:val="13"/>
                <w:szCs w:val="13"/>
                <w:color w:val="auto"/>
              </w:rPr>
              <w:t>2,370</w:t>
            </w:r>
          </w:p>
        </w:tc>
        <w:tc>
          <w:tcPr>
            <w:tcW w:w="1560" w:type="dxa"/>
            <w:vAlign w:val="bottom"/>
            <w:tcBorders>
              <w:bottom w:val="single" w:sz="8" w:color="B2D5EE"/>
            </w:tcBorders>
            <w:shd w:val="clear" w:color="auto" w:fill="B2D5EE"/>
          </w:tcPr>
          <w:p>
            <w:pPr>
              <w:jc w:val="center"/>
              <w:ind w:left="73"/>
              <w:spacing w:after="0"/>
              <w:rPr>
                <w:sz w:val="20"/>
                <w:szCs w:val="20"/>
                <w:color w:val="auto"/>
              </w:rPr>
            </w:pPr>
            <w:r>
              <w:rPr>
                <w:rFonts w:ascii="Arial" w:cs="Arial" w:eastAsia="Arial" w:hAnsi="Arial"/>
                <w:sz w:val="13"/>
                <w:szCs w:val="13"/>
                <w:color w:val="auto"/>
              </w:rPr>
              <w:t>24,339</w:t>
            </w:r>
          </w:p>
        </w:tc>
        <w:tc>
          <w:tcPr>
            <w:tcW w:w="12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r>
      <w:tr>
        <w:trPr>
          <w:trHeight w:val="236"/>
        </w:trPr>
        <w:tc>
          <w:tcPr>
            <w:tcW w:w="524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3"/>
                <w:szCs w:val="13"/>
                <w:color w:val="auto"/>
              </w:rPr>
              <w:t>  Stephen A. Sherwin</w:t>
            </w:r>
          </w:p>
        </w:tc>
        <w:tc>
          <w:tcPr>
            <w:tcW w:w="1420" w:type="dxa"/>
            <w:vAlign w:val="bottom"/>
            <w:tcBorders>
              <w:bottom w:val="single" w:sz="8" w:color="E5F1F9"/>
            </w:tcBorders>
            <w:shd w:val="clear" w:color="auto" w:fill="E5F1F9"/>
          </w:tcPr>
          <w:p>
            <w:pPr>
              <w:jc w:val="center"/>
              <w:ind w:left="193"/>
              <w:spacing w:after="0"/>
              <w:rPr>
                <w:sz w:val="20"/>
                <w:szCs w:val="20"/>
                <w:color w:val="auto"/>
              </w:rPr>
            </w:pPr>
            <w:r>
              <w:rPr>
                <w:rFonts w:ascii="Arial" w:cs="Arial" w:eastAsia="Arial" w:hAnsi="Arial"/>
                <w:sz w:val="13"/>
                <w:szCs w:val="13"/>
                <w:color w:val="auto"/>
              </w:rPr>
              <w:t>11,318</w:t>
            </w:r>
          </w:p>
        </w:tc>
        <w:tc>
          <w:tcPr>
            <w:tcW w:w="1580" w:type="dxa"/>
            <w:vAlign w:val="bottom"/>
            <w:tcBorders>
              <w:bottom w:val="single" w:sz="8" w:color="E5F1F9"/>
            </w:tcBorders>
            <w:shd w:val="clear" w:color="auto" w:fill="E5F1F9"/>
          </w:tcPr>
          <w:p>
            <w:pPr>
              <w:jc w:val="center"/>
              <w:ind w:left="13"/>
              <w:spacing w:after="0"/>
              <w:rPr>
                <w:sz w:val="20"/>
                <w:szCs w:val="20"/>
                <w:color w:val="auto"/>
              </w:rPr>
            </w:pPr>
            <w:r>
              <w:rPr>
                <w:rFonts w:ascii="Arial" w:cs="Arial" w:eastAsia="Arial" w:hAnsi="Arial"/>
                <w:sz w:val="13"/>
                <w:szCs w:val="13"/>
                <w:color w:val="auto"/>
              </w:rPr>
              <w:t>2,370</w:t>
            </w:r>
          </w:p>
        </w:tc>
        <w:tc>
          <w:tcPr>
            <w:tcW w:w="1560" w:type="dxa"/>
            <w:vAlign w:val="bottom"/>
            <w:tcBorders>
              <w:bottom w:val="single" w:sz="8" w:color="E5F1F9"/>
            </w:tcBorders>
            <w:shd w:val="clear" w:color="auto" w:fill="E5F1F9"/>
          </w:tcPr>
          <w:p>
            <w:pPr>
              <w:jc w:val="center"/>
              <w:ind w:left="73"/>
              <w:spacing w:after="0"/>
              <w:rPr>
                <w:sz w:val="20"/>
                <w:szCs w:val="20"/>
                <w:color w:val="auto"/>
              </w:rPr>
            </w:pPr>
            <w:r>
              <w:rPr>
                <w:rFonts w:ascii="Arial" w:cs="Arial" w:eastAsia="Arial" w:hAnsi="Arial"/>
                <w:sz w:val="13"/>
                <w:szCs w:val="13"/>
                <w:color w:val="auto"/>
              </w:rPr>
              <w:t>13,688</w:t>
            </w:r>
          </w:p>
        </w:tc>
        <w:tc>
          <w:tcPr>
            <w:tcW w:w="12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r>
      <w:tr>
        <w:trPr>
          <w:trHeight w:val="218"/>
        </w:trPr>
        <w:tc>
          <w:tcPr>
            <w:tcW w:w="5240" w:type="dxa"/>
            <w:vAlign w:val="bottom"/>
            <w:shd w:val="clear" w:color="auto" w:fill="B2D5EE"/>
          </w:tcPr>
          <w:p>
            <w:pPr>
              <w:spacing w:after="0"/>
              <w:rPr>
                <w:sz w:val="20"/>
                <w:szCs w:val="20"/>
                <w:color w:val="auto"/>
              </w:rPr>
            </w:pPr>
            <w:r>
              <w:rPr>
                <w:rFonts w:ascii="Arial" w:cs="Arial" w:eastAsia="Arial" w:hAnsi="Arial"/>
                <w:sz w:val="13"/>
                <w:szCs w:val="13"/>
                <w:color w:val="auto"/>
              </w:rPr>
              <w:t>  All current executive officers and directors as a group (20 persons)</w:t>
            </w:r>
          </w:p>
        </w:tc>
        <w:tc>
          <w:tcPr>
            <w:tcW w:w="1420" w:type="dxa"/>
            <w:vAlign w:val="bottom"/>
            <w:shd w:val="clear" w:color="auto" w:fill="B2D5EE"/>
          </w:tcPr>
          <w:p>
            <w:pPr>
              <w:jc w:val="center"/>
              <w:ind w:left="193"/>
              <w:spacing w:after="0"/>
              <w:rPr>
                <w:sz w:val="20"/>
                <w:szCs w:val="20"/>
                <w:color w:val="auto"/>
              </w:rPr>
            </w:pPr>
            <w:r>
              <w:rPr>
                <w:rFonts w:ascii="Arial" w:cs="Arial" w:eastAsia="Arial" w:hAnsi="Arial"/>
                <w:sz w:val="13"/>
                <w:szCs w:val="13"/>
                <w:color w:val="auto"/>
              </w:rPr>
              <w:t>259,975</w:t>
            </w:r>
          </w:p>
        </w:tc>
        <w:tc>
          <w:tcPr>
            <w:tcW w:w="1580" w:type="dxa"/>
            <w:vAlign w:val="bottom"/>
            <w:shd w:val="clear" w:color="auto" w:fill="B2D5EE"/>
          </w:tcPr>
          <w:p>
            <w:pPr>
              <w:jc w:val="center"/>
              <w:ind w:left="13"/>
              <w:spacing w:after="0"/>
              <w:rPr>
                <w:sz w:val="20"/>
                <w:szCs w:val="20"/>
                <w:color w:val="auto"/>
              </w:rPr>
            </w:pPr>
            <w:r>
              <w:rPr>
                <w:rFonts w:ascii="Arial" w:cs="Arial" w:eastAsia="Arial" w:hAnsi="Arial"/>
                <w:sz w:val="13"/>
                <w:szCs w:val="13"/>
                <w:color w:val="auto"/>
              </w:rPr>
              <w:t>107,827</w:t>
            </w:r>
          </w:p>
        </w:tc>
        <w:tc>
          <w:tcPr>
            <w:tcW w:w="156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367,802</w:t>
            </w:r>
          </w:p>
        </w:tc>
        <w:tc>
          <w:tcPr>
            <w:tcW w:w="12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r>
      <w:tr>
        <w:trPr>
          <w:trHeight w:val="39"/>
        </w:trPr>
        <w:tc>
          <w:tcPr>
            <w:tcW w:w="5240" w:type="dxa"/>
            <w:vAlign w:val="bottom"/>
            <w:shd w:val="clear" w:color="auto" w:fill="B2D5EE"/>
          </w:tcPr>
          <w:p>
            <w:pPr>
              <w:spacing w:after="0"/>
              <w:rPr>
                <w:sz w:val="3"/>
                <w:szCs w:val="3"/>
                <w:color w:val="auto"/>
              </w:rPr>
            </w:pPr>
          </w:p>
        </w:tc>
        <w:tc>
          <w:tcPr>
            <w:tcW w:w="1420" w:type="dxa"/>
            <w:vAlign w:val="bottom"/>
            <w:shd w:val="clear" w:color="auto" w:fill="B2D5EE"/>
          </w:tcPr>
          <w:p>
            <w:pPr>
              <w:spacing w:after="0"/>
              <w:rPr>
                <w:sz w:val="3"/>
                <w:szCs w:val="3"/>
                <w:color w:val="auto"/>
              </w:rPr>
            </w:pPr>
          </w:p>
        </w:tc>
        <w:tc>
          <w:tcPr>
            <w:tcW w:w="1580" w:type="dxa"/>
            <w:vAlign w:val="bottom"/>
            <w:shd w:val="clear" w:color="auto" w:fill="B2D5EE"/>
          </w:tcPr>
          <w:p>
            <w:pPr>
              <w:spacing w:after="0"/>
              <w:rPr>
                <w:sz w:val="3"/>
                <w:szCs w:val="3"/>
                <w:color w:val="auto"/>
              </w:rPr>
            </w:pPr>
          </w:p>
        </w:tc>
        <w:tc>
          <w:tcPr>
            <w:tcW w:w="1560" w:type="dxa"/>
            <w:vAlign w:val="bottom"/>
            <w:shd w:val="clear" w:color="auto" w:fill="B2D5EE"/>
          </w:tcPr>
          <w:p>
            <w:pPr>
              <w:spacing w:after="0"/>
              <w:rPr>
                <w:sz w:val="3"/>
                <w:szCs w:val="3"/>
                <w:color w:val="auto"/>
              </w:rPr>
            </w:pPr>
          </w:p>
        </w:tc>
        <w:tc>
          <w:tcPr>
            <w:tcW w:w="1220" w:type="dxa"/>
            <w:vAlign w:val="bottom"/>
            <w:shd w:val="clear" w:color="auto" w:fill="B2D5EE"/>
          </w:tcPr>
          <w:p>
            <w:pPr>
              <w:spacing w:after="0"/>
              <w:rPr>
                <w:sz w:val="3"/>
                <w:szCs w:val="3"/>
                <w:color w:val="auto"/>
              </w:rPr>
            </w:pPr>
          </w:p>
        </w:tc>
      </w:tr>
    </w:tbl>
    <w:p>
      <w:pPr>
        <w:spacing w:after="0" w:line="58"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 of common stock.</w:t>
      </w:r>
    </w:p>
    <w:p>
      <w:pPr>
        <w:spacing w:after="0" w:line="15"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shares described as “owned” are shares of our common stock directly or indirectly owned by each listed person, rounded up to the nearest whole share.</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options exercisable and RSUs that will vest within 60 days of the Ownership Date.</w:t>
      </w:r>
    </w:p>
    <w:p>
      <w:pPr>
        <w:spacing w:after="0" w:line="1" w:lineRule="exact"/>
        <w:rPr>
          <w:rFonts w:ascii="Arial" w:cs="Arial" w:eastAsia="Arial" w:hAnsi="Arial"/>
          <w:sz w:val="14"/>
          <w:szCs w:val="14"/>
          <w:color w:val="auto"/>
        </w:rPr>
      </w:pPr>
    </w:p>
    <w:p>
      <w:pPr>
        <w:ind w:left="540" w:right="300" w:hanging="424"/>
        <w:spacing w:after="0" w:line="264"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calculation of percentages is based upon 147,637,117 shares outstanding on April 21, 2026, plus for each of the individuals listed above the shares subject to RSUs that will vest within 60 days of the Ownership Date, as reflected in the column under the heading “Shares Subject to Options and Stock Units.”</w:t>
      </w:r>
    </w:p>
    <w:p>
      <w:pPr>
        <w:sectPr>
          <w:pgSz w:w="11900" w:h="16838" w:orient="portrait"/>
          <w:cols w:equalWidth="0" w:num="1">
            <w:col w:w="11140"/>
          </w:cols>
          <w:pgMar w:left="320" w:top="482" w:right="439" w:bottom="1440" w:gutter="0" w:footer="0" w:header="0"/>
        </w:sectPr>
      </w:pPr>
    </w:p>
    <w:p>
      <w:pPr>
        <w:spacing w:after="0" w:line="11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-23-</w:t>
      </w:r>
    </w:p>
    <w:p>
      <w:pPr>
        <w:sectPr>
          <w:pgSz w:w="11900" w:h="16838" w:orient="portrait"/>
          <w:cols w:equalWidth="0" w:num="1">
            <w:col w:w="11140"/>
          </w:cols>
          <w:pgMar w:left="320" w:top="482" w:right="4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640"/>
        <w:spacing w:after="0"/>
        <w:rPr>
          <w:sz w:val="20"/>
          <w:szCs w:val="20"/>
          <w:color w:val="auto"/>
        </w:rPr>
      </w:pPr>
      <w:r>
        <w:rPr>
          <w:rFonts w:ascii="Arial" w:cs="Arial" w:eastAsia="Arial" w:hAnsi="Arial"/>
          <w:sz w:val="19"/>
          <w:szCs w:val="19"/>
          <w:color w:val="0075C9"/>
        </w:rPr>
        <w:t>Stock Ownership</w:t>
      </w:r>
    </w:p>
    <w:p>
      <w:pPr>
        <w:spacing w:after="0" w:line="158" w:lineRule="exact"/>
        <w:rPr>
          <w:sz w:val="20"/>
          <w:szCs w:val="20"/>
          <w:color w:val="auto"/>
        </w:rPr>
      </w:pPr>
    </w:p>
    <w:p>
      <w:pPr>
        <w:ind w:left="540" w:right="220" w:hanging="424"/>
        <w:spacing w:after="0" w:line="25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solely on information as of September 30, 2025, contained in a Schedule 13G/A filed with the SEC by PRIMECAP Management Company on November 13, 2025, which also indicates that it has sole voting power over 14,859,187 shares and sole dispositive power over 14,954,697 shares.</w:t>
      </w:r>
    </w:p>
    <w:p>
      <w:pPr>
        <w:spacing w:after="0" w:line="1" w:lineRule="exact"/>
        <w:rPr>
          <w:rFonts w:ascii="Arial" w:cs="Arial" w:eastAsia="Arial" w:hAnsi="Arial"/>
          <w:sz w:val="14"/>
          <w:szCs w:val="14"/>
          <w:color w:val="auto"/>
        </w:rPr>
      </w:pPr>
    </w:p>
    <w:p>
      <w:pPr>
        <w:ind w:left="540" w:right="100" w:hanging="424"/>
        <w:spacing w:after="0" w:line="24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solely on information as of March 31, 2025, contained in a Schedule 13G/A filed with the SEC by BlackRock, Inc. on April 17, 2025, which also indicates that it has sole voting power with respect to 11,125,519 shares and sole dispositive power with respect to 12,506,681 shares.</w:t>
      </w:r>
    </w:p>
    <w:p>
      <w:pPr>
        <w:jc w:val="both"/>
        <w:ind w:left="540" w:right="100" w:hanging="424"/>
        <w:spacing w:after="0" w:line="24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solely on information as of December 31, 2025, contained in a Schedule 13G filed with the SEC by FMR LLC on February 5, 2026, which also indicates that it has sole voting power over 8,291,794.64 shares and sole dispositive power with respect to 9,413,062.03 shares, shared voting power with respect to 179,337 shares and shared dispositive power with respect to 644,208 shares.</w:t>
      </w:r>
    </w:p>
    <w:p>
      <w:pPr>
        <w:spacing w:after="0" w:line="1" w:lineRule="exact"/>
        <w:rPr>
          <w:rFonts w:ascii="Arial" w:cs="Arial" w:eastAsia="Arial" w:hAnsi="Arial"/>
          <w:sz w:val="14"/>
          <w:szCs w:val="14"/>
          <w:color w:val="auto"/>
        </w:rPr>
      </w:pPr>
    </w:p>
    <w:p>
      <w:pPr>
        <w:ind w:left="540" w:right="300" w:hanging="424"/>
        <w:spacing w:after="0" w:line="24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solely on information as of September 30, 2025, contained in a Schedule 13G filed with the SEC by State Street Corporation on November 10, 2025, which also indicates that it has shared voting power with respect to 4,670,711 shares and shared dispositive power with respect to 7,319,749 shares.</w:t>
      </w:r>
    </w:p>
    <w:p>
      <w:pPr>
        <w:ind w:left="540" w:hanging="424"/>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McDonnell retired from the company on March 1, 2025.</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20,082 shares held in an irrevocable trust for the benefit of Ms. Alexander’s children. Ms. Alexander’s spouse is the trustee of the trust.</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Ms. Dorsa is retiring from the Board, effective as of the 2026 Annual Meeting.</w:t>
      </w:r>
    </w:p>
    <w:p>
      <w:pPr>
        <w:spacing w:after="0" w:line="1" w:lineRule="exact"/>
        <w:rPr>
          <w:rFonts w:ascii="Arial" w:cs="Arial" w:eastAsia="Arial" w:hAnsi="Arial"/>
          <w:sz w:val="14"/>
          <w:szCs w:val="14"/>
          <w:color w:val="auto"/>
        </w:rPr>
      </w:pPr>
    </w:p>
    <w:p>
      <w:pPr>
        <w:ind w:left="540" w:hanging="424"/>
        <w:spacing w:after="0" w:line="243"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We believe that certain subsidiaries or business divisions of subsidiaries of The Vanguard Group collectively own approximately 16,677,806 shares of our common stock. Based on the Schedule 13G/A filed by The Vanguard Group with the SEC on March 26, 2026, as of March 13, 2026, The Vanguard Group had sole dispositive power with respect to 0 shares, shared voting power with respect to 0 shares, sole dispositive power over 0 shares and shared dispositive power over 0 shares as a result of an internal realignment. That Schedule 13G/A further reported that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While to date no Vanguard subsidiaries or business divisions have reported beneficial ownership separately from The Vanguard Group, the last Schedule 13G/A filed by the Vanguard Group with the SEC on November 12, 2024 reported that, as of September 30, 2024, The Vanguard Group had sole dispositive power with respect to 16,033,598 shares, shared voting power with respect to 179,337 shares, shared dispositive power with respect to 644,208 shares, and beneficially owned approximately 16,677,806 shares of common stock in the aggregate.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Delinquent Section 16(a) Reports</w:t>
      </w:r>
    </w:p>
    <w:p>
      <w:pPr>
        <w:spacing w:after="0" w:line="108"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Section 16(a) of the Exchange Act requires our directors, officers and beneficial owners of 10% or more of our common stock to file reports with the SEC. We assist our directors and officers by monitoring transactions and completing and filing these reports on their behalf. Based on our records and other information, we believe that all reports, except one, that were required to be filed under Section 16(a) during 2025 were timely filed. A Form 4 filing for Rachid Izzar disclosing one transaction was inadvertently filed late due to administrative error.</w:t>
      </w:r>
    </w:p>
    <w:p>
      <w:pPr>
        <w:spacing w:after="0" w:line="12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-24-</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2720"/>
        <w:spacing w:after="0"/>
        <w:rPr>
          <w:sz w:val="20"/>
          <w:szCs w:val="20"/>
          <w:color w:val="auto"/>
        </w:rPr>
      </w:pPr>
      <w:r>
        <w:rPr>
          <w:rFonts w:ascii="Arial" w:cs="Arial" w:eastAsia="Arial" w:hAnsi="Arial"/>
          <w:sz w:val="19"/>
          <w:szCs w:val="19"/>
          <w:color w:val="0075C9"/>
        </w:rPr>
        <w:t>Proposal 2 – Ratification of the Selection of Our Independent Registered Public Accounting Firm</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Proposal 2 – Ratification of the Selection of Our Independent Registered Public Accounting Firm</w:t>
      </w:r>
    </w:p>
    <w:p>
      <w:pPr>
        <w:spacing w:after="0" w:line="108"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Our Audit Committee is directly responsible for the appointment, compensation, retention, evaluation and oversight of the independent registered public accounting firm retained to audit our consolidated financial statements. Our Audit Committee has selected PricewaterhouseCoopers LLP as our independent registered public accounting firm for the fiscal year ending December 31, 2026. PwC has served as our independent registered public accounting firm since 2003.</w:t>
      </w:r>
    </w:p>
    <w:p>
      <w:pPr>
        <w:spacing w:after="0" w:line="70"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auto"/>
        </w:rPr>
        <w:t>To assure continuing auditor independence, our Audit Committee periodically considers whether there should be a rotation of the independent registered public accounting firm. Additionally, in accordance with SEC rules and PwC policies, audit partners are subject to rotation requirements to limit the number of consecutive years an individual partner may provide audit services to our company. For lead and concurring review partners, the maximum number of consecutive years of service in that capacity is five years. Further, in conjunction with the rotation of the auditing firm’s lead engagement partner required by applicable SEC rules and PwC policies, our Audit Committee and its Chair has in the past been, and in the future will be, directly involved in the selection of PwC’s new lead engagement partner. Our Audit Committee believes at this time that the continued retention of PwC to serve as our independent registered public accounting firm is in the best interest of Biogen and its stockholders.</w:t>
      </w:r>
    </w:p>
    <w:p>
      <w:pPr>
        <w:spacing w:after="0" w:line="73"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affirmative vote of a majority of the total number of votes having voting power present or represented by proxy at the Annual Meeting and entitled to vote on the proposal is required to ratify the selection of PwC as our independent registered public accounting firm. Abstentions will have the effect of votes against the proposal. Brokers generally have discretionary authority to vote on the ratification of the selection of our independent registered public accounting firm, thus we do not expect any broker non-votes on this proposal. Although stockholder approval of our Audit Committee’s selection of PwC is not required, our Board believes that it is a matter of good corporate practice to solicit stockholder ratification of this selection. If our stockholders do not ratify the selection of PwC as our independent registered public accounting firm, our Audit Committee will reconsider its selection. Even if the selection is ratified, our Audit Committee always has the ability to change the engagement of PwC if it considers that a change is in Biogen’s best interest. Representatives of PwC will participate in the Annual Meeting, have the opportunity to make a statement if they so desire and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141605</wp:posOffset>
            </wp:positionV>
            <wp:extent cx="6998970" cy="4330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8970" cy="433070"/>
                    </a:xfrm>
                    <a:prstGeom prst="rect">
                      <a:avLst/>
                    </a:prstGeom>
                    <a:noFill/>
                  </pic:spPr>
                </pic:pic>
              </a:graphicData>
            </a:graphic>
          </wp:anchor>
        </w:drawing>
      </w:r>
    </w:p>
    <w:p>
      <w:pPr>
        <w:spacing w:after="0" w:line="235" w:lineRule="exact"/>
        <w:rPr>
          <w:sz w:val="20"/>
          <w:szCs w:val="20"/>
          <w:color w:val="auto"/>
        </w:rPr>
      </w:pPr>
    </w:p>
    <w:p>
      <w:pPr>
        <w:jc w:val="center"/>
        <w:ind w:left="420" w:right="1500"/>
        <w:spacing w:after="0" w:line="270" w:lineRule="auto"/>
        <w:rPr>
          <w:sz w:val="20"/>
          <w:szCs w:val="20"/>
          <w:color w:val="auto"/>
        </w:rPr>
      </w:pPr>
      <w:r>
        <w:rPr>
          <w:rFonts w:ascii="Arial" w:cs="Arial" w:eastAsia="Arial" w:hAnsi="Arial"/>
          <w:sz w:val="16"/>
          <w:szCs w:val="16"/>
          <w:b w:val="1"/>
          <w:bCs w:val="1"/>
          <w:i w:val="1"/>
          <w:iCs w:val="1"/>
          <w:color w:val="auto"/>
        </w:rPr>
        <w:t xml:space="preserve">OUR BOARD OF DIRECTORS RECOMMENDS THAT STOCKHOLDERS VOTE </w:t>
      </w:r>
      <w:r>
        <w:rPr>
          <w:rFonts w:ascii="Arial" w:cs="Arial" w:eastAsia="Arial" w:hAnsi="Arial"/>
          <w:sz w:val="16"/>
          <w:szCs w:val="16"/>
          <w:b w:val="1"/>
          <w:bCs w:val="1"/>
          <w:i w:val="1"/>
          <w:iCs w:val="1"/>
          <w:color w:val="0075C9"/>
        </w:rPr>
        <w:t>FOR</w:t>
      </w:r>
      <w:r>
        <w:rPr>
          <w:rFonts w:ascii="Arial" w:cs="Arial" w:eastAsia="Arial" w:hAnsi="Arial"/>
          <w:sz w:val="16"/>
          <w:szCs w:val="16"/>
          <w:b w:val="1"/>
          <w:bCs w:val="1"/>
          <w:i w:val="1"/>
          <w:iCs w:val="1"/>
          <w:color w:val="auto"/>
        </w:rPr>
        <w:t xml:space="preserve"> THE RATIFICATION OF THE SELECTION OF PRICEWATERHOUSECOOPERS LLP AS OUR INDEPENDENT REGISTERED PUBLIC ACCOUNTING FIRM FOR THE FISCAL YEAR ENDING DECEMBER 31, 2026.</w:t>
      </w:r>
    </w:p>
    <w:p>
      <w:pPr>
        <w:spacing w:after="0" w:line="17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4541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19735" cy="145415"/>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-25-</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Proposal 2 – Ratification of the Selection of Our Independent Registered Public Accounting Firm</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color w:val="0075C9"/>
        </w:rPr>
        <w:t>Audit Committee Report</w:t>
      </w:r>
    </w:p>
    <w:p>
      <w:pPr>
        <w:spacing w:after="0" w:line="110"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 xml:space="preserve">The Audit Committee’s role is to act on behalf of our Board in the oversight of Biogen’s financial reporting, internal control and audit functions. The roles and responsibilities of the Audit Committee are set forth in the written charter adopted by our Board, which is posted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“Corporate Governance” subsection of the “Investors” section of the website. Management has primary responsibility for the financial statements and the reporting process, including the systems of internal control.</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fulfilling its oversight responsibilities, the Audit Committee, among other things:</w:t>
      </w:r>
    </w:p>
    <w:p>
      <w:pPr>
        <w:spacing w:after="0" w:line="127" w:lineRule="exact"/>
        <w:rPr>
          <w:sz w:val="20"/>
          <w:szCs w:val="20"/>
          <w:color w:val="auto"/>
        </w:rPr>
      </w:pPr>
    </w:p>
    <w:p>
      <w:pPr>
        <w:ind w:left="440" w:hanging="324"/>
        <w:spacing w:after="0"/>
        <w:tabs>
          <w:tab w:leader="none" w:pos="440" w:val="left"/>
        </w:tabs>
        <w:numPr>
          <w:ilvl w:val="0"/>
          <w:numId w:val="76"/>
        </w:numPr>
        <w:rPr>
          <w:rFonts w:ascii="Arial" w:cs="Arial" w:eastAsia="Arial" w:hAnsi="Arial"/>
          <w:sz w:val="16"/>
          <w:szCs w:val="16"/>
          <w:color w:val="0075C9"/>
        </w:rPr>
      </w:pPr>
      <w:r>
        <w:rPr>
          <w:rFonts w:ascii="Arial" w:cs="Arial" w:eastAsia="Arial" w:hAnsi="Arial"/>
          <w:sz w:val="16"/>
          <w:szCs w:val="16"/>
          <w:color w:val="auto"/>
        </w:rPr>
        <w:t>Reviewed and discussed with management the audited consolidated financial statements contained in Biogen’s 2025 Annual Report on Form 10-K;</w:t>
      </w:r>
    </w:p>
    <w:p>
      <w:pPr>
        <w:spacing w:after="0" w:line="126" w:lineRule="exact"/>
        <w:rPr>
          <w:rFonts w:ascii="Arial" w:cs="Arial" w:eastAsia="Arial" w:hAnsi="Arial"/>
          <w:sz w:val="16"/>
          <w:szCs w:val="16"/>
          <w:color w:val="0075C9"/>
        </w:rPr>
      </w:pPr>
    </w:p>
    <w:p>
      <w:pPr>
        <w:ind w:left="440" w:hanging="324"/>
        <w:spacing w:after="0"/>
        <w:tabs>
          <w:tab w:leader="none" w:pos="440" w:val="left"/>
        </w:tabs>
        <w:numPr>
          <w:ilvl w:val="0"/>
          <w:numId w:val="76"/>
        </w:numPr>
        <w:rPr>
          <w:rFonts w:ascii="Arial" w:cs="Arial" w:eastAsia="Arial" w:hAnsi="Arial"/>
          <w:sz w:val="16"/>
          <w:szCs w:val="16"/>
          <w:color w:val="0075C9"/>
        </w:rPr>
      </w:pPr>
      <w:r>
        <w:rPr>
          <w:rFonts w:ascii="Arial" w:cs="Arial" w:eastAsia="Arial" w:hAnsi="Arial"/>
          <w:sz w:val="16"/>
          <w:szCs w:val="16"/>
          <w:color w:val="auto"/>
        </w:rPr>
        <w:t>Discussed with PwC, Biogen’s independent registered public accounting firm, the overall scope and plans for the audit;</w:t>
      </w:r>
    </w:p>
    <w:p>
      <w:pPr>
        <w:spacing w:after="0" w:line="126" w:lineRule="exact"/>
        <w:rPr>
          <w:rFonts w:ascii="Arial" w:cs="Arial" w:eastAsia="Arial" w:hAnsi="Arial"/>
          <w:sz w:val="16"/>
          <w:szCs w:val="16"/>
          <w:color w:val="0075C9"/>
        </w:rPr>
      </w:pPr>
    </w:p>
    <w:p>
      <w:pPr>
        <w:ind w:left="440" w:right="220" w:hanging="324"/>
        <w:spacing w:after="0" w:line="256" w:lineRule="auto"/>
        <w:tabs>
          <w:tab w:leader="none" w:pos="440" w:val="left"/>
        </w:tabs>
        <w:numPr>
          <w:ilvl w:val="0"/>
          <w:numId w:val="76"/>
        </w:numPr>
        <w:rPr>
          <w:rFonts w:ascii="Arial" w:cs="Arial" w:eastAsia="Arial" w:hAnsi="Arial"/>
          <w:sz w:val="16"/>
          <w:szCs w:val="16"/>
          <w:color w:val="0075C9"/>
        </w:rPr>
      </w:pPr>
      <w:r>
        <w:rPr>
          <w:rFonts w:ascii="Arial" w:cs="Arial" w:eastAsia="Arial" w:hAnsi="Arial"/>
          <w:sz w:val="16"/>
          <w:szCs w:val="16"/>
          <w:color w:val="auto"/>
        </w:rPr>
        <w:t>Met with PwC, with and without management present, to discuss the results of its examination, management’s response to any significant findings, its observations of Biogen’s internal control, the overall quality of Biogen’s financial reporting, the selection, application and disclosure of critical accounting policies, new accounting developments and accounting-related disclosures, the key accounting judgments and assumptions made in preparing the financial statements and whether the financial statements would have materially changed had different judgments and assumptions been made and other pertinent items related to Biogen’s accounting, internal control and financial reporting;</w:t>
      </w:r>
    </w:p>
    <w:p>
      <w:pPr>
        <w:spacing w:after="0" w:line="85" w:lineRule="exact"/>
        <w:rPr>
          <w:rFonts w:ascii="Arial" w:cs="Arial" w:eastAsia="Arial" w:hAnsi="Arial"/>
          <w:sz w:val="16"/>
          <w:szCs w:val="16"/>
          <w:color w:val="0075C9"/>
        </w:rPr>
      </w:pPr>
    </w:p>
    <w:p>
      <w:pPr>
        <w:ind w:left="440" w:right="220" w:hanging="324"/>
        <w:spacing w:after="0" w:line="286" w:lineRule="auto"/>
        <w:tabs>
          <w:tab w:leader="none" w:pos="440" w:val="left"/>
        </w:tabs>
        <w:numPr>
          <w:ilvl w:val="0"/>
          <w:numId w:val="76"/>
        </w:numPr>
        <w:rPr>
          <w:rFonts w:ascii="Arial" w:cs="Arial" w:eastAsia="Arial" w:hAnsi="Arial"/>
          <w:sz w:val="16"/>
          <w:szCs w:val="16"/>
          <w:color w:val="0075C9"/>
        </w:rPr>
      </w:pPr>
      <w:r>
        <w:rPr>
          <w:rFonts w:ascii="Arial" w:cs="Arial" w:eastAsia="Arial" w:hAnsi="Arial"/>
          <w:sz w:val="16"/>
          <w:szCs w:val="16"/>
          <w:color w:val="auto"/>
        </w:rPr>
        <w:t>Discussed with representatives of Biogen’s corporate internal audit staff, with and without management present, their purpose, authority, audit plan and reports;</w:t>
      </w:r>
    </w:p>
    <w:p>
      <w:pPr>
        <w:spacing w:after="0" w:line="61" w:lineRule="exact"/>
        <w:rPr>
          <w:rFonts w:ascii="Arial" w:cs="Arial" w:eastAsia="Arial" w:hAnsi="Arial"/>
          <w:sz w:val="16"/>
          <w:szCs w:val="16"/>
          <w:color w:val="0075C9"/>
        </w:rPr>
      </w:pPr>
    </w:p>
    <w:p>
      <w:pPr>
        <w:ind w:left="440" w:hanging="324"/>
        <w:spacing w:after="0"/>
        <w:tabs>
          <w:tab w:leader="none" w:pos="440" w:val="left"/>
        </w:tabs>
        <w:numPr>
          <w:ilvl w:val="0"/>
          <w:numId w:val="76"/>
        </w:numPr>
        <w:rPr>
          <w:rFonts w:ascii="Arial" w:cs="Arial" w:eastAsia="Arial" w:hAnsi="Arial"/>
          <w:sz w:val="16"/>
          <w:szCs w:val="16"/>
          <w:color w:val="0075C9"/>
        </w:rPr>
      </w:pPr>
      <w:r>
        <w:rPr>
          <w:rFonts w:ascii="Arial" w:cs="Arial" w:eastAsia="Arial" w:hAnsi="Arial"/>
          <w:sz w:val="16"/>
          <w:szCs w:val="16"/>
          <w:color w:val="auto"/>
        </w:rPr>
        <w:t>Reviewed and discussed with PwC the matters required by the Public Company Accounting Oversight Board and the SEC;</w:t>
      </w:r>
    </w:p>
    <w:p>
      <w:pPr>
        <w:spacing w:after="0" w:line="126" w:lineRule="exact"/>
        <w:rPr>
          <w:rFonts w:ascii="Arial" w:cs="Arial" w:eastAsia="Arial" w:hAnsi="Arial"/>
          <w:sz w:val="16"/>
          <w:szCs w:val="16"/>
          <w:color w:val="0075C9"/>
        </w:rPr>
      </w:pPr>
    </w:p>
    <w:p>
      <w:pPr>
        <w:ind w:left="440" w:right="80" w:hanging="324"/>
        <w:spacing w:after="0" w:line="266" w:lineRule="auto"/>
        <w:tabs>
          <w:tab w:leader="none" w:pos="440" w:val="left"/>
        </w:tabs>
        <w:numPr>
          <w:ilvl w:val="0"/>
          <w:numId w:val="76"/>
        </w:numPr>
        <w:rPr>
          <w:rFonts w:ascii="Arial" w:cs="Arial" w:eastAsia="Arial" w:hAnsi="Arial"/>
          <w:sz w:val="16"/>
          <w:szCs w:val="16"/>
          <w:color w:val="0075C9"/>
        </w:rPr>
      </w:pPr>
      <w:r>
        <w:rPr>
          <w:rFonts w:ascii="Arial" w:cs="Arial" w:eastAsia="Arial" w:hAnsi="Arial"/>
          <w:sz w:val="16"/>
          <w:szCs w:val="16"/>
          <w:color w:val="auto"/>
        </w:rPr>
        <w:t>Discussed with PwC its independence from management and Biogen, including the written disclosures and letter concerning independence received from PwC under applicable requirements of the Public Company Accounting Oversight Board. The Audit Committee has determined that the provision of non-audit services to Biogen by PwC is compatible with its independence;</w:t>
      </w:r>
    </w:p>
    <w:p>
      <w:pPr>
        <w:spacing w:after="0" w:line="76" w:lineRule="exact"/>
        <w:rPr>
          <w:rFonts w:ascii="Arial" w:cs="Arial" w:eastAsia="Arial" w:hAnsi="Arial"/>
          <w:sz w:val="16"/>
          <w:szCs w:val="16"/>
          <w:color w:val="0075C9"/>
        </w:rPr>
      </w:pPr>
    </w:p>
    <w:p>
      <w:pPr>
        <w:ind w:left="440" w:right="500" w:hanging="324"/>
        <w:spacing w:after="0" w:line="266" w:lineRule="auto"/>
        <w:tabs>
          <w:tab w:leader="none" w:pos="440" w:val="left"/>
        </w:tabs>
        <w:numPr>
          <w:ilvl w:val="0"/>
          <w:numId w:val="76"/>
        </w:numPr>
        <w:rPr>
          <w:rFonts w:ascii="Arial" w:cs="Arial" w:eastAsia="Arial" w:hAnsi="Arial"/>
          <w:sz w:val="16"/>
          <w:szCs w:val="16"/>
          <w:color w:val="0075C9"/>
        </w:rPr>
      </w:pPr>
      <w:r>
        <w:rPr>
          <w:rFonts w:ascii="Arial" w:cs="Arial" w:eastAsia="Arial" w:hAnsi="Arial"/>
          <w:sz w:val="16"/>
          <w:szCs w:val="16"/>
          <w:color w:val="auto"/>
        </w:rPr>
        <w:t>Provided oversight and advice to management in connection with Biogen’s system of internal control over financial reporting in response to the requirements set forth in Section 404 of the Sarbanes-Oxley Act of 2002 and related regulations. In connection with this oversight, the Audit Committee reviewed a report by management on the effectiveness of Biogen’s internal control over financial reporting; and</w:t>
      </w:r>
    </w:p>
    <w:p>
      <w:pPr>
        <w:spacing w:after="0" w:line="76" w:lineRule="exact"/>
        <w:rPr>
          <w:rFonts w:ascii="Arial" w:cs="Arial" w:eastAsia="Arial" w:hAnsi="Arial"/>
          <w:sz w:val="16"/>
          <w:szCs w:val="16"/>
          <w:color w:val="0075C9"/>
        </w:rPr>
      </w:pPr>
    </w:p>
    <w:p>
      <w:pPr>
        <w:ind w:left="440" w:right="320" w:hanging="324"/>
        <w:spacing w:after="0" w:line="286" w:lineRule="auto"/>
        <w:tabs>
          <w:tab w:leader="none" w:pos="440" w:val="left"/>
        </w:tabs>
        <w:numPr>
          <w:ilvl w:val="0"/>
          <w:numId w:val="76"/>
        </w:numPr>
        <w:rPr>
          <w:rFonts w:ascii="Arial" w:cs="Arial" w:eastAsia="Arial" w:hAnsi="Arial"/>
          <w:sz w:val="16"/>
          <w:szCs w:val="16"/>
          <w:color w:val="0075C9"/>
        </w:rPr>
      </w:pPr>
      <w:r>
        <w:rPr>
          <w:rFonts w:ascii="Arial" w:cs="Arial" w:eastAsia="Arial" w:hAnsi="Arial"/>
          <w:sz w:val="16"/>
          <w:szCs w:val="16"/>
          <w:color w:val="auto"/>
        </w:rPr>
        <w:t>Reviewed PwC’s Report of Independent Registered Public Accounting Firm included in Biogen’s 2025 Annual Report on Form 10-K, related to its audit of the effectiveness of internal control over financial reporting.</w:t>
      </w:r>
    </w:p>
    <w:p>
      <w:pPr>
        <w:spacing w:after="0" w:line="48"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In reliance on these reviews and discussions, the Audit Committee recommended to our Board that the audited consolidated financial statements be included in Biogen’s 2025 Annual Report on Form 10-K, for filing with the SEC.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22"/>
          <w:szCs w:val="22"/>
          <w:color w:val="0075C9"/>
        </w:rPr>
        <w:t>The Audit Committee of our Board of Directors: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Monish Patolawala (Chair)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William A. Hawkins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Lloyd Minor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Stephen A. Sherwin,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-26-</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Proposal 2 – Ratification of the Selection of Our Independent Registered Public Accounting Firm</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color w:val="0075C9"/>
        </w:rPr>
        <w:t>Audit and Other Fees</w:t>
      </w:r>
    </w:p>
    <w:p>
      <w:pPr>
        <w:spacing w:after="0" w:line="110"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The following table shows fees for professional audit services billed to us by PwC for the audit of our annual consolidated financial statements for the years ended December 31, 2025, and December 31, 2024, and fees billed to us by PwC for other services provided during 2025 and 2024:</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6620" w:type="dxa"/>
            <w:vAlign w:val="bottom"/>
            <w:shd w:val="clear" w:color="auto" w:fill="0075C9"/>
          </w:tcPr>
          <w:p>
            <w:pPr>
              <w:spacing w:after="0"/>
              <w:rPr>
                <w:sz w:val="20"/>
                <w:szCs w:val="20"/>
                <w:color w:val="auto"/>
              </w:rPr>
            </w:pPr>
            <w:r>
              <w:rPr>
                <w:rFonts w:ascii="Arial" w:cs="Arial" w:eastAsia="Arial" w:hAnsi="Arial"/>
                <w:sz w:val="14"/>
                <w:szCs w:val="14"/>
                <w:color w:val="FFFFFF"/>
              </w:rPr>
              <w:t>  Fees</w:t>
            </w:r>
          </w:p>
        </w:tc>
        <w:tc>
          <w:tcPr>
            <w:tcW w:w="500" w:type="dxa"/>
            <w:vAlign w:val="bottom"/>
            <w:shd w:val="clear" w:color="auto" w:fill="0075C9"/>
          </w:tcPr>
          <w:p>
            <w:pPr>
              <w:spacing w:after="0"/>
              <w:rPr>
                <w:sz w:val="18"/>
                <w:szCs w:val="18"/>
                <w:color w:val="auto"/>
              </w:rPr>
            </w:pPr>
          </w:p>
        </w:tc>
        <w:tc>
          <w:tcPr>
            <w:tcW w:w="140" w:type="dxa"/>
            <w:vAlign w:val="bottom"/>
            <w:shd w:val="clear" w:color="auto" w:fill="0075C9"/>
          </w:tcPr>
          <w:p>
            <w:pPr>
              <w:spacing w:after="0"/>
              <w:rPr>
                <w:sz w:val="18"/>
                <w:szCs w:val="18"/>
                <w:color w:val="auto"/>
              </w:rPr>
            </w:pPr>
          </w:p>
        </w:tc>
        <w:tc>
          <w:tcPr>
            <w:tcW w:w="160" w:type="dxa"/>
            <w:vAlign w:val="bottom"/>
            <w:shd w:val="clear" w:color="auto" w:fill="0075C9"/>
          </w:tcPr>
          <w:p>
            <w:pPr>
              <w:spacing w:after="0"/>
              <w:rPr>
                <w:sz w:val="18"/>
                <w:szCs w:val="18"/>
                <w:color w:val="auto"/>
              </w:rPr>
            </w:pPr>
          </w:p>
        </w:tc>
        <w:tc>
          <w:tcPr>
            <w:tcW w:w="760" w:type="dxa"/>
            <w:vAlign w:val="bottom"/>
            <w:shd w:val="clear" w:color="auto" w:fill="0075C9"/>
          </w:tcPr>
          <w:p>
            <w:pPr>
              <w:spacing w:after="0"/>
              <w:rPr>
                <w:sz w:val="18"/>
                <w:szCs w:val="18"/>
                <w:color w:val="auto"/>
              </w:rPr>
            </w:pPr>
          </w:p>
        </w:tc>
        <w:tc>
          <w:tcPr>
            <w:tcW w:w="160" w:type="dxa"/>
            <w:vAlign w:val="bottom"/>
            <w:shd w:val="clear" w:color="auto" w:fill="0075C9"/>
          </w:tcPr>
          <w:p>
            <w:pPr>
              <w:spacing w:after="0"/>
              <w:rPr>
                <w:sz w:val="18"/>
                <w:szCs w:val="18"/>
                <w:color w:val="auto"/>
              </w:rPr>
            </w:pPr>
          </w:p>
        </w:tc>
        <w:tc>
          <w:tcPr>
            <w:tcW w:w="460" w:type="dxa"/>
            <w:vAlign w:val="bottom"/>
            <w:shd w:val="clear" w:color="auto" w:fill="0075C9"/>
          </w:tcPr>
          <w:p>
            <w:pPr>
              <w:spacing w:after="0"/>
              <w:rPr>
                <w:sz w:val="18"/>
                <w:szCs w:val="18"/>
                <w:color w:val="auto"/>
              </w:rPr>
            </w:pPr>
          </w:p>
        </w:tc>
        <w:tc>
          <w:tcPr>
            <w:tcW w:w="520" w:type="dxa"/>
            <w:vAlign w:val="bottom"/>
            <w:shd w:val="clear" w:color="auto" w:fill="0075C9"/>
          </w:tcPr>
          <w:p>
            <w:pPr>
              <w:spacing w:after="0"/>
              <w:rPr>
                <w:sz w:val="18"/>
                <w:szCs w:val="18"/>
                <w:color w:val="auto"/>
              </w:rPr>
            </w:pPr>
          </w:p>
        </w:tc>
        <w:tc>
          <w:tcPr>
            <w:tcW w:w="140" w:type="dxa"/>
            <w:vAlign w:val="bottom"/>
            <w:shd w:val="clear" w:color="auto" w:fill="0075C9"/>
          </w:tcPr>
          <w:p>
            <w:pPr>
              <w:spacing w:after="0"/>
              <w:rPr>
                <w:sz w:val="18"/>
                <w:szCs w:val="18"/>
                <w:color w:val="auto"/>
              </w:rPr>
            </w:pPr>
          </w:p>
        </w:tc>
        <w:tc>
          <w:tcPr>
            <w:tcW w:w="160" w:type="dxa"/>
            <w:vAlign w:val="bottom"/>
            <w:shd w:val="clear" w:color="auto" w:fill="0075C9"/>
          </w:tcPr>
          <w:p>
            <w:pPr>
              <w:spacing w:after="0"/>
              <w:rPr>
                <w:sz w:val="18"/>
                <w:szCs w:val="18"/>
                <w:color w:val="auto"/>
              </w:rPr>
            </w:pPr>
          </w:p>
        </w:tc>
        <w:tc>
          <w:tcPr>
            <w:tcW w:w="760" w:type="dxa"/>
            <w:vAlign w:val="bottom"/>
            <w:shd w:val="clear" w:color="auto" w:fill="0075C9"/>
          </w:tcPr>
          <w:p>
            <w:pPr>
              <w:spacing w:after="0"/>
              <w:rPr>
                <w:sz w:val="18"/>
                <w:szCs w:val="18"/>
                <w:color w:val="auto"/>
              </w:rPr>
            </w:pPr>
          </w:p>
        </w:tc>
        <w:tc>
          <w:tcPr>
            <w:tcW w:w="160" w:type="dxa"/>
            <w:vAlign w:val="bottom"/>
            <w:shd w:val="clear" w:color="auto" w:fill="0075C9"/>
          </w:tcPr>
          <w:p>
            <w:pPr>
              <w:spacing w:after="0"/>
              <w:rPr>
                <w:sz w:val="18"/>
                <w:szCs w:val="18"/>
                <w:color w:val="auto"/>
              </w:rPr>
            </w:pPr>
          </w:p>
        </w:tc>
        <w:tc>
          <w:tcPr>
            <w:tcW w:w="480" w:type="dxa"/>
            <w:vAlign w:val="bottom"/>
            <w:shd w:val="clear" w:color="auto" w:fill="0075C9"/>
          </w:tcPr>
          <w:p>
            <w:pPr>
              <w:spacing w:after="0"/>
              <w:rPr>
                <w:sz w:val="18"/>
                <w:szCs w:val="18"/>
                <w:color w:val="auto"/>
              </w:rPr>
            </w:pPr>
          </w:p>
        </w:tc>
      </w:tr>
      <w:tr>
        <w:trPr>
          <w:trHeight w:val="217"/>
        </w:trPr>
        <w:tc>
          <w:tcPr>
            <w:tcW w:w="662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4"/>
                <w:szCs w:val="14"/>
                <w:i w:val="1"/>
                <w:iCs w:val="1"/>
                <w:color w:val="FFFFFF"/>
              </w:rPr>
              <w:t>  (amounts in thousands)</w:t>
            </w:r>
          </w:p>
        </w:tc>
        <w:tc>
          <w:tcPr>
            <w:tcW w:w="500" w:type="dxa"/>
            <w:vAlign w:val="bottom"/>
            <w:tcBorders>
              <w:bottom w:val="single" w:sz="8" w:color="0075C9"/>
            </w:tcBorders>
            <w:shd w:val="clear" w:color="auto" w:fill="0075C9"/>
          </w:tcPr>
          <w:p>
            <w:pPr>
              <w:ind w:left="400"/>
              <w:spacing w:after="0"/>
              <w:rPr>
                <w:sz w:val="20"/>
                <w:szCs w:val="20"/>
                <w:color w:val="auto"/>
              </w:rPr>
            </w:pPr>
            <w:r>
              <w:rPr>
                <w:rFonts w:ascii="Arial" w:cs="Arial" w:eastAsia="Arial" w:hAnsi="Arial"/>
                <w:sz w:val="11"/>
                <w:szCs w:val="11"/>
                <w:color w:val="FFFFFF"/>
                <w:w w:val="72"/>
              </w:rPr>
              <w:t> </w:t>
            </w:r>
          </w:p>
        </w:tc>
        <w:tc>
          <w:tcPr>
            <w:tcW w:w="14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1"/>
                <w:szCs w:val="11"/>
                <w:color w:val="FFFFFF"/>
                <w:w w:val="72"/>
              </w:rPr>
              <w:t> </w:t>
            </w:r>
          </w:p>
        </w:tc>
        <w:tc>
          <w:tcPr>
            <w:tcW w:w="160" w:type="dxa"/>
            <w:vAlign w:val="bottom"/>
            <w:tcBorders>
              <w:bottom w:val="single" w:sz="8" w:color="0075C9"/>
            </w:tcBorders>
            <w:shd w:val="clear" w:color="auto" w:fill="0075C9"/>
          </w:tcPr>
          <w:p>
            <w:pPr>
              <w:ind w:left="60"/>
              <w:spacing w:after="0"/>
              <w:rPr>
                <w:sz w:val="20"/>
                <w:szCs w:val="20"/>
                <w:color w:val="auto"/>
              </w:rPr>
            </w:pPr>
            <w:r>
              <w:rPr>
                <w:rFonts w:ascii="Arial" w:cs="Arial" w:eastAsia="Arial" w:hAnsi="Arial"/>
                <w:sz w:val="11"/>
                <w:szCs w:val="11"/>
                <w:color w:val="FFFFFF"/>
                <w:w w:val="72"/>
              </w:rPr>
              <w:t> </w:t>
            </w:r>
          </w:p>
        </w:tc>
        <w:tc>
          <w:tcPr>
            <w:tcW w:w="76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w w:val="95"/>
              </w:rPr>
              <w:t xml:space="preserve">   2025    </w:t>
            </w:r>
          </w:p>
        </w:tc>
        <w:tc>
          <w:tcPr>
            <w:tcW w:w="160" w:type="dxa"/>
            <w:vAlign w:val="bottom"/>
            <w:tcBorders>
              <w:bottom w:val="single" w:sz="8" w:color="0075C9"/>
            </w:tcBorders>
            <w:shd w:val="clear" w:color="auto" w:fill="0075C9"/>
          </w:tcPr>
          <w:p>
            <w:pPr>
              <w:ind w:left="40"/>
              <w:spacing w:after="0"/>
              <w:rPr>
                <w:sz w:val="20"/>
                <w:szCs w:val="20"/>
                <w:color w:val="auto"/>
              </w:rPr>
            </w:pPr>
            <w:r>
              <w:rPr>
                <w:rFonts w:ascii="Arial" w:cs="Arial" w:eastAsia="Arial" w:hAnsi="Arial"/>
                <w:sz w:val="14"/>
                <w:szCs w:val="14"/>
                <w:color w:val="FFFFFF"/>
                <w:w w:val="71"/>
              </w:rPr>
              <w:t> </w:t>
            </w:r>
          </w:p>
        </w:tc>
        <w:tc>
          <w:tcPr>
            <w:tcW w:w="460" w:type="dxa"/>
            <w:vAlign w:val="bottom"/>
            <w:tcBorders>
              <w:bottom w:val="single" w:sz="8" w:color="0075C9"/>
            </w:tcBorders>
            <w:shd w:val="clear" w:color="auto" w:fill="0075C9"/>
          </w:tcPr>
          <w:p>
            <w:pPr>
              <w:ind w:left="20"/>
              <w:spacing w:after="0"/>
              <w:rPr>
                <w:sz w:val="20"/>
                <w:szCs w:val="20"/>
                <w:color w:val="auto"/>
              </w:rPr>
            </w:pPr>
            <w:r>
              <w:rPr>
                <w:rFonts w:ascii="Arial" w:cs="Arial" w:eastAsia="Arial" w:hAnsi="Arial"/>
                <w:sz w:val="14"/>
                <w:szCs w:val="14"/>
                <w:color w:val="FFFFFF"/>
              </w:rPr>
              <w:t> </w:t>
            </w:r>
          </w:p>
        </w:tc>
        <w:tc>
          <w:tcPr>
            <w:tcW w:w="520" w:type="dxa"/>
            <w:vAlign w:val="bottom"/>
            <w:tcBorders>
              <w:bottom w:val="single" w:sz="8" w:color="0075C9"/>
            </w:tcBorders>
            <w:shd w:val="clear" w:color="auto" w:fill="0075C9"/>
          </w:tcPr>
          <w:p>
            <w:pPr>
              <w:ind w:left="440"/>
              <w:spacing w:after="0"/>
              <w:rPr>
                <w:sz w:val="20"/>
                <w:szCs w:val="20"/>
                <w:color w:val="auto"/>
              </w:rPr>
            </w:pPr>
            <w:r>
              <w:rPr>
                <w:rFonts w:ascii="Arial" w:cs="Arial" w:eastAsia="Arial" w:hAnsi="Arial"/>
                <w:sz w:val="8"/>
                <w:szCs w:val="8"/>
                <w:color w:val="FFFFFF"/>
                <w:w w:val="74"/>
              </w:rPr>
              <w:t> </w:t>
            </w:r>
          </w:p>
        </w:tc>
        <w:tc>
          <w:tcPr>
            <w:tcW w:w="14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1"/>
                <w:szCs w:val="11"/>
                <w:color w:val="FFFFFF"/>
                <w:w w:val="72"/>
              </w:rPr>
              <w:t> </w:t>
            </w:r>
          </w:p>
        </w:tc>
        <w:tc>
          <w:tcPr>
            <w:tcW w:w="160" w:type="dxa"/>
            <w:vAlign w:val="bottom"/>
            <w:tcBorders>
              <w:bottom w:val="single" w:sz="8" w:color="0075C9"/>
            </w:tcBorders>
            <w:shd w:val="clear" w:color="auto" w:fill="0075C9"/>
          </w:tcPr>
          <w:p>
            <w:pPr>
              <w:ind w:left="60"/>
              <w:spacing w:after="0"/>
              <w:rPr>
                <w:sz w:val="20"/>
                <w:szCs w:val="20"/>
                <w:color w:val="auto"/>
              </w:rPr>
            </w:pPr>
            <w:r>
              <w:rPr>
                <w:rFonts w:ascii="Arial" w:cs="Arial" w:eastAsia="Arial" w:hAnsi="Arial"/>
                <w:sz w:val="11"/>
                <w:szCs w:val="11"/>
                <w:color w:val="FFFFFF"/>
                <w:w w:val="72"/>
              </w:rPr>
              <w:t> </w:t>
            </w:r>
          </w:p>
        </w:tc>
        <w:tc>
          <w:tcPr>
            <w:tcW w:w="760" w:type="dxa"/>
            <w:vAlign w:val="bottom"/>
            <w:tcBorders>
              <w:bottom w:val="single" w:sz="8" w:color="0075C9"/>
            </w:tcBorders>
            <w:shd w:val="clear" w:color="auto" w:fill="0075C9"/>
          </w:tcPr>
          <w:p>
            <w:pPr>
              <w:ind w:left="40"/>
              <w:spacing w:after="0"/>
              <w:rPr>
                <w:sz w:val="20"/>
                <w:szCs w:val="20"/>
                <w:color w:val="auto"/>
              </w:rPr>
            </w:pPr>
            <w:r>
              <w:rPr>
                <w:rFonts w:ascii="Arial" w:cs="Arial" w:eastAsia="Arial" w:hAnsi="Arial"/>
                <w:sz w:val="14"/>
                <w:szCs w:val="14"/>
                <w:color w:val="FFFFFF"/>
              </w:rPr>
              <w:t xml:space="preserve">   2024    </w:t>
            </w:r>
          </w:p>
        </w:tc>
        <w:tc>
          <w:tcPr>
            <w:tcW w:w="160" w:type="dxa"/>
            <w:vAlign w:val="bottom"/>
            <w:tcBorders>
              <w:bottom w:val="single" w:sz="8" w:color="0075C9"/>
            </w:tcBorders>
            <w:shd w:val="clear" w:color="auto" w:fill="0075C9"/>
          </w:tcPr>
          <w:p>
            <w:pPr>
              <w:ind w:left="40"/>
              <w:spacing w:after="0"/>
              <w:rPr>
                <w:sz w:val="20"/>
                <w:szCs w:val="20"/>
                <w:color w:val="auto"/>
              </w:rPr>
            </w:pPr>
            <w:r>
              <w:rPr>
                <w:rFonts w:ascii="Arial" w:cs="Arial" w:eastAsia="Arial" w:hAnsi="Arial"/>
                <w:sz w:val="14"/>
                <w:szCs w:val="14"/>
                <w:color w:val="FFFFFF"/>
                <w:w w:val="71"/>
              </w:rPr>
              <w:t> </w:t>
            </w:r>
          </w:p>
        </w:tc>
        <w:tc>
          <w:tcPr>
            <w:tcW w:w="480" w:type="dxa"/>
            <w:vAlign w:val="bottom"/>
            <w:tcBorders>
              <w:bottom w:val="single" w:sz="8" w:color="0075C9"/>
            </w:tcBorders>
            <w:shd w:val="clear" w:color="auto" w:fill="0075C9"/>
          </w:tcPr>
          <w:p>
            <w:pPr>
              <w:ind w:left="20"/>
              <w:spacing w:after="0"/>
              <w:rPr>
                <w:sz w:val="20"/>
                <w:szCs w:val="20"/>
                <w:color w:val="auto"/>
              </w:rPr>
            </w:pPr>
            <w:r>
              <w:rPr>
                <w:rFonts w:ascii="Arial" w:cs="Arial" w:eastAsia="Arial" w:hAnsi="Arial"/>
                <w:sz w:val="14"/>
                <w:szCs w:val="14"/>
                <w:color w:val="FFFFFF"/>
              </w:rPr>
              <w:t> </w:t>
            </w:r>
          </w:p>
        </w:tc>
      </w:tr>
      <w:tr>
        <w:trPr>
          <w:trHeight w:val="318"/>
        </w:trPr>
        <w:tc>
          <w:tcPr>
            <w:tcW w:w="662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6"/>
                <w:szCs w:val="16"/>
                <w:color w:val="auto"/>
              </w:rPr>
              <w:t>  Audit fees*</w:t>
            </w:r>
          </w:p>
        </w:tc>
        <w:tc>
          <w:tcPr>
            <w:tcW w:w="500" w:type="dxa"/>
            <w:vAlign w:val="bottom"/>
            <w:tcBorders>
              <w:bottom w:val="single" w:sz="8" w:color="E5F1F9"/>
            </w:tcBorders>
            <w:shd w:val="clear" w:color="auto" w:fill="E5F1F9"/>
          </w:tcPr>
          <w:p>
            <w:pPr>
              <w:spacing w:after="0"/>
              <w:rPr>
                <w:sz w:val="24"/>
                <w:szCs w:val="24"/>
                <w:color w:val="auto"/>
              </w:rPr>
            </w:pPr>
          </w:p>
        </w:tc>
        <w:tc>
          <w:tcPr>
            <w:tcW w:w="14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6"/>
                <w:szCs w:val="16"/>
                <w:color w:val="auto"/>
                <w:w w:val="99"/>
              </w:rPr>
              <w:t>$7,251.0</w:t>
            </w:r>
          </w:p>
        </w:tc>
        <w:tc>
          <w:tcPr>
            <w:tcW w:w="160" w:type="dxa"/>
            <w:vAlign w:val="bottom"/>
            <w:tcBorders>
              <w:bottom w:val="single" w:sz="8" w:color="E5F1F9"/>
            </w:tcBorders>
            <w:shd w:val="clear" w:color="auto" w:fill="E5F1F9"/>
          </w:tcPr>
          <w:p>
            <w:pPr>
              <w:spacing w:after="0"/>
              <w:rPr>
                <w:sz w:val="24"/>
                <w:szCs w:val="24"/>
                <w:color w:val="auto"/>
              </w:rPr>
            </w:pPr>
          </w:p>
        </w:tc>
        <w:tc>
          <w:tcPr>
            <w:tcW w:w="460" w:type="dxa"/>
            <w:vAlign w:val="bottom"/>
            <w:tcBorders>
              <w:bottom w:val="single" w:sz="8" w:color="E5F1F9"/>
            </w:tcBorders>
            <w:shd w:val="clear" w:color="auto" w:fill="E5F1F9"/>
          </w:tcPr>
          <w:p>
            <w:pPr>
              <w:spacing w:after="0"/>
              <w:rPr>
                <w:sz w:val="24"/>
                <w:szCs w:val="24"/>
                <w:color w:val="auto"/>
              </w:rPr>
            </w:pPr>
          </w:p>
        </w:tc>
        <w:tc>
          <w:tcPr>
            <w:tcW w:w="520" w:type="dxa"/>
            <w:vAlign w:val="bottom"/>
            <w:tcBorders>
              <w:bottom w:val="single" w:sz="8" w:color="E5F1F9"/>
            </w:tcBorders>
            <w:shd w:val="clear" w:color="auto" w:fill="E5F1F9"/>
          </w:tcPr>
          <w:p>
            <w:pPr>
              <w:spacing w:after="0"/>
              <w:rPr>
                <w:sz w:val="24"/>
                <w:szCs w:val="24"/>
                <w:color w:val="auto"/>
              </w:rPr>
            </w:pPr>
          </w:p>
        </w:tc>
        <w:tc>
          <w:tcPr>
            <w:tcW w:w="14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6"/>
                <w:szCs w:val="16"/>
                <w:color w:val="auto"/>
                <w:w w:val="99"/>
              </w:rPr>
              <w:t>$6,810.0</w:t>
            </w:r>
          </w:p>
        </w:tc>
        <w:tc>
          <w:tcPr>
            <w:tcW w:w="160" w:type="dxa"/>
            <w:vAlign w:val="bottom"/>
            <w:tcBorders>
              <w:bottom w:val="single" w:sz="8" w:color="E5F1F9"/>
            </w:tcBorders>
            <w:shd w:val="clear" w:color="auto" w:fill="E5F1F9"/>
          </w:tcPr>
          <w:p>
            <w:pPr>
              <w:spacing w:after="0"/>
              <w:rPr>
                <w:sz w:val="24"/>
                <w:szCs w:val="24"/>
                <w:color w:val="auto"/>
              </w:rPr>
            </w:pPr>
          </w:p>
        </w:tc>
        <w:tc>
          <w:tcPr>
            <w:tcW w:w="480" w:type="dxa"/>
            <w:vAlign w:val="bottom"/>
            <w:tcBorders>
              <w:bottom w:val="single" w:sz="8" w:color="E5F1F9"/>
            </w:tcBorders>
            <w:shd w:val="clear" w:color="auto" w:fill="E5F1F9"/>
          </w:tcPr>
          <w:p>
            <w:pPr>
              <w:spacing w:after="0"/>
              <w:rPr>
                <w:sz w:val="24"/>
                <w:szCs w:val="24"/>
                <w:color w:val="auto"/>
              </w:rPr>
            </w:pPr>
          </w:p>
        </w:tc>
      </w:tr>
      <w:tr>
        <w:trPr>
          <w:trHeight w:val="318"/>
        </w:trPr>
        <w:tc>
          <w:tcPr>
            <w:tcW w:w="662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16"/>
                <w:szCs w:val="16"/>
                <w:color w:val="auto"/>
              </w:rPr>
              <w:t>  Audit-related fees</w:t>
            </w:r>
          </w:p>
        </w:tc>
        <w:tc>
          <w:tcPr>
            <w:tcW w:w="500" w:type="dxa"/>
            <w:vAlign w:val="bottom"/>
            <w:tcBorders>
              <w:bottom w:val="single" w:sz="8" w:color="B2D5EE"/>
            </w:tcBorders>
            <w:shd w:val="clear" w:color="auto" w:fill="B2D5EE"/>
          </w:tcPr>
          <w:p>
            <w:pPr>
              <w:spacing w:after="0"/>
              <w:rPr>
                <w:sz w:val="24"/>
                <w:szCs w:val="24"/>
                <w:color w:val="auto"/>
              </w:rPr>
            </w:pPr>
          </w:p>
        </w:tc>
        <w:tc>
          <w:tcPr>
            <w:tcW w:w="14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6"/>
                <w:szCs w:val="16"/>
                <w:color w:val="auto"/>
              </w:rPr>
              <w:t>122.0</w:t>
            </w:r>
          </w:p>
        </w:tc>
        <w:tc>
          <w:tcPr>
            <w:tcW w:w="160" w:type="dxa"/>
            <w:vAlign w:val="bottom"/>
            <w:tcBorders>
              <w:bottom w:val="single" w:sz="8" w:color="B2D5EE"/>
            </w:tcBorders>
            <w:shd w:val="clear" w:color="auto" w:fill="B2D5EE"/>
          </w:tcPr>
          <w:p>
            <w:pPr>
              <w:spacing w:after="0"/>
              <w:rPr>
                <w:sz w:val="24"/>
                <w:szCs w:val="24"/>
                <w:color w:val="auto"/>
              </w:rPr>
            </w:pPr>
          </w:p>
        </w:tc>
        <w:tc>
          <w:tcPr>
            <w:tcW w:w="460" w:type="dxa"/>
            <w:vAlign w:val="bottom"/>
            <w:tcBorders>
              <w:bottom w:val="single" w:sz="8" w:color="B2D5EE"/>
            </w:tcBorders>
            <w:shd w:val="clear" w:color="auto" w:fill="B2D5EE"/>
          </w:tcPr>
          <w:p>
            <w:pPr>
              <w:spacing w:after="0"/>
              <w:rPr>
                <w:sz w:val="24"/>
                <w:szCs w:val="24"/>
                <w:color w:val="auto"/>
              </w:rPr>
            </w:pPr>
          </w:p>
        </w:tc>
        <w:tc>
          <w:tcPr>
            <w:tcW w:w="520" w:type="dxa"/>
            <w:vAlign w:val="bottom"/>
            <w:tcBorders>
              <w:bottom w:val="single" w:sz="8" w:color="B2D5EE"/>
            </w:tcBorders>
            <w:shd w:val="clear" w:color="auto" w:fill="B2D5EE"/>
          </w:tcPr>
          <w:p>
            <w:pPr>
              <w:spacing w:after="0"/>
              <w:rPr>
                <w:sz w:val="24"/>
                <w:szCs w:val="24"/>
                <w:color w:val="auto"/>
              </w:rPr>
            </w:pPr>
          </w:p>
        </w:tc>
        <w:tc>
          <w:tcPr>
            <w:tcW w:w="14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6"/>
                <w:szCs w:val="16"/>
                <w:color w:val="auto"/>
              </w:rPr>
              <w:t>95.0</w:t>
            </w:r>
          </w:p>
        </w:tc>
        <w:tc>
          <w:tcPr>
            <w:tcW w:w="160" w:type="dxa"/>
            <w:vAlign w:val="bottom"/>
            <w:tcBorders>
              <w:bottom w:val="single" w:sz="8" w:color="B2D5EE"/>
            </w:tcBorders>
            <w:shd w:val="clear" w:color="auto" w:fill="B2D5EE"/>
          </w:tcPr>
          <w:p>
            <w:pPr>
              <w:spacing w:after="0"/>
              <w:rPr>
                <w:sz w:val="24"/>
                <w:szCs w:val="24"/>
                <w:color w:val="auto"/>
              </w:rPr>
            </w:pPr>
          </w:p>
        </w:tc>
        <w:tc>
          <w:tcPr>
            <w:tcW w:w="480" w:type="dxa"/>
            <w:vAlign w:val="bottom"/>
            <w:tcBorders>
              <w:bottom w:val="single" w:sz="8" w:color="B2D5EE"/>
            </w:tcBorders>
            <w:shd w:val="clear" w:color="auto" w:fill="B2D5EE"/>
          </w:tcPr>
          <w:p>
            <w:pPr>
              <w:spacing w:after="0"/>
              <w:rPr>
                <w:sz w:val="24"/>
                <w:szCs w:val="24"/>
                <w:color w:val="auto"/>
              </w:rPr>
            </w:pPr>
          </w:p>
        </w:tc>
      </w:tr>
      <w:tr>
        <w:trPr>
          <w:trHeight w:val="318"/>
        </w:trPr>
        <w:tc>
          <w:tcPr>
            <w:tcW w:w="662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6"/>
                <w:szCs w:val="16"/>
                <w:color w:val="auto"/>
              </w:rPr>
              <w:t>  Tax fees**</w:t>
            </w:r>
          </w:p>
        </w:tc>
        <w:tc>
          <w:tcPr>
            <w:tcW w:w="500" w:type="dxa"/>
            <w:vAlign w:val="bottom"/>
            <w:tcBorders>
              <w:bottom w:val="single" w:sz="8" w:color="E5F1F9"/>
            </w:tcBorders>
            <w:shd w:val="clear" w:color="auto" w:fill="E5F1F9"/>
          </w:tcPr>
          <w:p>
            <w:pPr>
              <w:spacing w:after="0"/>
              <w:rPr>
                <w:sz w:val="24"/>
                <w:szCs w:val="24"/>
                <w:color w:val="auto"/>
              </w:rPr>
            </w:pPr>
          </w:p>
        </w:tc>
        <w:tc>
          <w:tcPr>
            <w:tcW w:w="14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6"/>
                <w:szCs w:val="16"/>
                <w:color w:val="auto"/>
              </w:rPr>
              <w:t>334.3</w:t>
            </w:r>
          </w:p>
        </w:tc>
        <w:tc>
          <w:tcPr>
            <w:tcW w:w="160" w:type="dxa"/>
            <w:vAlign w:val="bottom"/>
            <w:tcBorders>
              <w:bottom w:val="single" w:sz="8" w:color="E5F1F9"/>
            </w:tcBorders>
            <w:shd w:val="clear" w:color="auto" w:fill="E5F1F9"/>
          </w:tcPr>
          <w:p>
            <w:pPr>
              <w:spacing w:after="0"/>
              <w:rPr>
                <w:sz w:val="24"/>
                <w:szCs w:val="24"/>
                <w:color w:val="auto"/>
              </w:rPr>
            </w:pPr>
          </w:p>
        </w:tc>
        <w:tc>
          <w:tcPr>
            <w:tcW w:w="460" w:type="dxa"/>
            <w:vAlign w:val="bottom"/>
            <w:tcBorders>
              <w:bottom w:val="single" w:sz="8" w:color="E5F1F9"/>
            </w:tcBorders>
            <w:shd w:val="clear" w:color="auto" w:fill="E5F1F9"/>
          </w:tcPr>
          <w:p>
            <w:pPr>
              <w:spacing w:after="0"/>
              <w:rPr>
                <w:sz w:val="24"/>
                <w:szCs w:val="24"/>
                <w:color w:val="auto"/>
              </w:rPr>
            </w:pPr>
          </w:p>
        </w:tc>
        <w:tc>
          <w:tcPr>
            <w:tcW w:w="520" w:type="dxa"/>
            <w:vAlign w:val="bottom"/>
            <w:tcBorders>
              <w:bottom w:val="single" w:sz="8" w:color="E5F1F9"/>
            </w:tcBorders>
            <w:shd w:val="clear" w:color="auto" w:fill="E5F1F9"/>
          </w:tcPr>
          <w:p>
            <w:pPr>
              <w:spacing w:after="0"/>
              <w:rPr>
                <w:sz w:val="24"/>
                <w:szCs w:val="24"/>
                <w:color w:val="auto"/>
              </w:rPr>
            </w:pPr>
          </w:p>
        </w:tc>
        <w:tc>
          <w:tcPr>
            <w:tcW w:w="14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6"/>
                <w:szCs w:val="16"/>
                <w:color w:val="auto"/>
                <w:w w:val="99"/>
              </w:rPr>
              <w:t>498.0</w:t>
            </w:r>
          </w:p>
        </w:tc>
        <w:tc>
          <w:tcPr>
            <w:tcW w:w="160" w:type="dxa"/>
            <w:vAlign w:val="bottom"/>
            <w:tcBorders>
              <w:bottom w:val="single" w:sz="8" w:color="E5F1F9"/>
            </w:tcBorders>
            <w:shd w:val="clear" w:color="auto" w:fill="E5F1F9"/>
          </w:tcPr>
          <w:p>
            <w:pPr>
              <w:spacing w:after="0"/>
              <w:rPr>
                <w:sz w:val="24"/>
                <w:szCs w:val="24"/>
                <w:color w:val="auto"/>
              </w:rPr>
            </w:pPr>
          </w:p>
        </w:tc>
        <w:tc>
          <w:tcPr>
            <w:tcW w:w="480" w:type="dxa"/>
            <w:vAlign w:val="bottom"/>
            <w:tcBorders>
              <w:bottom w:val="single" w:sz="8" w:color="E5F1F9"/>
            </w:tcBorders>
            <w:shd w:val="clear" w:color="auto" w:fill="E5F1F9"/>
          </w:tcPr>
          <w:p>
            <w:pPr>
              <w:spacing w:after="0"/>
              <w:rPr>
                <w:sz w:val="24"/>
                <w:szCs w:val="24"/>
                <w:color w:val="auto"/>
              </w:rPr>
            </w:pPr>
          </w:p>
        </w:tc>
      </w:tr>
      <w:tr>
        <w:trPr>
          <w:trHeight w:val="343"/>
        </w:trPr>
        <w:tc>
          <w:tcPr>
            <w:tcW w:w="662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16"/>
                <w:szCs w:val="16"/>
                <w:color w:val="auto"/>
              </w:rPr>
              <w:t>  All other fees</w:t>
            </w:r>
          </w:p>
        </w:tc>
        <w:tc>
          <w:tcPr>
            <w:tcW w:w="500" w:type="dxa"/>
            <w:vAlign w:val="bottom"/>
            <w:tcBorders>
              <w:bottom w:val="single" w:sz="8" w:color="B2D5EE"/>
            </w:tcBorders>
            <w:shd w:val="clear" w:color="auto" w:fill="B2D5EE"/>
          </w:tcPr>
          <w:p>
            <w:pPr>
              <w:spacing w:after="0"/>
              <w:rPr>
                <w:sz w:val="24"/>
                <w:szCs w:val="24"/>
                <w:color w:val="auto"/>
              </w:rPr>
            </w:pPr>
          </w:p>
        </w:tc>
        <w:tc>
          <w:tcPr>
            <w:tcW w:w="14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6"/>
                <w:szCs w:val="16"/>
                <w:color w:val="auto"/>
                <w:w w:val="98"/>
              </w:rPr>
              <w:t>2.0</w:t>
            </w:r>
          </w:p>
        </w:tc>
        <w:tc>
          <w:tcPr>
            <w:tcW w:w="160" w:type="dxa"/>
            <w:vAlign w:val="bottom"/>
            <w:tcBorders>
              <w:bottom w:val="single" w:sz="8" w:color="B2D5EE"/>
            </w:tcBorders>
            <w:shd w:val="clear" w:color="auto" w:fill="B2D5EE"/>
          </w:tcPr>
          <w:p>
            <w:pPr>
              <w:spacing w:after="0"/>
              <w:rPr>
                <w:sz w:val="24"/>
                <w:szCs w:val="24"/>
                <w:color w:val="auto"/>
              </w:rPr>
            </w:pPr>
          </w:p>
        </w:tc>
        <w:tc>
          <w:tcPr>
            <w:tcW w:w="460" w:type="dxa"/>
            <w:vAlign w:val="bottom"/>
            <w:tcBorders>
              <w:bottom w:val="single" w:sz="8" w:color="B2D5EE"/>
            </w:tcBorders>
            <w:shd w:val="clear" w:color="auto" w:fill="B2D5EE"/>
          </w:tcPr>
          <w:p>
            <w:pPr>
              <w:spacing w:after="0"/>
              <w:rPr>
                <w:sz w:val="24"/>
                <w:szCs w:val="24"/>
                <w:color w:val="auto"/>
              </w:rPr>
            </w:pPr>
          </w:p>
        </w:tc>
        <w:tc>
          <w:tcPr>
            <w:tcW w:w="520" w:type="dxa"/>
            <w:vAlign w:val="bottom"/>
            <w:tcBorders>
              <w:bottom w:val="single" w:sz="8" w:color="B2D5EE"/>
            </w:tcBorders>
            <w:shd w:val="clear" w:color="auto" w:fill="B2D5EE"/>
          </w:tcPr>
          <w:p>
            <w:pPr>
              <w:spacing w:after="0"/>
              <w:rPr>
                <w:sz w:val="24"/>
                <w:szCs w:val="24"/>
                <w:color w:val="auto"/>
              </w:rPr>
            </w:pPr>
          </w:p>
        </w:tc>
        <w:tc>
          <w:tcPr>
            <w:tcW w:w="14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6"/>
                <w:szCs w:val="16"/>
                <w:color w:val="auto"/>
                <w:w w:val="98"/>
              </w:rPr>
              <w:t>2.0</w:t>
            </w:r>
          </w:p>
        </w:tc>
        <w:tc>
          <w:tcPr>
            <w:tcW w:w="160" w:type="dxa"/>
            <w:vAlign w:val="bottom"/>
            <w:tcBorders>
              <w:bottom w:val="single" w:sz="8" w:color="B2D5EE"/>
            </w:tcBorders>
            <w:shd w:val="clear" w:color="auto" w:fill="B2D5EE"/>
          </w:tcPr>
          <w:p>
            <w:pPr>
              <w:spacing w:after="0"/>
              <w:rPr>
                <w:sz w:val="24"/>
                <w:szCs w:val="24"/>
                <w:color w:val="auto"/>
              </w:rPr>
            </w:pPr>
          </w:p>
        </w:tc>
        <w:tc>
          <w:tcPr>
            <w:tcW w:w="480" w:type="dxa"/>
            <w:vAlign w:val="bottom"/>
            <w:tcBorders>
              <w:bottom w:val="single" w:sz="8" w:color="B2D5EE"/>
            </w:tcBorders>
            <w:shd w:val="clear" w:color="auto" w:fill="B2D5EE"/>
          </w:tcPr>
          <w:p>
            <w:pPr>
              <w:spacing w:after="0"/>
              <w:rPr>
                <w:sz w:val="24"/>
                <w:szCs w:val="24"/>
                <w:color w:val="auto"/>
              </w:rPr>
            </w:pPr>
          </w:p>
        </w:tc>
      </w:tr>
      <w:tr>
        <w:trPr>
          <w:trHeight w:val="298"/>
        </w:trPr>
        <w:tc>
          <w:tcPr>
            <w:tcW w:w="6620" w:type="dxa"/>
            <w:vAlign w:val="bottom"/>
            <w:tcBorders>
              <w:top w:val="single" w:sz="8" w:color="E5F1F9"/>
              <w:bottom w:val="single" w:sz="8" w:color="E5F1F9"/>
            </w:tcBorders>
            <w:shd w:val="clear" w:color="auto" w:fill="E5F1F9"/>
          </w:tcPr>
          <w:p>
            <w:pPr>
              <w:spacing w:after="0"/>
              <w:rPr>
                <w:sz w:val="20"/>
                <w:szCs w:val="20"/>
                <w:color w:val="auto"/>
              </w:rPr>
            </w:pPr>
            <w:r>
              <w:rPr>
                <w:rFonts w:ascii="Arial" w:cs="Arial" w:eastAsia="Arial" w:hAnsi="Arial"/>
                <w:sz w:val="16"/>
                <w:szCs w:val="16"/>
                <w:b w:val="1"/>
                <w:bCs w:val="1"/>
                <w:color w:val="auto"/>
              </w:rPr>
              <w:t>  Total</w:t>
            </w:r>
          </w:p>
        </w:tc>
        <w:tc>
          <w:tcPr>
            <w:tcW w:w="500" w:type="dxa"/>
            <w:vAlign w:val="bottom"/>
            <w:tcBorders>
              <w:top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6"/>
                <w:szCs w:val="16"/>
                <w:b w:val="1"/>
                <w:bCs w:val="1"/>
                <w:color w:val="auto"/>
              </w:rPr>
              <w:t xml:space="preserve">     </w:t>
            </w:r>
          </w:p>
        </w:tc>
        <w:tc>
          <w:tcPr>
            <w:tcW w:w="140" w:type="dxa"/>
            <w:vAlign w:val="bottom"/>
            <w:tcBorders>
              <w:top w:val="single" w:sz="8" w:color="auto"/>
              <w:bottom w:val="single" w:sz="8" w:color="E5F1F9"/>
            </w:tcBorders>
            <w:shd w:val="clear" w:color="auto" w:fill="E5F1F9"/>
          </w:tcPr>
          <w:p>
            <w:pPr>
              <w:jc w:val="right"/>
              <w:ind w:right="11"/>
              <w:spacing w:after="0"/>
              <w:rPr>
                <w:sz w:val="20"/>
                <w:szCs w:val="20"/>
                <w:color w:val="auto"/>
              </w:rPr>
            </w:pPr>
            <w:r>
              <w:rPr>
                <w:rFonts w:ascii="Arial" w:cs="Arial" w:eastAsia="Arial" w:hAnsi="Arial"/>
                <w:sz w:val="8"/>
                <w:szCs w:val="8"/>
                <w:b w:val="1"/>
                <w:bCs w:val="1"/>
                <w:color w:val="auto"/>
                <w:w w:val="74"/>
              </w:rPr>
              <w:t> </w:t>
            </w:r>
          </w:p>
        </w:tc>
        <w:tc>
          <w:tcPr>
            <w:tcW w:w="160" w:type="dxa"/>
            <w:vAlign w:val="bottom"/>
            <w:tcBorders>
              <w:top w:val="single" w:sz="8" w:color="auto"/>
              <w:bottom w:val="single" w:sz="8" w:color="E5F1F9"/>
            </w:tcBorders>
            <w:shd w:val="clear" w:color="auto" w:fill="E5F1F9"/>
          </w:tcPr>
          <w:p>
            <w:pPr>
              <w:ind w:left="60"/>
              <w:spacing w:after="0"/>
              <w:rPr>
                <w:sz w:val="20"/>
                <w:szCs w:val="20"/>
                <w:color w:val="auto"/>
              </w:rPr>
            </w:pPr>
            <w:r>
              <w:rPr>
                <w:rFonts w:ascii="Arial" w:cs="Arial" w:eastAsia="Arial" w:hAnsi="Arial"/>
                <w:sz w:val="11"/>
                <w:szCs w:val="11"/>
                <w:b w:val="1"/>
                <w:bCs w:val="1"/>
                <w:color w:val="auto"/>
                <w:w w:val="72"/>
              </w:rPr>
              <w:t> </w:t>
            </w:r>
          </w:p>
        </w:tc>
        <w:tc>
          <w:tcPr>
            <w:tcW w:w="760" w:type="dxa"/>
            <w:vAlign w:val="bottom"/>
            <w:tcBorders>
              <w:top w:val="single" w:sz="8" w:color="auto"/>
              <w:bottom w:val="single" w:sz="8" w:color="E5F1F9"/>
            </w:tcBorders>
            <w:shd w:val="clear" w:color="auto" w:fill="E5F1F9"/>
          </w:tcPr>
          <w:p>
            <w:pPr>
              <w:ind w:left="60"/>
              <w:spacing w:after="0"/>
              <w:rPr>
                <w:sz w:val="20"/>
                <w:szCs w:val="20"/>
                <w:color w:val="auto"/>
              </w:rPr>
            </w:pPr>
            <w:r>
              <w:rPr>
                <w:rFonts w:ascii="Arial" w:cs="Arial" w:eastAsia="Arial" w:hAnsi="Arial"/>
                <w:sz w:val="16"/>
                <w:szCs w:val="16"/>
                <w:b w:val="1"/>
                <w:bCs w:val="1"/>
                <w:color w:val="auto"/>
                <w:w w:val="86"/>
              </w:rPr>
              <w:t>$7,709.3 </w:t>
            </w:r>
          </w:p>
        </w:tc>
        <w:tc>
          <w:tcPr>
            <w:tcW w:w="160" w:type="dxa"/>
            <w:vAlign w:val="bottom"/>
            <w:tcBorders>
              <w:top w:val="single" w:sz="8" w:color="auto"/>
              <w:bottom w:val="single" w:sz="8" w:color="E5F1F9"/>
            </w:tcBorders>
            <w:shd w:val="clear" w:color="auto" w:fill="E5F1F9"/>
          </w:tcPr>
          <w:p>
            <w:pPr>
              <w:ind w:left="80"/>
              <w:spacing w:after="0"/>
              <w:rPr>
                <w:sz w:val="20"/>
                <w:szCs w:val="20"/>
                <w:color w:val="auto"/>
              </w:rPr>
            </w:pPr>
            <w:r>
              <w:rPr>
                <w:rFonts w:ascii="Arial" w:cs="Arial" w:eastAsia="Arial" w:hAnsi="Arial"/>
                <w:sz w:val="8"/>
                <w:szCs w:val="8"/>
                <w:b w:val="1"/>
                <w:bCs w:val="1"/>
                <w:color w:val="auto"/>
                <w:w w:val="74"/>
              </w:rPr>
              <w:t> </w:t>
            </w:r>
          </w:p>
        </w:tc>
        <w:tc>
          <w:tcPr>
            <w:tcW w:w="460" w:type="dxa"/>
            <w:vAlign w:val="bottom"/>
            <w:tcBorders>
              <w:top w:val="single" w:sz="8" w:color="auto"/>
              <w:bottom w:val="single" w:sz="8" w:color="E5F1F9"/>
            </w:tcBorders>
            <w:shd w:val="clear" w:color="auto" w:fill="E5F1F9"/>
          </w:tcPr>
          <w:p>
            <w:pPr>
              <w:ind w:left="100"/>
              <w:spacing w:after="0"/>
              <w:rPr>
                <w:sz w:val="20"/>
                <w:szCs w:val="20"/>
                <w:color w:val="auto"/>
              </w:rPr>
            </w:pPr>
            <w:r>
              <w:rPr>
                <w:rFonts w:ascii="Arial" w:cs="Arial" w:eastAsia="Arial" w:hAnsi="Arial"/>
                <w:sz w:val="16"/>
                <w:szCs w:val="16"/>
                <w:b w:val="1"/>
                <w:bCs w:val="1"/>
                <w:color w:val="auto"/>
              </w:rPr>
              <w:t xml:space="preserve">    </w:t>
            </w:r>
          </w:p>
        </w:tc>
        <w:tc>
          <w:tcPr>
            <w:tcW w:w="520" w:type="dxa"/>
            <w:vAlign w:val="bottom"/>
            <w:tcBorders>
              <w:top w:val="single" w:sz="8" w:color="auto"/>
              <w:bottom w:val="single" w:sz="8" w:color="E5F1F9"/>
            </w:tcBorders>
            <w:shd w:val="clear" w:color="auto" w:fill="E5F1F9"/>
          </w:tcPr>
          <w:p>
            <w:pPr>
              <w:ind w:left="180"/>
              <w:spacing w:after="0"/>
              <w:rPr>
                <w:sz w:val="20"/>
                <w:szCs w:val="20"/>
                <w:color w:val="auto"/>
              </w:rPr>
            </w:pPr>
            <w:r>
              <w:rPr>
                <w:rFonts w:ascii="Arial" w:cs="Arial" w:eastAsia="Arial" w:hAnsi="Arial"/>
                <w:sz w:val="16"/>
                <w:szCs w:val="16"/>
                <w:b w:val="1"/>
                <w:bCs w:val="1"/>
                <w:color w:val="auto"/>
              </w:rPr>
              <w:t xml:space="preserve">     </w:t>
            </w:r>
          </w:p>
        </w:tc>
        <w:tc>
          <w:tcPr>
            <w:tcW w:w="140" w:type="dxa"/>
            <w:vAlign w:val="bottom"/>
            <w:tcBorders>
              <w:top w:val="single" w:sz="8" w:color="auto"/>
              <w:bottom w:val="single" w:sz="8" w:color="E5F1F9"/>
            </w:tcBorders>
            <w:shd w:val="clear" w:color="auto" w:fill="E5F1F9"/>
          </w:tcPr>
          <w:p>
            <w:pPr>
              <w:jc w:val="right"/>
              <w:ind w:right="11"/>
              <w:spacing w:after="0"/>
              <w:rPr>
                <w:sz w:val="20"/>
                <w:szCs w:val="20"/>
                <w:color w:val="auto"/>
              </w:rPr>
            </w:pPr>
            <w:r>
              <w:rPr>
                <w:rFonts w:ascii="Arial" w:cs="Arial" w:eastAsia="Arial" w:hAnsi="Arial"/>
                <w:sz w:val="8"/>
                <w:szCs w:val="8"/>
                <w:b w:val="1"/>
                <w:bCs w:val="1"/>
                <w:color w:val="auto"/>
                <w:w w:val="74"/>
              </w:rPr>
              <w:t> </w:t>
            </w:r>
          </w:p>
        </w:tc>
        <w:tc>
          <w:tcPr>
            <w:tcW w:w="160" w:type="dxa"/>
            <w:vAlign w:val="bottom"/>
            <w:tcBorders>
              <w:top w:val="single" w:sz="8" w:color="auto"/>
              <w:bottom w:val="single" w:sz="8" w:color="E5F1F9"/>
            </w:tcBorders>
            <w:shd w:val="clear" w:color="auto" w:fill="E5F1F9"/>
          </w:tcPr>
          <w:p>
            <w:pPr>
              <w:ind w:left="60"/>
              <w:spacing w:after="0"/>
              <w:rPr>
                <w:sz w:val="20"/>
                <w:szCs w:val="20"/>
                <w:color w:val="auto"/>
              </w:rPr>
            </w:pPr>
            <w:r>
              <w:rPr>
                <w:rFonts w:ascii="Arial" w:cs="Arial" w:eastAsia="Arial" w:hAnsi="Arial"/>
                <w:sz w:val="11"/>
                <w:szCs w:val="11"/>
                <w:b w:val="1"/>
                <w:bCs w:val="1"/>
                <w:color w:val="auto"/>
                <w:w w:val="72"/>
              </w:rPr>
              <w:t> </w:t>
            </w:r>
          </w:p>
        </w:tc>
        <w:tc>
          <w:tcPr>
            <w:tcW w:w="760" w:type="dxa"/>
            <w:vAlign w:val="bottom"/>
            <w:tcBorders>
              <w:top w:val="single" w:sz="8" w:color="auto"/>
              <w:bottom w:val="single" w:sz="8" w:color="E5F1F9"/>
            </w:tcBorders>
            <w:shd w:val="clear" w:color="auto" w:fill="E5F1F9"/>
          </w:tcPr>
          <w:p>
            <w:pPr>
              <w:ind w:left="60"/>
              <w:spacing w:after="0"/>
              <w:rPr>
                <w:sz w:val="20"/>
                <w:szCs w:val="20"/>
                <w:color w:val="auto"/>
              </w:rPr>
            </w:pPr>
            <w:r>
              <w:rPr>
                <w:rFonts w:ascii="Arial" w:cs="Arial" w:eastAsia="Arial" w:hAnsi="Arial"/>
                <w:sz w:val="16"/>
                <w:szCs w:val="16"/>
                <w:b w:val="1"/>
                <w:bCs w:val="1"/>
                <w:color w:val="auto"/>
                <w:w w:val="86"/>
              </w:rPr>
              <w:t>$7,405.0 </w:t>
            </w:r>
          </w:p>
        </w:tc>
        <w:tc>
          <w:tcPr>
            <w:tcW w:w="160" w:type="dxa"/>
            <w:vAlign w:val="bottom"/>
            <w:tcBorders>
              <w:top w:val="single" w:sz="8" w:color="auto"/>
              <w:bottom w:val="single" w:sz="8" w:color="E5F1F9"/>
            </w:tcBorders>
            <w:shd w:val="clear" w:color="auto" w:fill="E5F1F9"/>
          </w:tcPr>
          <w:p>
            <w:pPr>
              <w:ind w:left="100"/>
              <w:spacing w:after="0"/>
              <w:rPr>
                <w:sz w:val="20"/>
                <w:szCs w:val="20"/>
                <w:color w:val="auto"/>
              </w:rPr>
            </w:pPr>
            <w:r>
              <w:rPr>
                <w:rFonts w:ascii="Arial" w:cs="Arial" w:eastAsia="Arial" w:hAnsi="Arial"/>
                <w:sz w:val="5"/>
                <w:szCs w:val="5"/>
                <w:b w:val="1"/>
                <w:bCs w:val="1"/>
                <w:color w:val="auto"/>
                <w:w w:val="79"/>
              </w:rPr>
              <w:t> </w:t>
            </w:r>
          </w:p>
        </w:tc>
        <w:tc>
          <w:tcPr>
            <w:tcW w:w="480" w:type="dxa"/>
            <w:vAlign w:val="bottom"/>
            <w:tcBorders>
              <w:top w:val="single" w:sz="8" w:color="auto"/>
              <w:bottom w:val="single" w:sz="8" w:color="E5F1F9"/>
            </w:tcBorders>
            <w:shd w:val="clear" w:color="auto" w:fill="E5F1F9"/>
          </w:tcPr>
          <w:p>
            <w:pPr>
              <w:ind w:left="100"/>
              <w:spacing w:after="0"/>
              <w:rPr>
                <w:sz w:val="20"/>
                <w:szCs w:val="20"/>
                <w:color w:val="auto"/>
              </w:rPr>
            </w:pPr>
            <w:r>
              <w:rPr>
                <w:rFonts w:ascii="Arial" w:cs="Arial" w:eastAsia="Arial" w:hAnsi="Arial"/>
                <w:sz w:val="16"/>
                <w:szCs w:val="16"/>
                <w:b w:val="1"/>
                <w:bCs w:val="1"/>
                <w:color w:val="auto"/>
              </w:rPr>
              <w:t xml:space="preserve">    </w:t>
            </w:r>
          </w:p>
        </w:tc>
      </w:tr>
      <w:tr>
        <w:trPr>
          <w:trHeight w:val="20"/>
        </w:trPr>
        <w:tc>
          <w:tcPr>
            <w:tcW w:w="6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31" w:lineRule="exact"/>
        <w:rPr>
          <w:sz w:val="20"/>
          <w:szCs w:val="20"/>
          <w:color w:val="auto"/>
        </w:rPr>
      </w:pPr>
    </w:p>
    <w:p>
      <w:pPr>
        <w:ind w:left="120" w:right="2060" w:hanging="4"/>
        <w:spacing w:after="0" w:line="285" w:lineRule="auto"/>
        <w:tabs>
          <w:tab w:leader="none" w:pos="444" w:val="left"/>
        </w:tabs>
        <w:numPr>
          <w:ilvl w:val="0"/>
          <w:numId w:val="77"/>
        </w:numPr>
        <w:rPr>
          <w:rFonts w:ascii="Arial" w:cs="Arial" w:eastAsia="Arial" w:hAnsi="Arial"/>
          <w:sz w:val="14"/>
          <w:szCs w:val="14"/>
          <w:color w:val="auto"/>
        </w:rPr>
      </w:pPr>
      <w:r>
        <w:rPr>
          <w:rFonts w:ascii="Arial" w:cs="Arial" w:eastAsia="Arial" w:hAnsi="Arial"/>
          <w:sz w:val="14"/>
          <w:szCs w:val="14"/>
          <w:color w:val="auto"/>
        </w:rPr>
        <w:t>Audit fees for 2025 and 2024 include fees related to audit procedures performed on our acquisitions of Alcyone and HI-Bio, respectively. ** Includes tax compliance fees of approximately $334.3 thousand and $198.1 thousand in 2025 and 2024, respectively.</w:t>
      </w:r>
    </w:p>
    <w:p>
      <w:pPr>
        <w:spacing w:after="0" w:line="45" w:lineRule="exact"/>
        <w:rPr>
          <w:sz w:val="20"/>
          <w:szCs w:val="20"/>
          <w:color w:val="auto"/>
        </w:rPr>
      </w:pPr>
    </w:p>
    <w:p>
      <w:pPr>
        <w:ind w:left="120" w:right="360"/>
        <w:spacing w:after="0" w:line="266" w:lineRule="auto"/>
        <w:rPr>
          <w:sz w:val="20"/>
          <w:szCs w:val="20"/>
          <w:color w:val="auto"/>
        </w:rPr>
      </w:pPr>
      <w:r>
        <w:rPr>
          <w:rFonts w:ascii="Arial" w:cs="Arial" w:eastAsia="Arial" w:hAnsi="Arial"/>
          <w:sz w:val="16"/>
          <w:szCs w:val="16"/>
          <w:i w:val="1"/>
          <w:iCs w:val="1"/>
          <w:color w:val="0075C9"/>
        </w:rPr>
        <w:t xml:space="preserve">Audit fees </w:t>
      </w:r>
      <w:r>
        <w:rPr>
          <w:rFonts w:ascii="Arial" w:cs="Arial" w:eastAsia="Arial" w:hAnsi="Arial"/>
          <w:sz w:val="16"/>
          <w:szCs w:val="16"/>
          <w:color w:val="000000"/>
        </w:rPr>
        <w:t>are fees for the audit of our 2025 and 2024 consolidated financial statements included in our Annual Reports on Form 10-K, reviews of our</w:t>
      </w:r>
      <w:r>
        <w:rPr>
          <w:rFonts w:ascii="Arial" w:cs="Arial" w:eastAsia="Arial" w:hAnsi="Arial"/>
          <w:sz w:val="16"/>
          <w:szCs w:val="16"/>
          <w:i w:val="1"/>
          <w:iCs w:val="1"/>
          <w:color w:val="0075C9"/>
        </w:rPr>
        <w:t xml:space="preserve"> </w:t>
      </w:r>
      <w:r>
        <w:rPr>
          <w:rFonts w:ascii="Arial" w:cs="Arial" w:eastAsia="Arial" w:hAnsi="Arial"/>
          <w:sz w:val="16"/>
          <w:szCs w:val="16"/>
          <w:color w:val="000000"/>
        </w:rPr>
        <w:t>condensed consolidated financial statements included in our Quarterly Reports on Form 10-Q, review of the consolidated financial statements incorporated by reference into our outstanding registration statements and statutory audit fees in overseas jurisdictions.</w:t>
      </w:r>
    </w:p>
    <w:p>
      <w:pPr>
        <w:spacing w:after="0" w:line="63" w:lineRule="exact"/>
        <w:rPr>
          <w:sz w:val="20"/>
          <w:szCs w:val="20"/>
          <w:color w:val="auto"/>
        </w:rPr>
      </w:pPr>
    </w:p>
    <w:p>
      <w:pPr>
        <w:ind w:left="120" w:right="600"/>
        <w:spacing w:after="0" w:line="286" w:lineRule="auto"/>
        <w:rPr>
          <w:sz w:val="20"/>
          <w:szCs w:val="20"/>
          <w:color w:val="auto"/>
        </w:rPr>
      </w:pPr>
      <w:r>
        <w:rPr>
          <w:rFonts w:ascii="Arial" w:cs="Arial" w:eastAsia="Arial" w:hAnsi="Arial"/>
          <w:sz w:val="16"/>
          <w:szCs w:val="16"/>
          <w:i w:val="1"/>
          <w:iCs w:val="1"/>
          <w:color w:val="0075C9"/>
        </w:rPr>
        <w:t xml:space="preserve">Audit-related fees </w:t>
      </w:r>
      <w:r>
        <w:rPr>
          <w:rFonts w:ascii="Arial" w:cs="Arial" w:eastAsia="Arial" w:hAnsi="Arial"/>
          <w:sz w:val="16"/>
          <w:szCs w:val="16"/>
          <w:color w:val="000000"/>
        </w:rPr>
        <w:t>are fees that principally relate to assurance and related services that are also performed by our independent registered public</w:t>
      </w:r>
      <w:r>
        <w:rPr>
          <w:rFonts w:ascii="Arial" w:cs="Arial" w:eastAsia="Arial" w:hAnsi="Arial"/>
          <w:sz w:val="16"/>
          <w:szCs w:val="16"/>
          <w:i w:val="1"/>
          <w:iCs w:val="1"/>
          <w:color w:val="0075C9"/>
        </w:rPr>
        <w:t xml:space="preserve"> </w:t>
      </w:r>
      <w:r>
        <w:rPr>
          <w:rFonts w:ascii="Arial" w:cs="Arial" w:eastAsia="Arial" w:hAnsi="Arial"/>
          <w:sz w:val="16"/>
          <w:szCs w:val="16"/>
          <w:color w:val="000000"/>
        </w:rPr>
        <w:t>accounting firm. More specifically, these services include audits of employee benefit plan information that are not required by statute or regulation.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0075C9"/>
        </w:rPr>
        <w:t xml:space="preserve">Tax fees </w:t>
      </w:r>
      <w:r>
        <w:rPr>
          <w:rFonts w:ascii="Arial" w:cs="Arial" w:eastAsia="Arial" w:hAnsi="Arial"/>
          <w:sz w:val="16"/>
          <w:szCs w:val="16"/>
          <w:color w:val="000000"/>
        </w:rPr>
        <w:t>are fees for tax compliance and planning services.</w:t>
      </w:r>
    </w:p>
    <w:p>
      <w:pPr>
        <w:spacing w:after="0" w:line="113" w:lineRule="exact"/>
        <w:rPr>
          <w:sz w:val="20"/>
          <w:szCs w:val="20"/>
          <w:color w:val="auto"/>
        </w:rPr>
      </w:pPr>
    </w:p>
    <w:p>
      <w:pPr>
        <w:ind w:left="120" w:right="440"/>
        <w:spacing w:after="0" w:line="286" w:lineRule="auto"/>
        <w:rPr>
          <w:sz w:val="20"/>
          <w:szCs w:val="20"/>
          <w:color w:val="auto"/>
        </w:rPr>
      </w:pPr>
      <w:r>
        <w:rPr>
          <w:rFonts w:ascii="Arial" w:cs="Arial" w:eastAsia="Arial" w:hAnsi="Arial"/>
          <w:sz w:val="16"/>
          <w:szCs w:val="16"/>
          <w:i w:val="1"/>
          <w:iCs w:val="1"/>
          <w:color w:val="0075C9"/>
        </w:rPr>
        <w:t xml:space="preserve">All other fees </w:t>
      </w:r>
      <w:r>
        <w:rPr>
          <w:rFonts w:ascii="Arial" w:cs="Arial" w:eastAsia="Arial" w:hAnsi="Arial"/>
          <w:sz w:val="16"/>
          <w:szCs w:val="16"/>
          <w:color w:val="000000"/>
        </w:rPr>
        <w:t>include accounting research software, information systems reviews not performed in connection with the audit, and other advisory and</w:t>
      </w:r>
      <w:r>
        <w:rPr>
          <w:rFonts w:ascii="Arial" w:cs="Arial" w:eastAsia="Arial" w:hAnsi="Arial"/>
          <w:sz w:val="16"/>
          <w:szCs w:val="16"/>
          <w:i w:val="1"/>
          <w:iCs w:val="1"/>
          <w:color w:val="0075C9"/>
        </w:rPr>
        <w:t xml:space="preserve"> </w:t>
      </w:r>
      <w:r>
        <w:rPr>
          <w:rFonts w:ascii="Arial" w:cs="Arial" w:eastAsia="Arial" w:hAnsi="Arial"/>
          <w:sz w:val="16"/>
          <w:szCs w:val="16"/>
          <w:color w:val="000000"/>
        </w:rPr>
        <w:t>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color w:val="0075C9"/>
        </w:rPr>
        <w:t>Policy on Pre-Approval of Audit and Non-Audit Services</w:t>
      </w:r>
    </w:p>
    <w:p>
      <w:pPr>
        <w:spacing w:after="0" w:line="110"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Our Audit Committee has the sole authority to approve the scope of the audit and any audit-related services as well as all audit fees and terms. Our Audit Committee must pre-approve any audit and non-audit services provided by our independent registered public accounting firm. Our Audit Committee will not approve the engagement of the independent registered public accounting firm to perform any services that the independent registered public accounting firm would be prohibited from providing under applicable securities laws, Nasdaq requirements or Public Company Accounting Oversight Board rules. In assessing whether to approve the use of our independent registered public accounting firm to provide permitted non-audit services, our Audit Committee tries to minimize relationships that could appear to impair the objectivity of our independent registered public accounting firm. Our Audit Committee will approve permitted non-audit services by our independent registered public accounting firm only when it will be more effective or economical to have such services provided by our independent registered public accounting firm than by another firm.</w:t>
      </w:r>
    </w:p>
    <w:p>
      <w:pPr>
        <w:spacing w:after="0" w:line="75"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Our Audit Committee annually reviews and pre-approves the audit, audit-related, tax and other permissible non-audit services that can be provided by the independent registered public accounting firm. After the annual review, any proposed services exceeding pre-set levels or amounts, or additional services not previously approved requires separate pre-approval by our Audit Committee or the Chair of our Audit Committee. Any pre-approval decision made by the Chair of our Audit Committee is reported to our Audit Committee at the next regularly scheduled Audit Committee meeting. Our CFO and our Chief Accounting Officer can approve up to an additional $50,000 in the aggregate per calendar year for categories of services that our Audit Committee (or the Chair through its delegated authority) has pre-approved.</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of the services provided by PwC during 2025 and 2024 were pre-approved in accordance with this policy.</w:t>
      </w:r>
    </w:p>
    <w:p>
      <w:pPr>
        <w:spacing w:after="0" w:line="16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460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9735" cy="14605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-27-</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Proposal 3 – Advisory Vote on Executive Compensation</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Proposal 3 – Advisory Vote on Executive Compensation</w:t>
      </w:r>
    </w:p>
    <w:p>
      <w:pPr>
        <w:spacing w:after="0" w:line="108" w:lineRule="exact"/>
        <w:rPr>
          <w:sz w:val="20"/>
          <w:szCs w:val="20"/>
          <w:color w:val="auto"/>
        </w:rPr>
      </w:pPr>
    </w:p>
    <w:p>
      <w:pPr>
        <w:ind w:left="120" w:right="320"/>
        <w:spacing w:after="0" w:line="259" w:lineRule="auto"/>
        <w:rPr>
          <w:sz w:val="20"/>
          <w:szCs w:val="20"/>
          <w:color w:val="auto"/>
        </w:rPr>
      </w:pPr>
      <w:r>
        <w:rPr>
          <w:rFonts w:ascii="Arial" w:cs="Arial" w:eastAsia="Arial" w:hAnsi="Arial"/>
          <w:sz w:val="16"/>
          <w:szCs w:val="16"/>
          <w:color w:val="auto"/>
        </w:rPr>
        <w:t>Our CD&amp;A, which appears below, provides an overview of our 2025 executive compensation program, as well as a description of the compensation decisions that our CMDC and Board made with respect to the 2025 compensation of our NEOs. This year our CD&amp;A also includes a discussion of the stockholder engagement we had in 2025 specifically related to executive compensation. Our Board is asking that stockholders cast a non-binding, advisory vote FOR the following resolution:</w:t>
      </w:r>
    </w:p>
    <w:p>
      <w:pPr>
        <w:spacing w:after="0" w:line="70" w:lineRule="exact"/>
        <w:rPr>
          <w:sz w:val="20"/>
          <w:szCs w:val="20"/>
          <w:color w:val="auto"/>
        </w:rPr>
      </w:pPr>
    </w:p>
    <w:p>
      <w:pPr>
        <w:ind w:left="660" w:right="540"/>
        <w:spacing w:after="0" w:line="286"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CD&amp;A, compensation tables and narrative discussion, is hereby APPROVED.”</w:t>
      </w:r>
    </w:p>
    <w:p>
      <w:pPr>
        <w:spacing w:after="0" w:line="48"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Because the Advisory Vote on Executive Compensation asks for a non-binding, advisory vote, there is no “required vote” that would constitute approval. Abstentions will have the effect of a vote against the proposal, and broker non-votes, if any, will not have any effect on the results of those deliberations. Although the vote you are being asked to cast is non-binding, we value the views of our stockholders, and our CMDC and our Board will consider the outcome of the vote when making future compensation decisions for our NEOs. As we describe in our CD&amp;A, our executive compensation programs embody a strong pay-for-performance philosophy that supports our business strategy and aligns the interests of our executives with those of our stockholders. In particular, our executive compensation programs reward financial, strategic and operational performance, and the goals set under our incentive plans support the company’s short- and long-range plans. In addition, to discourage excessive risk taking, we maintain policies for stock ownership, and our equity and short-term incentive programs have provisions providing for the recoupment of compensation. We also cap payments under our short-term incentive program, and we generally require multi-year vesting periods for LTI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141605</wp:posOffset>
            </wp:positionV>
            <wp:extent cx="6998970" cy="3124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8970" cy="312420"/>
                    </a:xfrm>
                    <a:prstGeom prst="rect">
                      <a:avLst/>
                    </a:prstGeom>
                    <a:noFill/>
                  </pic:spPr>
                </pic:pic>
              </a:graphicData>
            </a:graphic>
          </wp:anchor>
        </w:drawing>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OUR BOARD OF DIRECTORS RECOMMENDS THAT STOCKHOLDERS VOTE</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0075C9"/>
        </w:rPr>
        <w:t xml:space="preserve">FOR </w:t>
      </w:r>
      <w:r>
        <w:rPr>
          <w:rFonts w:ascii="Arial" w:cs="Arial" w:eastAsia="Arial" w:hAnsi="Arial"/>
          <w:sz w:val="16"/>
          <w:szCs w:val="16"/>
          <w:b w:val="1"/>
          <w:bCs w:val="1"/>
          <w:i w:val="1"/>
          <w:iCs w:val="1"/>
          <w:color w:val="000000"/>
        </w:rPr>
        <w:t>THE APPROVAL OF THE RESOLUTION SET FORTH ABOVE.</w:t>
      </w:r>
    </w:p>
    <w:p>
      <w:pPr>
        <w:spacing w:after="0" w:line="219"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4541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19735" cy="145415"/>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-28-</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900"/>
        <w:spacing w:after="0"/>
        <w:rPr>
          <w:sz w:val="20"/>
          <w:szCs w:val="20"/>
          <w:color w:val="auto"/>
        </w:rPr>
      </w:pPr>
      <w:r>
        <w:rPr>
          <w:rFonts w:ascii="Arial" w:cs="Arial" w:eastAsia="Arial" w:hAnsi="Arial"/>
          <w:sz w:val="19"/>
          <w:szCs w:val="19"/>
          <w:color w:val="0075C9"/>
        </w:rPr>
        <w:t>Letter from the Compensation and Management Development Committee (CMDC)</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Letter from the Compensation and Management Development Committee (CMDC)</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Dear Fellow Stockholders,</w:t>
      </w:r>
    </w:p>
    <w:p>
      <w:pPr>
        <w:spacing w:after="0" w:line="113"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Biogen continues to progress its portfolio across neuroscience, immunology and rare diseases. Within that context, the Biogen Compensation and Management Development Committee ensures the alignment of executive compensation, balancing near-term execution and long-term stockholder value creation.</w:t>
      </w:r>
    </w:p>
    <w:p>
      <w:pPr>
        <w:spacing w:after="0" w:line="63"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In 2025, the CMDC set reasonable, challenging performance goals after careful evaluation of risks and opportunities. Management execution exceeded those goals, and the STI cash payout reflects this in-year performance. At the same time, the three-year rTSR underperformed peers as we transition our portfolio and, in alignment with our pay-for-performance design, executives (which we define as all employees at the level of Vice President and above) received no payout under the LTI performance program for the second year in a row. These outcomes appropriately reflect the progress we are making in the near-term and provide accountability for long-term stockholder value creation.</w:t>
      </w:r>
    </w:p>
    <w:p>
      <w:pPr>
        <w:spacing w:after="0" w:line="72"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We remain committed to continued engagement with our stockholders, and we have adjusted several aspects of our executive compensation plan in 2026 based on your feedback.</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0075C9"/>
        </w:rPr>
        <w:t>Stockholder alignment: Engagement and 2026 enhancements informed by feedback</w:t>
      </w:r>
    </w:p>
    <w:p>
      <w:pPr>
        <w:spacing w:after="0" w:line="108"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Throughout 2025, including following the 2025 Annual Meeting, the CMDC and other independent directors continued to engage with our stockholders. We reached out to stockholders representing 62% of our outstanding shares of common stock, and 9 engaged with us, including 3 who voted against Say-On-Pay. This feedback plays a vital role in the ongoing evaluation and evolution of our executive compensation programs and directly shaped the 2026 program enhancements implemented. These changes are intended to further align executive compensation outcomes with delivering strong near-term operational performance and long-term stockholder returns, strengthen performance goal rigor, and enhance pay program transparency.</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0075C9"/>
        </w:rPr>
        <w:t>Goal setting: Thorough and disciplined process</w:t>
      </w:r>
    </w:p>
    <w:p>
      <w:pPr>
        <w:spacing w:after="0" w:line="10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The CMDC designed 2025 performance targets to be rigorous in the context of expected double digit decline in multiple sclerosis portfolio revenue driven by loss of exclusivity, partially offset by revenue growth from SKYCLARYS, LEQEMBI, SPINRAZA and ZURZUVAE. These goals reflected a balanced view of risks and opportunities, specific context of each of the products, and challenging goals for new product launches.</w:t>
      </w:r>
    </w:p>
    <w:p>
      <w:pPr>
        <w:spacing w:after="0" w:line="63"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To better align the compensation program with the portfolio changes, we added a new metric to capture the contribution of these products – growth product revenue – weighted 25% of the total STI score. We also added challenging pipeline progression targets consistent with accelerating the portfolio transition. At the end of 2025, strong commercial, research and development execution led to outperforming these targets for the year. In line with stockholder discussions encouraging increased performance-linked equity compensation to further motivate long-term stockholder value creation, we elected to calculate the 2025 CEO STI payout solely based on company results, without consideration of the CEO individual multiplier.</w:t>
      </w:r>
    </w:p>
    <w:p>
      <w:pPr>
        <w:spacing w:after="0" w:line="72" w:lineRule="exact"/>
        <w:rPr>
          <w:sz w:val="20"/>
          <w:szCs w:val="20"/>
          <w:color w:val="auto"/>
        </w:rPr>
      </w:pPr>
    </w:p>
    <w:p>
      <w:pPr>
        <w:ind w:left="120" w:right="20"/>
        <w:spacing w:after="0" w:line="227" w:lineRule="auto"/>
        <w:rPr>
          <w:sz w:val="20"/>
          <w:szCs w:val="20"/>
          <w:color w:val="auto"/>
        </w:rPr>
      </w:pPr>
      <w:r>
        <w:rPr>
          <w:rFonts w:ascii="Arial" w:cs="Arial" w:eastAsia="Arial" w:hAnsi="Arial"/>
          <w:sz w:val="16"/>
          <w:szCs w:val="16"/>
          <w:color w:val="auto"/>
        </w:rPr>
        <w:t>In 2026, aligned with increased rigor on year-over-year performance, the CMDC implemented additional requirements that must be met before STI awards pay out above target: 2026 revenue metric will payout above target only if actual revenue is higher than prior year revenue, and 2026 EPS metric will payout above target only if EPS outperforms the 90th percentile analyst consensus (as of January 2026). In addition, we also implemented updates to LTI awards, specifically in the 2026 PSUs, in response to feedback we received from stockholders: we changed the requirement for PSUs to vest at target from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to 55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to ensure above-median performance for target payout; and we added a pipeline metric (weighted 25%) to our</w:t>
      </w:r>
    </w:p>
    <w:p>
      <w:pPr>
        <w:spacing w:after="0" w:line="4"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2026 PSUs to reflect the multi-year time horizon to develop, receive approval, and commercialize new treatments. Considering stockholder feedback, we also adjusted our peer group to more closely align with our revenue and market cap on average. With these changes, we believe the executive compensation program is aligned with stockholder feedback and remains competitive to attract and retain the talent needed to advance our strategy.</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color w:val="0075C9"/>
        </w:rPr>
        <w:t>Maintaining accountability for long-term stockholder returns</w:t>
      </w:r>
    </w:p>
    <w:p>
      <w:pPr>
        <w:spacing w:after="0" w:line="108"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LTI awards, which consist of both PSUs and RSUs, provide the greatest alignment of executive pay with stockholder experience, representing approximately 80% of CEO target compensation and 75% of the NEO pay mix (excluding the CEO). Annual LTI awards include 60% of total award value in PSUs to align value earned with sustainable long-term stockholder value creation. During our conversations, stockholders consistently agreed with our approach to evaluate our executive compensation plan based on realizable pay and not just based on awarded pay.</w:t>
      </w:r>
    </w:p>
    <w:p>
      <w:pPr>
        <w:spacing w:after="0" w:line="70"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The CEO’s new-hire PSUs (grant date value of $16.8 million) expired unearned in December 2025 delivering $0 because we did not achieve the threshold performance required. His new-hire stock options remain underwater with $0 earned value as of April 28, 2026. Further, the 2023–2025 PSU cycle and the 2022–2024 PSU cycle also expired with $0 value delivered because we did not achieve the threshold performance required. The CMDC did not provide any special awards or adjustments to offset these results, demonstrating our commitment to pay outcomes under Biogen’s pay-for-performance framework.</w:t>
      </w:r>
    </w:p>
    <w:p>
      <w:pPr>
        <w:spacing w:after="0" w:line="320"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-29-</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900"/>
        <w:spacing w:after="0"/>
        <w:rPr>
          <w:sz w:val="20"/>
          <w:szCs w:val="20"/>
          <w:color w:val="auto"/>
        </w:rPr>
      </w:pPr>
      <w:r>
        <w:rPr>
          <w:rFonts w:ascii="Arial" w:cs="Arial" w:eastAsia="Arial" w:hAnsi="Arial"/>
          <w:sz w:val="19"/>
          <w:szCs w:val="19"/>
          <w:color w:val="0075C9"/>
        </w:rPr>
        <w:t>Letter from the Compensation and Management Development Committee (CMDC)</w:t>
      </w:r>
    </w:p>
    <w:p>
      <w:pPr>
        <w:spacing w:after="0" w:line="154"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When comparing the CEO awarded pay at target versus the CEO actual pay earned, which we refer to as realizable pay, the realizable pay between his hire in 2022 and the end of 2025 is 48% lower than target pay awarded for that period, demonstrating that Biogen’s pay-for-performance design is functioning as intended—recognizing operational achievements in the short-term while maintaining accountability for long-term stock underperformance.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0075C9"/>
        </w:rPr>
        <w:t>Conclusion</w:t>
      </w:r>
    </w:p>
    <w:p>
      <w:pPr>
        <w:spacing w:after="0" w:line="108" w:lineRule="exact"/>
        <w:rPr>
          <w:sz w:val="20"/>
          <w:szCs w:val="20"/>
          <w:color w:val="auto"/>
        </w:rPr>
      </w:pPr>
    </w:p>
    <w:p>
      <w:pPr>
        <w:ind w:left="120" w:right="300"/>
        <w:spacing w:after="0" w:line="266" w:lineRule="auto"/>
        <w:rPr>
          <w:sz w:val="20"/>
          <w:szCs w:val="20"/>
          <w:color w:val="auto"/>
        </w:rPr>
      </w:pPr>
      <w:r>
        <w:rPr>
          <w:rFonts w:ascii="Arial" w:cs="Arial" w:eastAsia="Arial" w:hAnsi="Arial"/>
          <w:sz w:val="16"/>
          <w:szCs w:val="16"/>
          <w:color w:val="auto"/>
        </w:rPr>
        <w:t>The CMDC remains committed to compensation programs that reward meaningful performance, maintain accountability, attract and retain competitive talent, and support Biogen’s long-term strategy. We continue to set rigorous and challenging goals based on thorough analysis, in the context of the company’s multi-year strategy.</w:t>
      </w:r>
    </w:p>
    <w:p>
      <w:pPr>
        <w:spacing w:after="0" w:line="63" w:lineRule="exact"/>
        <w:rPr>
          <w:sz w:val="20"/>
          <w:szCs w:val="20"/>
          <w:color w:val="auto"/>
        </w:rPr>
      </w:pPr>
    </w:p>
    <w:p>
      <w:pPr>
        <w:ind w:left="120" w:right="580"/>
        <w:spacing w:after="0" w:line="266" w:lineRule="auto"/>
        <w:rPr>
          <w:sz w:val="20"/>
          <w:szCs w:val="20"/>
          <w:color w:val="auto"/>
        </w:rPr>
      </w:pPr>
      <w:r>
        <w:rPr>
          <w:rFonts w:ascii="Arial" w:cs="Arial" w:eastAsia="Arial" w:hAnsi="Arial"/>
          <w:sz w:val="16"/>
          <w:szCs w:val="16"/>
          <w:color w:val="auto"/>
        </w:rPr>
        <w:t>Since the reorganization of the Board and the hiring of the new CEO, we believe Biogen’s compensation outcomes demonstrate that our pay-for-performance framework is working as intended: Executives are rewarded for delivering strong operational progress, while long-term equity outcomes and total compensation remain directly tied to stockholder returns.</w:t>
      </w:r>
    </w:p>
    <w:p>
      <w:pPr>
        <w:spacing w:after="0" w:line="63"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The enhancements implemented for 2026 further strengthen the alignment between executive compensation and stockholder interests, add rigor to year-over-year goals, support the performance-based culture essential for Biogen’s next phase of growth, and provide adequate support to attract and retain top talent.</w:t>
      </w:r>
    </w:p>
    <w:p>
      <w:pPr>
        <w:spacing w:after="0" w:line="63"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As you consider your vote, we ask for your support of our executive compensation program, further aligned to your feedback with the 2026 enhancements described above.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Thank you for your continued engagement and support.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Sincerely,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Compensation and Management Development Committee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behalf of the Board of Directors</w:t>
      </w:r>
    </w:p>
    <w:p>
      <w:pPr>
        <w:spacing w:after="0" w:line="152"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-30-</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660"/>
        <w:spacing w:after="0"/>
        <w:rPr>
          <w:sz w:val="20"/>
          <w:szCs w:val="20"/>
          <w:color w:val="auto"/>
        </w:rPr>
      </w:pPr>
      <w:r>
        <w:rPr>
          <w:rFonts w:ascii="Arial" w:cs="Arial" w:eastAsia="Arial" w:hAnsi="Arial"/>
          <w:sz w:val="19"/>
          <w:szCs w:val="19"/>
          <w:color w:val="0075C9"/>
        </w:rPr>
        <w:t>Compensation Discussion and Analysis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32"/>
          <w:szCs w:val="32"/>
          <w:color w:val="0075C9"/>
        </w:rPr>
        <w:t>Our Track Record of Responsiveness to Stockholder Feedback</w:t>
      </w:r>
    </w:p>
    <w:p>
      <w:pPr>
        <w:spacing w:after="0" w:line="240" w:lineRule="exact"/>
        <w:rPr>
          <w:sz w:val="20"/>
          <w:szCs w:val="20"/>
          <w:color w:val="auto"/>
        </w:rPr>
      </w:pPr>
    </w:p>
    <w:p>
      <w:pPr>
        <w:jc w:val="both"/>
        <w:ind w:left="120" w:right="140"/>
        <w:spacing w:after="0" w:line="256" w:lineRule="auto"/>
        <w:rPr>
          <w:sz w:val="20"/>
          <w:szCs w:val="20"/>
          <w:color w:val="auto"/>
        </w:rPr>
      </w:pPr>
      <w:r>
        <w:rPr>
          <w:rFonts w:ascii="Arial" w:cs="Arial" w:eastAsia="Arial" w:hAnsi="Arial"/>
          <w:sz w:val="16"/>
          <w:szCs w:val="16"/>
          <w:color w:val="auto"/>
        </w:rPr>
        <w:t>Our Board values the views of our stockholders and solicits input from them throughout the year. Following the 2025 Annual Meeting where our Say on Pay proposal received 67.7% support, the CMDC and our Board conducted stockholder engagement to better understand stockholder perspectives. We engaged stockholders to get feedback on a range of topics including specific aspects of our business strategy, capital allocation, corporate governance, and our executive compensation practices. All of the stockholder engagement calls were led by our Board and CGC Chair and attended by the Chairs of the CMDC and/or Audit Committee and/or other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7003415" cy="1440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03415" cy="1440180"/>
                    </a:xfrm>
                    <a:prstGeom prst="rect">
                      <a:avLst/>
                    </a:prstGeom>
                    <a:noFill/>
                  </pic:spPr>
                </pic:pic>
              </a:graphicData>
            </a:graphic>
          </wp:anchor>
        </w:drawing>
      </w: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FFFFFF"/>
        </w:rPr>
        <w:t>Stockholder Outreach Following the 2025 Annual Meeting</w:t>
      </w:r>
    </w:p>
    <w:p>
      <w:pPr>
        <w:spacing w:after="0" w:line="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0075C9"/>
        </w:rPr>
        <w:t xml:space="preserve">We reached out to our top </w:t>
      </w:r>
      <w:r>
        <w:rPr>
          <w:rFonts w:ascii="Arial" w:cs="Arial" w:eastAsia="Arial" w:hAnsi="Arial"/>
          <w:sz w:val="18"/>
          <w:szCs w:val="18"/>
          <w:b w:val="1"/>
          <w:bCs w:val="1"/>
          <w:color w:val="0075C9"/>
        </w:rPr>
        <w:t>30</w:t>
      </w:r>
      <w:r>
        <w:rPr>
          <w:rFonts w:ascii="Arial" w:cs="Arial" w:eastAsia="Arial" w:hAnsi="Arial"/>
          <w:sz w:val="18"/>
          <w:szCs w:val="18"/>
          <w:color w:val="0075C9"/>
        </w:rPr>
        <w:t xml:space="preserve"> stockholders who collectively owned </w:t>
      </w:r>
      <w:r>
        <w:rPr>
          <w:rFonts w:ascii="Arial" w:cs="Arial" w:eastAsia="Arial" w:hAnsi="Arial"/>
          <w:sz w:val="28"/>
          <w:szCs w:val="28"/>
          <w:b w:val="1"/>
          <w:bCs w:val="1"/>
          <w:color w:val="0075C9"/>
        </w:rPr>
        <w:t>62%</w:t>
      </w:r>
      <w:r>
        <w:rPr>
          <w:rFonts w:ascii="Arial" w:cs="Arial" w:eastAsia="Arial" w:hAnsi="Arial"/>
          <w:sz w:val="18"/>
          <w:szCs w:val="18"/>
          <w:color w:val="0075C9"/>
        </w:rPr>
        <w:t xml:space="preserve"> of O/S Stock</w:t>
      </w:r>
      <w:r>
        <w:rPr>
          <w:rFonts w:ascii="Arial" w:cs="Arial" w:eastAsia="Arial" w:hAnsi="Arial"/>
          <w:sz w:val="26"/>
          <w:szCs w:val="26"/>
          <w:color w:val="0075C9"/>
          <w:vertAlign w:val="superscript"/>
        </w:rPr>
        <w:t>1</w:t>
      </w:r>
    </w:p>
    <w:p>
      <w:pPr>
        <w:spacing w:after="0" w:line="49"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0075C9"/>
        </w:rPr>
        <w:t xml:space="preserve">that included </w:t>
      </w:r>
      <w:r>
        <w:rPr>
          <w:rFonts w:ascii="Arial" w:cs="Arial" w:eastAsia="Arial" w:hAnsi="Arial"/>
          <w:sz w:val="18"/>
          <w:szCs w:val="18"/>
          <w:b w:val="1"/>
          <w:bCs w:val="1"/>
          <w:i w:val="1"/>
          <w:iCs w:val="1"/>
          <w:color w:val="0075C9"/>
        </w:rPr>
        <w:t>16</w:t>
      </w:r>
      <w:r>
        <w:rPr>
          <w:rFonts w:ascii="Arial" w:cs="Arial" w:eastAsia="Arial" w:hAnsi="Arial"/>
          <w:sz w:val="18"/>
          <w:szCs w:val="18"/>
          <w:i w:val="1"/>
          <w:iCs w:val="1"/>
          <w:color w:val="0075C9"/>
        </w:rPr>
        <w:t xml:space="preserve"> stockholders who voted Against 2025 Say on Pay</w:t>
      </w:r>
    </w:p>
    <w:p>
      <w:pPr>
        <w:spacing w:after="0" w:line="19" w:lineRule="exact"/>
        <w:rPr>
          <w:sz w:val="20"/>
          <w:szCs w:val="20"/>
          <w:color w:val="auto"/>
        </w:rPr>
      </w:pPr>
    </w:p>
    <w:p>
      <w:pPr>
        <w:ind w:left="2260"/>
        <w:spacing w:after="0"/>
        <w:rPr>
          <w:sz w:val="20"/>
          <w:szCs w:val="20"/>
          <w:color w:val="auto"/>
        </w:rPr>
      </w:pPr>
      <w:r>
        <w:rPr>
          <w:rFonts w:ascii="Arial" w:cs="Arial" w:eastAsia="Arial" w:hAnsi="Arial"/>
          <w:sz w:val="18"/>
          <w:szCs w:val="18"/>
          <w:color w:val="0075C9"/>
        </w:rPr>
        <w:t xml:space="preserve">We had </w:t>
      </w:r>
      <w:r>
        <w:rPr>
          <w:rFonts w:ascii="Arial" w:cs="Arial" w:eastAsia="Arial" w:hAnsi="Arial"/>
          <w:sz w:val="18"/>
          <w:szCs w:val="18"/>
          <w:b w:val="1"/>
          <w:bCs w:val="1"/>
          <w:color w:val="0075C9"/>
        </w:rPr>
        <w:t>9</w:t>
      </w:r>
      <w:r>
        <w:rPr>
          <w:rFonts w:ascii="Arial" w:cs="Arial" w:eastAsia="Arial" w:hAnsi="Arial"/>
          <w:sz w:val="18"/>
          <w:szCs w:val="18"/>
          <w:color w:val="0075C9"/>
        </w:rPr>
        <w:t xml:space="preserve"> discussions with stockholders who collectively owned </w:t>
      </w:r>
      <w:r>
        <w:rPr>
          <w:rFonts w:ascii="Arial" w:cs="Arial" w:eastAsia="Arial" w:hAnsi="Arial"/>
          <w:sz w:val="28"/>
          <w:szCs w:val="28"/>
          <w:b w:val="1"/>
          <w:bCs w:val="1"/>
          <w:color w:val="0075C9"/>
        </w:rPr>
        <w:t>23%</w:t>
      </w:r>
      <w:r>
        <w:rPr>
          <w:rFonts w:ascii="Arial" w:cs="Arial" w:eastAsia="Arial" w:hAnsi="Arial"/>
          <w:sz w:val="18"/>
          <w:szCs w:val="18"/>
          <w:color w:val="0075C9"/>
        </w:rPr>
        <w:t xml:space="preserve"> of O/S Stock</w:t>
      </w:r>
      <w:r>
        <w:rPr>
          <w:rFonts w:ascii="Arial" w:cs="Arial" w:eastAsia="Arial" w:hAnsi="Arial"/>
          <w:sz w:val="26"/>
          <w:szCs w:val="26"/>
          <w:color w:val="0075C9"/>
          <w:vertAlign w:val="superscript"/>
        </w:rPr>
        <w:t>1</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0075C9"/>
        </w:rPr>
        <w:t xml:space="preserve">that included </w:t>
      </w:r>
      <w:r>
        <w:rPr>
          <w:rFonts w:ascii="Arial" w:cs="Arial" w:eastAsia="Arial" w:hAnsi="Arial"/>
          <w:sz w:val="18"/>
          <w:szCs w:val="18"/>
          <w:b w:val="1"/>
          <w:bCs w:val="1"/>
          <w:i w:val="1"/>
          <w:iCs w:val="1"/>
          <w:color w:val="0075C9"/>
        </w:rPr>
        <w:t>3</w:t>
      </w:r>
      <w:r>
        <w:rPr>
          <w:rFonts w:ascii="Arial" w:cs="Arial" w:eastAsia="Arial" w:hAnsi="Arial"/>
          <w:sz w:val="18"/>
          <w:szCs w:val="18"/>
          <w:i w:val="1"/>
          <w:iCs w:val="1"/>
          <w:color w:val="0075C9"/>
        </w:rPr>
        <w:t xml:space="preserve"> stockholders who voted Against 2025 Say on Pay</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0075C9"/>
        </w:rPr>
        <w:t>Independent Directors,</w:t>
      </w:r>
    </w:p>
    <w:p>
      <w:pPr>
        <w:jc w:val="center"/>
        <w:ind w:right="-239"/>
        <w:spacing w:after="0" w:line="231" w:lineRule="auto"/>
        <w:rPr>
          <w:sz w:val="20"/>
          <w:szCs w:val="20"/>
          <w:color w:val="auto"/>
        </w:rPr>
      </w:pPr>
      <w:r>
        <w:rPr>
          <w:rFonts w:ascii="Arial" w:cs="Arial" w:eastAsia="Arial" w:hAnsi="Arial"/>
          <w:sz w:val="18"/>
          <w:szCs w:val="18"/>
          <w:color w:val="0075C9"/>
        </w:rPr>
        <w:t>including our Board and CGC Chair, and Chairs of the CMDC and/or Audit Committee</w:t>
      </w:r>
    </w:p>
    <w:p>
      <w:pPr>
        <w:jc w:val="center"/>
        <w:ind w:right="-239"/>
        <w:spacing w:after="0"/>
        <w:rPr>
          <w:sz w:val="20"/>
          <w:szCs w:val="20"/>
          <w:color w:val="auto"/>
        </w:rPr>
      </w:pPr>
      <w:r>
        <w:rPr>
          <w:rFonts w:ascii="Arial" w:cs="Arial" w:eastAsia="Arial" w:hAnsi="Arial"/>
          <w:sz w:val="18"/>
          <w:szCs w:val="18"/>
          <w:color w:val="0075C9"/>
        </w:rPr>
        <w:t xml:space="preserve">led </w:t>
      </w:r>
      <w:r>
        <w:rPr>
          <w:rFonts w:ascii="Arial" w:cs="Arial" w:eastAsia="Arial" w:hAnsi="Arial"/>
          <w:sz w:val="28"/>
          <w:szCs w:val="28"/>
          <w:b w:val="1"/>
          <w:bCs w:val="1"/>
          <w:color w:val="0075C9"/>
        </w:rPr>
        <w:t>100%</w:t>
      </w:r>
      <w:r>
        <w:rPr>
          <w:rFonts w:ascii="Arial" w:cs="Arial" w:eastAsia="Arial" w:hAnsi="Arial"/>
          <w:sz w:val="18"/>
          <w:szCs w:val="18"/>
          <w:color w:val="0075C9"/>
        </w:rPr>
        <w:t xml:space="preserve"> of these calls</w:t>
      </w:r>
    </w:p>
    <w:p>
      <w:pPr>
        <w:spacing w:after="0" w:line="45" w:lineRule="exact"/>
        <w:rPr>
          <w:sz w:val="20"/>
          <w:szCs w:val="20"/>
          <w:color w:val="auto"/>
        </w:rPr>
      </w:pPr>
    </w:p>
    <w:p>
      <w:pPr>
        <w:ind w:left="880" w:hanging="332"/>
        <w:spacing w:after="0"/>
        <w:tabs>
          <w:tab w:leader="none" w:pos="8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 As of December 31, 2025</w:t>
      </w:r>
    </w:p>
    <w:p>
      <w:pPr>
        <w:spacing w:after="0" w:line="151"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-31-</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660"/>
        <w:spacing w:after="0"/>
        <w:rPr>
          <w:sz w:val="20"/>
          <w:szCs w:val="20"/>
          <w:color w:val="auto"/>
        </w:rPr>
      </w:pPr>
      <w:r>
        <w:rPr>
          <w:rFonts w:ascii="Arial" w:cs="Arial" w:eastAsia="Arial" w:hAnsi="Arial"/>
          <w:sz w:val="19"/>
          <w:szCs w:val="19"/>
          <w:color w:val="0075C9"/>
        </w:rPr>
        <w:t>Compensation Discussion and Analysis</w:t>
      </w:r>
    </w:p>
    <w:p>
      <w:pPr>
        <w:spacing w:after="0" w:line="15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feedback and perspectives received from stockholders during these meetings were shared with the Board and served as an input to discussions at the Board and its committees, and ultimately informed decisions we made and actions we took for long-term value creation for our stockholders. We have also enhanced disclosures regarding the topics discussed during these stockholder engagement meetings. The table below provides a summary of the executive compensation-based feedback we received from stockholders, how the Board incorporated the feedback into its actions, and how these actions enhance stockholder value.</w:t>
      </w:r>
    </w:p>
    <w:p>
      <w:pPr>
        <w:spacing w:after="0" w:line="201" w:lineRule="exact"/>
        <w:rPr>
          <w:sz w:val="20"/>
          <w:szCs w:val="20"/>
          <w:color w:val="auto"/>
        </w:rPr>
      </w:pPr>
    </w:p>
    <w:tbl>
      <w:tblPr>
        <w:tblLayout w:type="fixed"/>
        <w:tblInd w:w="130" w:type="dxa"/>
        <w:tblCellMar>
          <w:top w:w="0" w:type="dxa"/>
          <w:left w:w="0" w:type="dxa"/>
          <w:bottom w:w="0" w:type="dxa"/>
          <w:right w:w="0" w:type="dxa"/>
        </w:tblCellMar>
      </w:tblPr>
      <w:tr>
        <w:trPr>
          <w:trHeight w:val="242"/>
        </w:trPr>
        <w:tc>
          <w:tcPr>
            <w:tcW w:w="3720" w:type="dxa"/>
            <w:vAlign w:val="bottom"/>
            <w:tcBorders>
              <w:top w:val="single" w:sz="8" w:color="auto"/>
              <w:left w:val="single" w:sz="8" w:color="auto"/>
              <w:right w:val="single" w:sz="8" w:color="auto"/>
            </w:tcBorders>
            <w:shd w:val="clear" w:color="auto" w:fill="0075C9"/>
          </w:tcPr>
          <w:p>
            <w:pPr>
              <w:ind w:left="1060"/>
              <w:spacing w:after="0"/>
              <w:rPr>
                <w:sz w:val="20"/>
                <w:szCs w:val="20"/>
                <w:color w:val="auto"/>
              </w:rPr>
            </w:pPr>
            <w:r>
              <w:rPr>
                <w:rFonts w:ascii="Arial" w:cs="Arial" w:eastAsia="Arial" w:hAnsi="Arial"/>
                <w:sz w:val="16"/>
                <w:szCs w:val="16"/>
                <w:b w:val="1"/>
                <w:bCs w:val="1"/>
                <w:color w:val="FFFFFF"/>
              </w:rPr>
              <w:t>Stockholder Feedback</w:t>
            </w:r>
          </w:p>
        </w:tc>
        <w:tc>
          <w:tcPr>
            <w:tcW w:w="3720" w:type="dxa"/>
            <w:vAlign w:val="bottom"/>
            <w:tcBorders>
              <w:top w:val="single" w:sz="8" w:color="auto"/>
              <w:right w:val="single" w:sz="8" w:color="auto"/>
            </w:tcBorders>
            <w:shd w:val="clear" w:color="auto" w:fill="0075C9"/>
          </w:tcPr>
          <w:p>
            <w:pPr>
              <w:ind w:left="1360"/>
              <w:spacing w:after="0"/>
              <w:rPr>
                <w:sz w:val="20"/>
                <w:szCs w:val="20"/>
                <w:color w:val="auto"/>
              </w:rPr>
            </w:pPr>
            <w:r>
              <w:rPr>
                <w:rFonts w:ascii="Arial" w:cs="Arial" w:eastAsia="Arial" w:hAnsi="Arial"/>
                <w:sz w:val="16"/>
                <w:szCs w:val="16"/>
                <w:b w:val="1"/>
                <w:bCs w:val="1"/>
                <w:color w:val="FFFFFF"/>
              </w:rPr>
              <w:t>Actions Taken</w:t>
            </w:r>
          </w:p>
        </w:tc>
        <w:tc>
          <w:tcPr>
            <w:tcW w:w="3600" w:type="dxa"/>
            <w:vAlign w:val="bottom"/>
            <w:tcBorders>
              <w:top w:val="single" w:sz="8" w:color="auto"/>
              <w:right w:val="single" w:sz="8" w:color="auto"/>
            </w:tcBorders>
            <w:shd w:val="clear" w:color="auto" w:fill="0075C9"/>
          </w:tcPr>
          <w:p>
            <w:pPr>
              <w:ind w:left="1180"/>
              <w:spacing w:after="0"/>
              <w:rPr>
                <w:sz w:val="20"/>
                <w:szCs w:val="20"/>
                <w:color w:val="auto"/>
              </w:rPr>
            </w:pPr>
            <w:r>
              <w:rPr>
                <w:rFonts w:ascii="Arial" w:cs="Arial" w:eastAsia="Arial" w:hAnsi="Arial"/>
                <w:sz w:val="16"/>
                <w:szCs w:val="16"/>
                <w:b w:val="1"/>
                <w:bCs w:val="1"/>
                <w:color w:val="FFFFFF"/>
              </w:rPr>
              <w:t>Impact of Action</w:t>
            </w: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right w:val="single" w:sz="8" w:color="auto"/>
            </w:tcBorders>
            <w:shd w:val="clear" w:color="auto" w:fill="0075C9"/>
          </w:tcPr>
          <w:p>
            <w:pPr>
              <w:ind w:left="1260"/>
              <w:spacing w:after="0"/>
              <w:rPr>
                <w:sz w:val="20"/>
                <w:szCs w:val="20"/>
                <w:color w:val="auto"/>
              </w:rPr>
            </w:pPr>
            <w:r>
              <w:rPr>
                <w:rFonts w:ascii="Arial" w:cs="Arial" w:eastAsia="Arial" w:hAnsi="Arial"/>
                <w:sz w:val="16"/>
                <w:szCs w:val="16"/>
                <w:b w:val="1"/>
                <w:bCs w:val="1"/>
                <w:color w:val="FFFFFF"/>
              </w:rPr>
              <w:t>“What We Heard”</w:t>
            </w:r>
          </w:p>
        </w:tc>
        <w:tc>
          <w:tcPr>
            <w:tcW w:w="3720" w:type="dxa"/>
            <w:vAlign w:val="bottom"/>
            <w:tcBorders>
              <w:right w:val="single" w:sz="8" w:color="auto"/>
            </w:tcBorders>
            <w:shd w:val="clear" w:color="auto" w:fill="0075C9"/>
          </w:tcPr>
          <w:p>
            <w:pPr>
              <w:ind w:left="1320"/>
              <w:spacing w:after="0"/>
              <w:rPr>
                <w:sz w:val="20"/>
                <w:szCs w:val="20"/>
                <w:color w:val="auto"/>
              </w:rPr>
            </w:pPr>
            <w:r>
              <w:rPr>
                <w:rFonts w:ascii="Arial" w:cs="Arial" w:eastAsia="Arial" w:hAnsi="Arial"/>
                <w:sz w:val="16"/>
                <w:szCs w:val="16"/>
                <w:b w:val="1"/>
                <w:bCs w:val="1"/>
                <w:color w:val="FFFFFF"/>
              </w:rPr>
              <w:t>“What We Did”</w:t>
            </w:r>
          </w:p>
        </w:tc>
        <w:tc>
          <w:tcPr>
            <w:tcW w:w="3600" w:type="dxa"/>
            <w:vAlign w:val="bottom"/>
            <w:tcBorders>
              <w:right w:val="single" w:sz="8" w:color="auto"/>
            </w:tcBorders>
            <w:shd w:val="clear" w:color="auto" w:fill="0075C9"/>
          </w:tcPr>
          <w:p>
            <w:pPr>
              <w:ind w:left="1000"/>
              <w:spacing w:after="0"/>
              <w:rPr>
                <w:sz w:val="20"/>
                <w:szCs w:val="20"/>
                <w:color w:val="auto"/>
              </w:rPr>
            </w:pPr>
            <w:r>
              <w:rPr>
                <w:rFonts w:ascii="Arial" w:cs="Arial" w:eastAsia="Arial" w:hAnsi="Arial"/>
                <w:sz w:val="16"/>
                <w:szCs w:val="16"/>
                <w:b w:val="1"/>
                <w:bCs w:val="1"/>
                <w:color w:val="FFFFFF"/>
              </w:rPr>
              <w:t>“Why It Is Important”</w:t>
            </w:r>
          </w:p>
        </w:tc>
        <w:tc>
          <w:tcPr>
            <w:tcW w:w="0" w:type="dxa"/>
            <w:vAlign w:val="bottom"/>
          </w:tcPr>
          <w:p>
            <w:pPr>
              <w:spacing w:after="0"/>
              <w:rPr>
                <w:sz w:val="1"/>
                <w:szCs w:val="1"/>
                <w:color w:val="auto"/>
              </w:rPr>
            </w:pPr>
          </w:p>
        </w:tc>
      </w:tr>
      <w:tr>
        <w:trPr>
          <w:trHeight w:val="62"/>
        </w:trPr>
        <w:tc>
          <w:tcPr>
            <w:tcW w:w="3720" w:type="dxa"/>
            <w:vAlign w:val="bottom"/>
            <w:tcBorders>
              <w:left w:val="single" w:sz="8" w:color="auto"/>
              <w:bottom w:val="single" w:sz="8" w:color="auto"/>
              <w:right w:val="single" w:sz="8" w:color="auto"/>
            </w:tcBorders>
            <w:shd w:val="clear" w:color="auto" w:fill="0075C9"/>
          </w:tcPr>
          <w:p>
            <w:pPr>
              <w:spacing w:after="0"/>
              <w:rPr>
                <w:sz w:val="5"/>
                <w:szCs w:val="5"/>
                <w:color w:val="auto"/>
              </w:rPr>
            </w:pPr>
          </w:p>
        </w:tc>
        <w:tc>
          <w:tcPr>
            <w:tcW w:w="3720" w:type="dxa"/>
            <w:vAlign w:val="bottom"/>
            <w:tcBorders>
              <w:bottom w:val="single" w:sz="8" w:color="auto"/>
              <w:right w:val="single" w:sz="8" w:color="auto"/>
            </w:tcBorders>
            <w:shd w:val="clear" w:color="auto" w:fill="0075C9"/>
          </w:tcPr>
          <w:p>
            <w:pPr>
              <w:spacing w:after="0"/>
              <w:rPr>
                <w:sz w:val="5"/>
                <w:szCs w:val="5"/>
                <w:color w:val="auto"/>
              </w:rPr>
            </w:pPr>
          </w:p>
        </w:tc>
        <w:tc>
          <w:tcPr>
            <w:tcW w:w="3600" w:type="dxa"/>
            <w:vAlign w:val="bottom"/>
            <w:tcBorders>
              <w:bottom w:val="single" w:sz="8" w:color="auto"/>
              <w:right w:val="single" w:sz="8" w:color="auto"/>
            </w:tcBorders>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720" w:type="dxa"/>
            <w:vAlign w:val="bottom"/>
            <w:tcBorders>
              <w:left w:val="single" w:sz="8" w:color="auto"/>
              <w:right w:val="single" w:sz="8" w:color="auto"/>
            </w:tcBorders>
          </w:tcPr>
          <w:p>
            <w:pPr>
              <w:spacing w:after="0"/>
              <w:rPr>
                <w:sz w:val="15"/>
                <w:szCs w:val="15"/>
                <w:color w:val="auto"/>
              </w:rPr>
            </w:pPr>
          </w:p>
        </w:tc>
        <w:tc>
          <w:tcPr>
            <w:tcW w:w="3720" w:type="dxa"/>
            <w:vAlign w:val="bottom"/>
            <w:tcBorders>
              <w:right w:val="single" w:sz="8" w:color="auto"/>
            </w:tcBorders>
          </w:tcPr>
          <w:p>
            <w:pPr>
              <w:ind w:left="100"/>
              <w:spacing w:after="0" w:line="18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Implemented additional requirements for our</w:t>
            </w:r>
          </w:p>
        </w:tc>
        <w:tc>
          <w:tcPr>
            <w:tcW w:w="3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STI program starting in 2026 to limit payouts to</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target for each financial metric:</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Revenue achievement component limited to</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Limit payout opportunities and outcomes when</w:t>
            </w:r>
          </w:p>
        </w:tc>
        <w:tc>
          <w:tcPr>
            <w:tcW w:w="37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target unless 2026 revenue surpasses 2025</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20" w:type="dxa"/>
            <w:vAlign w:val="bottom"/>
            <w:tcBorders>
              <w:left w:val="single" w:sz="8" w:color="auto"/>
              <w:right w:val="single" w:sz="8" w:color="auto"/>
            </w:tcBorders>
            <w:vMerge w:val="continue"/>
          </w:tcPr>
          <w:p>
            <w:pPr>
              <w:spacing w:after="0"/>
              <w:rPr>
                <w:sz w:val="15"/>
                <w:szCs w:val="15"/>
                <w:color w:val="auto"/>
              </w:rPr>
            </w:pPr>
          </w:p>
        </w:tc>
        <w:tc>
          <w:tcPr>
            <w:tcW w:w="3720" w:type="dxa"/>
            <w:vAlign w:val="bottom"/>
            <w:tcBorders>
              <w:right w:val="single" w:sz="8" w:color="auto"/>
            </w:tcBorders>
          </w:tcPr>
          <w:p>
            <w:pPr>
              <w:ind w:left="260"/>
              <w:spacing w:after="0" w:line="175" w:lineRule="exact"/>
              <w:rPr>
                <w:sz w:val="20"/>
                <w:szCs w:val="20"/>
                <w:color w:val="auto"/>
              </w:rPr>
            </w:pPr>
            <w:r>
              <w:rPr>
                <w:rFonts w:ascii="Arial" w:cs="Arial" w:eastAsia="Arial" w:hAnsi="Arial"/>
                <w:sz w:val="16"/>
                <w:szCs w:val="16"/>
                <w:color w:val="auto"/>
              </w:rPr>
              <w:t>revenue</w:t>
            </w:r>
          </w:p>
        </w:tc>
        <w:tc>
          <w:tcPr>
            <w:tcW w:w="3600" w:type="dxa"/>
            <w:vAlign w:val="bottom"/>
            <w:tcBorders>
              <w:right w:val="single" w:sz="8" w:color="auto"/>
            </w:tcBorders>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Limits financial metrics payouts when</w:t>
            </w:r>
          </w:p>
        </w:tc>
        <w:tc>
          <w:tcPr>
            <w:tcW w:w="0" w:type="dxa"/>
            <w:vAlign w:val="bottom"/>
          </w:tcPr>
          <w:p>
            <w:pPr>
              <w:spacing w:after="0"/>
              <w:rPr>
                <w:sz w:val="1"/>
                <w:szCs w:val="1"/>
                <w:color w:val="auto"/>
              </w:rPr>
            </w:pPr>
          </w:p>
        </w:tc>
      </w:tr>
      <w:tr>
        <w:trPr>
          <w:trHeight w:val="108"/>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Company financial performance is lower than the</w:t>
            </w: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  Growth product revenue achievement</w:t>
            </w:r>
          </w:p>
        </w:tc>
        <w:tc>
          <w:tcPr>
            <w:tcW w:w="3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720" w:type="dxa"/>
            <w:vAlign w:val="bottom"/>
            <w:tcBorders>
              <w:left w:val="single" w:sz="8" w:color="auto"/>
              <w:right w:val="single" w:sz="8" w:color="auto"/>
            </w:tcBorders>
            <w:vMerge w:val="continue"/>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3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performance is lower than prior year.</w:t>
            </w:r>
          </w:p>
        </w:tc>
        <w:tc>
          <w:tcPr>
            <w:tcW w:w="0" w:type="dxa"/>
            <w:vAlign w:val="bottom"/>
          </w:tcPr>
          <w:p>
            <w:pPr>
              <w:spacing w:after="0"/>
              <w:rPr>
                <w:sz w:val="1"/>
                <w:szCs w:val="1"/>
                <w:color w:val="auto"/>
              </w:rPr>
            </w:pPr>
          </w:p>
        </w:tc>
      </w:tr>
      <w:tr>
        <w:trPr>
          <w:trHeight w:val="203"/>
        </w:trPr>
        <w:tc>
          <w:tcPr>
            <w:tcW w:w="3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prior year.</w:t>
            </w:r>
          </w:p>
        </w:tc>
        <w:tc>
          <w:tcPr>
            <w:tcW w:w="37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component limited to target unless 2026 growth</w:t>
            </w:r>
          </w:p>
        </w:tc>
        <w:tc>
          <w:tcPr>
            <w:tcW w:w="36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product revenue surpasses 2025 growth</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product revenue, and</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EPS achievement component limited to target</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unless 2026 EPS exceeds the 90th percentile</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Borders>
              <w:left w:val="single" w:sz="8" w:color="auto"/>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of analyst consensus (as of January 2026).</w:t>
            </w:r>
          </w:p>
        </w:tc>
        <w:tc>
          <w:tcPr>
            <w:tcW w:w="3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720" w:type="dxa"/>
            <w:vAlign w:val="bottom"/>
            <w:tcBorders>
              <w:left w:val="single" w:sz="8" w:color="auto"/>
              <w:right w:val="single" w:sz="8" w:color="auto"/>
            </w:tcBorders>
          </w:tcPr>
          <w:p>
            <w:pPr>
              <w:ind w:left="160"/>
              <w:spacing w:after="0" w:line="168" w:lineRule="exact"/>
              <w:rPr>
                <w:sz w:val="20"/>
                <w:szCs w:val="20"/>
                <w:color w:val="auto"/>
              </w:rPr>
            </w:pPr>
            <w:r>
              <w:rPr>
                <w:rFonts w:ascii="Arial" w:cs="Arial" w:eastAsia="Arial" w:hAnsi="Arial"/>
                <w:sz w:val="16"/>
                <w:szCs w:val="16"/>
                <w:color w:val="auto"/>
              </w:rPr>
              <w:t>Include a pipeline performance metric into PSUs</w:t>
            </w:r>
          </w:p>
        </w:tc>
        <w:tc>
          <w:tcPr>
            <w:tcW w:w="3720" w:type="dxa"/>
            <w:vAlign w:val="bottom"/>
            <w:tcBorders>
              <w:right w:val="single" w:sz="8" w:color="auto"/>
            </w:tcBorders>
          </w:tcPr>
          <w:p>
            <w:pPr>
              <w:ind w:left="100"/>
              <w:spacing w:after="0" w:line="16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Added a new pipeline development metric to</w:t>
            </w:r>
          </w:p>
        </w:tc>
        <w:tc>
          <w:tcPr>
            <w:tcW w:w="3600" w:type="dxa"/>
            <w:vAlign w:val="bottom"/>
            <w:tcBorders>
              <w:right w:val="single" w:sz="8" w:color="auto"/>
            </w:tcBorders>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Strengthens PSU alignment with a key driver</w:t>
            </w:r>
          </w:p>
        </w:tc>
        <w:tc>
          <w:tcPr>
            <w:tcW w:w="0" w:type="dxa"/>
            <w:vAlign w:val="bottom"/>
          </w:tcPr>
          <w:p>
            <w:pPr>
              <w:spacing w:after="0"/>
              <w:rPr>
                <w:sz w:val="1"/>
                <w:szCs w:val="1"/>
                <w:color w:val="auto"/>
              </w:rPr>
            </w:pPr>
          </w:p>
        </w:tc>
      </w:tr>
      <w:tr>
        <w:trPr>
          <w:trHeight w:val="108"/>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to incentivize long-term pipeline growth.</w:t>
            </w: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2026 PSUs to incorporate our long-term</w:t>
            </w:r>
          </w:p>
        </w:tc>
        <w:tc>
          <w:tcPr>
            <w:tcW w:w="3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continue"/>
          </w:tcPr>
          <w:p>
            <w:pPr>
              <w:spacing w:after="0"/>
              <w:rPr>
                <w:sz w:val="8"/>
                <w:szCs w:val="8"/>
                <w:color w:val="auto"/>
              </w:rPr>
            </w:pPr>
          </w:p>
        </w:tc>
        <w:tc>
          <w:tcPr>
            <w:tcW w:w="3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long-term stockholder value.</w:t>
            </w:r>
          </w:p>
        </w:tc>
        <w:tc>
          <w:tcPr>
            <w:tcW w:w="0" w:type="dxa"/>
            <w:vAlign w:val="bottom"/>
          </w:tcPr>
          <w:p>
            <w:pPr>
              <w:spacing w:after="0"/>
              <w:rPr>
                <w:sz w:val="1"/>
                <w:szCs w:val="1"/>
                <w:color w:val="auto"/>
              </w:rPr>
            </w:pPr>
          </w:p>
        </w:tc>
      </w:tr>
      <w:tr>
        <w:trPr>
          <w:trHeight w:val="120"/>
        </w:trPr>
        <w:tc>
          <w:tcPr>
            <w:tcW w:w="3720" w:type="dxa"/>
            <w:vAlign w:val="bottom"/>
            <w:tcBorders>
              <w:left w:val="single" w:sz="8" w:color="auto"/>
              <w:right w:val="single" w:sz="8" w:color="auto"/>
            </w:tcBorders>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sustainable growth goals.</w:t>
            </w:r>
          </w:p>
        </w:tc>
        <w:tc>
          <w:tcPr>
            <w:tcW w:w="3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3720" w:type="dxa"/>
            <w:vAlign w:val="bottom"/>
            <w:tcBorders>
              <w:bottom w:val="single" w:sz="8" w:color="auto"/>
              <w:right w:val="single" w:sz="8" w:color="auto"/>
            </w:tcBorders>
            <w:vMerge w:val="continue"/>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Incentivize above-median performance.</w:t>
            </w:r>
          </w:p>
        </w:tc>
        <w:tc>
          <w:tcPr>
            <w:tcW w:w="3720" w:type="dxa"/>
            <w:vAlign w:val="bottom"/>
            <w:tcBorders>
              <w:right w:val="single" w:sz="8" w:color="auto"/>
            </w:tcBorders>
          </w:tcPr>
          <w:p>
            <w:pPr>
              <w:ind w:left="100"/>
              <w:spacing w:after="0" w:line="18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Increased rTSR metric target performance</w:t>
            </w:r>
          </w:p>
        </w:tc>
        <w:tc>
          <w:tcPr>
            <w:tcW w:w="3600" w:type="dxa"/>
            <w:vAlign w:val="bottom"/>
            <w:tcBorders>
              <w:right w:val="single" w:sz="8" w:color="auto"/>
            </w:tcBorders>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Increases the rigor required to achieve a</w:t>
            </w:r>
          </w:p>
        </w:tc>
        <w:tc>
          <w:tcPr>
            <w:tcW w:w="0" w:type="dxa"/>
            <w:vAlign w:val="bottom"/>
          </w:tcPr>
          <w:p>
            <w:pPr>
              <w:spacing w:after="0"/>
              <w:rPr>
                <w:sz w:val="1"/>
                <w:szCs w:val="1"/>
                <w:color w:val="auto"/>
              </w:rPr>
            </w:pPr>
          </w:p>
        </w:tc>
      </w:tr>
      <w:tr>
        <w:trPr>
          <w:trHeight w:val="94"/>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restart"/>
          </w:tcPr>
          <w:p>
            <w:pPr>
              <w:ind w:left="100"/>
              <w:spacing w:after="0" w:line="189" w:lineRule="exact"/>
              <w:rPr>
                <w:sz w:val="20"/>
                <w:szCs w:val="20"/>
                <w:color w:val="auto"/>
              </w:rPr>
            </w:pPr>
            <w:r>
              <w:rPr>
                <w:rFonts w:ascii="Arial" w:cs="Arial" w:eastAsia="Arial" w:hAnsi="Arial"/>
                <w:sz w:val="14"/>
                <w:szCs w:val="14"/>
                <w:color w:val="auto"/>
              </w:rPr>
              <w:t>requirement in our LTI Program from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to 55</w:t>
            </w:r>
            <w:r>
              <w:rPr>
                <w:rFonts w:ascii="Arial" w:cs="Arial" w:eastAsia="Arial" w:hAnsi="Arial"/>
                <w:sz w:val="21"/>
                <w:szCs w:val="21"/>
                <w:color w:val="auto"/>
                <w:vertAlign w:val="superscript"/>
              </w:rPr>
              <w:t>th</w:t>
            </w:r>
          </w:p>
        </w:tc>
        <w:tc>
          <w:tcPr>
            <w:tcW w:w="3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continue"/>
          </w:tcPr>
          <w:p>
            <w:pPr>
              <w:spacing w:after="0"/>
              <w:rPr>
                <w:sz w:val="8"/>
                <w:szCs w:val="8"/>
                <w:color w:val="auto"/>
              </w:rPr>
            </w:pPr>
          </w:p>
        </w:tc>
        <w:tc>
          <w:tcPr>
            <w:tcW w:w="3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100% payout for the rTSR metric.</w:t>
            </w:r>
          </w:p>
        </w:tc>
        <w:tc>
          <w:tcPr>
            <w:tcW w:w="0" w:type="dxa"/>
            <w:vAlign w:val="bottom"/>
          </w:tcPr>
          <w:p>
            <w:pPr>
              <w:spacing w:after="0"/>
              <w:rPr>
                <w:sz w:val="1"/>
                <w:szCs w:val="1"/>
                <w:color w:val="auto"/>
              </w:rPr>
            </w:pPr>
          </w:p>
        </w:tc>
      </w:tr>
      <w:tr>
        <w:trPr>
          <w:trHeight w:val="120"/>
        </w:trPr>
        <w:tc>
          <w:tcPr>
            <w:tcW w:w="3720" w:type="dxa"/>
            <w:vAlign w:val="bottom"/>
            <w:tcBorders>
              <w:left w:val="single" w:sz="8" w:color="auto"/>
              <w:right w:val="single" w:sz="8" w:color="auto"/>
            </w:tcBorders>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percentile in 2026.</w:t>
            </w:r>
          </w:p>
        </w:tc>
        <w:tc>
          <w:tcPr>
            <w:tcW w:w="3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3720" w:type="dxa"/>
            <w:vAlign w:val="bottom"/>
            <w:tcBorders>
              <w:bottom w:val="single" w:sz="8" w:color="auto"/>
              <w:right w:val="single" w:sz="8" w:color="auto"/>
            </w:tcBorders>
            <w:vMerge w:val="continue"/>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Ensure appropriate benchmarking.</w:t>
            </w:r>
          </w:p>
        </w:tc>
        <w:tc>
          <w:tcPr>
            <w:tcW w:w="3720" w:type="dxa"/>
            <w:vAlign w:val="bottom"/>
            <w:tcBorders>
              <w:right w:val="single" w:sz="8" w:color="auto"/>
            </w:tcBorders>
          </w:tcPr>
          <w:p>
            <w:pPr>
              <w:ind w:left="100"/>
              <w:spacing w:after="0" w:line="18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Updated 2026 peer group to remove three</w:t>
            </w:r>
          </w:p>
        </w:tc>
        <w:tc>
          <w:tcPr>
            <w:tcW w:w="3600" w:type="dxa"/>
            <w:vAlign w:val="bottom"/>
            <w:tcBorders>
              <w:right w:val="single" w:sz="8" w:color="auto"/>
            </w:tcBorders>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Better aligns our peer group closer to</w:t>
            </w:r>
          </w:p>
        </w:tc>
        <w:tc>
          <w:tcPr>
            <w:tcW w:w="0" w:type="dxa"/>
            <w:vAlign w:val="bottom"/>
          </w:tcPr>
          <w:p>
            <w:pPr>
              <w:spacing w:after="0"/>
              <w:rPr>
                <w:sz w:val="1"/>
                <w:szCs w:val="1"/>
                <w:color w:val="auto"/>
              </w:rPr>
            </w:pPr>
          </w:p>
        </w:tc>
      </w:tr>
      <w:tr>
        <w:trPr>
          <w:trHeight w:val="94"/>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peers (Eli Lilly, AbbVie and Merck) and add</w:t>
            </w:r>
          </w:p>
        </w:tc>
        <w:tc>
          <w:tcPr>
            <w:tcW w:w="3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continue"/>
          </w:tcPr>
          <w:p>
            <w:pPr>
              <w:spacing w:after="0"/>
              <w:rPr>
                <w:sz w:val="8"/>
                <w:szCs w:val="8"/>
                <w:color w:val="auto"/>
              </w:rPr>
            </w:pPr>
          </w:p>
        </w:tc>
        <w:tc>
          <w:tcPr>
            <w:tcW w:w="3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Biogen’s size, revenue and market cap.</w:t>
            </w:r>
          </w:p>
        </w:tc>
        <w:tc>
          <w:tcPr>
            <w:tcW w:w="0" w:type="dxa"/>
            <w:vAlign w:val="bottom"/>
          </w:tcPr>
          <w:p>
            <w:pPr>
              <w:spacing w:after="0"/>
              <w:rPr>
                <w:sz w:val="1"/>
                <w:szCs w:val="1"/>
                <w:color w:val="auto"/>
              </w:rPr>
            </w:pPr>
          </w:p>
        </w:tc>
      </w:tr>
      <w:tr>
        <w:trPr>
          <w:trHeight w:val="120"/>
        </w:trPr>
        <w:tc>
          <w:tcPr>
            <w:tcW w:w="3720" w:type="dxa"/>
            <w:vAlign w:val="bottom"/>
            <w:tcBorders>
              <w:left w:val="single" w:sz="8" w:color="auto"/>
              <w:right w:val="single" w:sz="8" w:color="auto"/>
            </w:tcBorders>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BeOne Medicines.</w:t>
            </w:r>
          </w:p>
        </w:tc>
        <w:tc>
          <w:tcPr>
            <w:tcW w:w="3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3720" w:type="dxa"/>
            <w:vAlign w:val="bottom"/>
            <w:tcBorders>
              <w:bottom w:val="single" w:sz="8" w:color="auto"/>
              <w:right w:val="single" w:sz="8" w:color="auto"/>
            </w:tcBorders>
            <w:vMerge w:val="continue"/>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720" w:type="dxa"/>
            <w:vAlign w:val="bottom"/>
            <w:tcBorders>
              <w:left w:val="single" w:sz="8" w:color="auto"/>
              <w:right w:val="single" w:sz="8" w:color="auto"/>
            </w:tcBorders>
          </w:tcPr>
          <w:p>
            <w:pPr>
              <w:ind w:left="160"/>
              <w:spacing w:after="0" w:line="168" w:lineRule="exact"/>
              <w:rPr>
                <w:sz w:val="20"/>
                <w:szCs w:val="20"/>
                <w:color w:val="auto"/>
              </w:rPr>
            </w:pPr>
            <w:r>
              <w:rPr>
                <w:rFonts w:ascii="Arial" w:cs="Arial" w:eastAsia="Arial" w:hAnsi="Arial"/>
                <w:sz w:val="16"/>
                <w:szCs w:val="16"/>
                <w:color w:val="auto"/>
              </w:rPr>
              <w:t>Greater emphasis on linking CEO compensation</w:t>
            </w:r>
          </w:p>
        </w:tc>
        <w:tc>
          <w:tcPr>
            <w:tcW w:w="3720" w:type="dxa"/>
            <w:vAlign w:val="bottom"/>
            <w:tcBorders>
              <w:right w:val="single" w:sz="8" w:color="auto"/>
            </w:tcBorders>
          </w:tcPr>
          <w:p>
            <w:pPr>
              <w:ind w:left="100"/>
              <w:spacing w:after="0" w:line="16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 2025, we calculated the CEO individual</w:t>
            </w:r>
          </w:p>
        </w:tc>
        <w:tc>
          <w:tcPr>
            <w:tcW w:w="3600" w:type="dxa"/>
            <w:vAlign w:val="bottom"/>
            <w:tcBorders>
              <w:right w:val="single" w:sz="8" w:color="auto"/>
            </w:tcBorders>
          </w:tcPr>
          <w:p>
            <w:pPr>
              <w:ind w:left="80"/>
              <w:spacing w:after="0" w:line="16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Shifts CEO short-term cash compensation to</w:t>
            </w: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to long-term value creation opportunities for</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bonus multiplier component of the STI program</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directly align with long-term company</w:t>
            </w:r>
          </w:p>
        </w:tc>
        <w:tc>
          <w:tcPr>
            <w:tcW w:w="0" w:type="dxa"/>
            <w:vAlign w:val="bottom"/>
          </w:tcPr>
          <w:p>
            <w:pPr>
              <w:spacing w:after="0"/>
              <w:rPr>
                <w:sz w:val="1"/>
                <w:szCs w:val="1"/>
                <w:color w:val="auto"/>
              </w:rPr>
            </w:pPr>
          </w:p>
        </w:tc>
      </w:tr>
      <w:tr>
        <w:trPr>
          <w:trHeight w:val="217"/>
        </w:trPr>
        <w:tc>
          <w:tcPr>
            <w:tcW w:w="3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Biogen.</w:t>
            </w:r>
          </w:p>
        </w:tc>
        <w:tc>
          <w:tcPr>
            <w:tcW w:w="3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solely based on Company results.</w:t>
            </w:r>
          </w:p>
        </w:tc>
        <w:tc>
          <w:tcPr>
            <w:tcW w:w="3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82"/>
        </w:trPr>
        <w:tc>
          <w:tcPr>
            <w:tcW w:w="3720" w:type="dxa"/>
            <w:vAlign w:val="bottom"/>
            <w:tcBorders>
              <w:left w:val="single" w:sz="8" w:color="auto"/>
              <w:right w:val="single" w:sz="8" w:color="auto"/>
            </w:tcBorders>
          </w:tcPr>
          <w:p>
            <w:pPr>
              <w:spacing w:after="0"/>
              <w:rPr>
                <w:sz w:val="15"/>
                <w:szCs w:val="15"/>
                <w:color w:val="auto"/>
              </w:rPr>
            </w:pPr>
          </w:p>
        </w:tc>
        <w:tc>
          <w:tcPr>
            <w:tcW w:w="3720" w:type="dxa"/>
            <w:vAlign w:val="bottom"/>
            <w:tcBorders>
              <w:right w:val="single" w:sz="8" w:color="auto"/>
            </w:tcBorders>
          </w:tcPr>
          <w:p>
            <w:pPr>
              <w:ind w:left="100"/>
              <w:spacing w:after="0" w:line="18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Enhanced our disclosure to further explain our</w:t>
            </w:r>
          </w:p>
        </w:tc>
        <w:tc>
          <w:tcPr>
            <w:tcW w:w="3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Enhance disclosure of rationale and outcomes</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methodology for how and why we set financial</w:t>
            </w:r>
          </w:p>
        </w:tc>
        <w:tc>
          <w:tcPr>
            <w:tcW w:w="3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72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targets in our executive compensation programs.</w:t>
            </w:r>
          </w:p>
        </w:tc>
        <w:tc>
          <w:tcPr>
            <w:tcW w:w="3600" w:type="dxa"/>
            <w:vAlign w:val="bottom"/>
            <w:tcBorders>
              <w:right w:val="single" w:sz="8" w:color="auto"/>
            </w:tcBorders>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Supports alignment of interests between</w:t>
            </w:r>
          </w:p>
        </w:tc>
        <w:tc>
          <w:tcPr>
            <w:tcW w:w="0" w:type="dxa"/>
            <w:vAlign w:val="bottom"/>
          </w:tcPr>
          <w:p>
            <w:pPr>
              <w:spacing w:after="0"/>
              <w:rPr>
                <w:sz w:val="1"/>
                <w:szCs w:val="1"/>
                <w:color w:val="auto"/>
              </w:rPr>
            </w:pPr>
          </w:p>
        </w:tc>
      </w:tr>
      <w:tr>
        <w:trPr>
          <w:trHeight w:val="163"/>
        </w:trPr>
        <w:tc>
          <w:tcPr>
            <w:tcW w:w="3720" w:type="dxa"/>
            <w:vAlign w:val="bottom"/>
            <w:tcBorders>
              <w:left w:val="single" w:sz="8" w:color="auto"/>
              <w:right w:val="single" w:sz="8" w:color="auto"/>
            </w:tcBorders>
          </w:tcPr>
          <w:p>
            <w:pPr>
              <w:ind w:left="160"/>
              <w:spacing w:after="0" w:line="163" w:lineRule="exact"/>
              <w:rPr>
                <w:sz w:val="20"/>
                <w:szCs w:val="20"/>
                <w:color w:val="auto"/>
              </w:rPr>
            </w:pPr>
            <w:r>
              <w:rPr>
                <w:rFonts w:ascii="Arial" w:cs="Arial" w:eastAsia="Arial" w:hAnsi="Arial"/>
                <w:sz w:val="16"/>
                <w:szCs w:val="16"/>
                <w:color w:val="auto"/>
              </w:rPr>
              <w:t>surrounding executive compensation programs</w:t>
            </w:r>
          </w:p>
        </w:tc>
        <w:tc>
          <w:tcPr>
            <w:tcW w:w="3720" w:type="dxa"/>
            <w:vAlign w:val="bottom"/>
            <w:tcBorders>
              <w:right w:val="single" w:sz="8" w:color="auto"/>
            </w:tcBorders>
            <w:vMerge w:val="continue"/>
          </w:tcPr>
          <w:p>
            <w:pPr>
              <w:spacing w:after="0"/>
              <w:rPr>
                <w:sz w:val="14"/>
                <w:szCs w:val="14"/>
                <w:color w:val="auto"/>
              </w:rPr>
            </w:pPr>
          </w:p>
        </w:tc>
        <w:tc>
          <w:tcPr>
            <w:tcW w:w="36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and decisions, including rationale behind setting</w:t>
            </w:r>
          </w:p>
        </w:tc>
        <w:tc>
          <w:tcPr>
            <w:tcW w:w="3720" w:type="dxa"/>
            <w:vAlign w:val="bottom"/>
            <w:tcBorders>
              <w:right w:val="single" w:sz="8" w:color="auto"/>
            </w:tcBorders>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Continued to disclose details of our</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officers and stockholders.</w:t>
            </w:r>
          </w:p>
        </w:tc>
        <w:tc>
          <w:tcPr>
            <w:tcW w:w="0" w:type="dxa"/>
            <w:vAlign w:val="bottom"/>
          </w:tcPr>
          <w:p>
            <w:pPr>
              <w:spacing w:after="0"/>
              <w:rPr>
                <w:sz w:val="1"/>
                <w:szCs w:val="1"/>
                <w:color w:val="auto"/>
              </w:rPr>
            </w:pPr>
          </w:p>
        </w:tc>
      </w:tr>
      <w:tr>
        <w:trPr>
          <w:trHeight w:val="121"/>
        </w:trPr>
        <w:tc>
          <w:tcPr>
            <w:tcW w:w="37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financial targets in the STI program.</w:t>
            </w:r>
          </w:p>
        </w:tc>
        <w:tc>
          <w:tcPr>
            <w:tcW w:w="3720" w:type="dxa"/>
            <w:vAlign w:val="bottom"/>
            <w:tcBorders>
              <w:right w:val="single" w:sz="8" w:color="auto"/>
            </w:tcBorders>
          </w:tcPr>
          <w:p>
            <w:pPr>
              <w:ind w:left="100"/>
              <w:spacing w:after="0" w:line="121" w:lineRule="exact"/>
              <w:rPr>
                <w:sz w:val="20"/>
                <w:szCs w:val="20"/>
                <w:color w:val="auto"/>
              </w:rPr>
            </w:pPr>
            <w:r>
              <w:rPr>
                <w:rFonts w:ascii="Arial" w:cs="Arial" w:eastAsia="Arial" w:hAnsi="Arial"/>
                <w:sz w:val="14"/>
                <w:szCs w:val="14"/>
                <w:color w:val="auto"/>
              </w:rPr>
              <w:t>achievements against metrics once performance</w:t>
            </w: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720" w:type="dxa"/>
            <w:vAlign w:val="bottom"/>
            <w:tcBorders>
              <w:left w:val="single" w:sz="8" w:color="auto"/>
              <w:right w:val="single" w:sz="8" w:color="auto"/>
            </w:tcBorders>
            <w:vMerge w:val="continue"/>
          </w:tcPr>
          <w:p>
            <w:pPr>
              <w:spacing w:after="0"/>
              <w:rPr>
                <w:sz w:val="9"/>
                <w:szCs w:val="9"/>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periods have ended, including all financial</w:t>
            </w:r>
          </w:p>
        </w:tc>
        <w:tc>
          <w:tcPr>
            <w:tcW w:w="3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720" w:type="dxa"/>
            <w:vAlign w:val="bottom"/>
            <w:tcBorders>
              <w:left w:val="single" w:sz="8" w:color="auto"/>
              <w:right w:val="single" w:sz="8" w:color="auto"/>
            </w:tcBorders>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3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bottom w:val="single" w:sz="8" w:color="auto"/>
              <w:right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metrics.</w:t>
            </w:r>
          </w:p>
        </w:tc>
        <w:tc>
          <w:tcPr>
            <w:tcW w:w="3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37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1120"/>
              <w:spacing w:after="0"/>
              <w:rPr>
                <w:sz w:val="20"/>
                <w:szCs w:val="20"/>
                <w:color w:val="auto"/>
              </w:rPr>
            </w:pPr>
            <w:r>
              <w:rPr>
                <w:rFonts w:ascii="Arial" w:cs="Arial" w:eastAsia="Arial" w:hAnsi="Arial"/>
                <w:sz w:val="18"/>
                <w:szCs w:val="18"/>
                <w:color w:val="0075C9"/>
                <w:w w:val="99"/>
              </w:rPr>
              <w:t xml:space="preserve">   2026 Proxy Statement   </w:t>
            </w:r>
            <w:r>
              <w:rPr>
                <w:rFonts w:ascii="Arial" w:cs="Arial" w:eastAsia="Arial" w:hAnsi="Arial"/>
                <w:sz w:val="16"/>
                <w:szCs w:val="16"/>
                <w:color w:val="0075C9"/>
                <w:w w:val="99"/>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-173355</wp:posOffset>
            </wp:positionV>
            <wp:extent cx="419735"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Executive Summary of 2025 Achievements</w:t>
      </w:r>
    </w:p>
    <w:p>
      <w:pPr>
        <w:spacing w:after="0" w:line="108" w:lineRule="exact"/>
        <w:rPr>
          <w:sz w:val="20"/>
          <w:szCs w:val="20"/>
          <w:color w:val="auto"/>
        </w:rPr>
      </w:pPr>
    </w:p>
    <w:p>
      <w:pPr>
        <w:ind w:left="120" w:right="300"/>
        <w:spacing w:after="0" w:line="259" w:lineRule="auto"/>
        <w:rPr>
          <w:sz w:val="20"/>
          <w:szCs w:val="20"/>
          <w:color w:val="auto"/>
        </w:rPr>
      </w:pPr>
      <w:r>
        <w:rPr>
          <w:rFonts w:ascii="Arial" w:cs="Arial" w:eastAsia="Arial" w:hAnsi="Arial"/>
          <w:sz w:val="16"/>
          <w:szCs w:val="16"/>
          <w:color w:val="auto"/>
        </w:rPr>
        <w:t>In 2025, Biogen made demonstrable progress strengthening the business and positioning the company for future growth and sustainable long-term stockholder value creation. We continued to progress our portfolio toward products with strong growth potential across a diversified therapeutic landscape, reinvested in our pipeline and new product launches with savings from our Fit for Growth program, and maintained a disciplined, long-term approach to capital allocation. Significant achievements in 2025 include:</w:t>
      </w:r>
    </w:p>
    <w:p>
      <w:pPr>
        <w:spacing w:after="0" w:line="83" w:lineRule="exact"/>
        <w:rPr>
          <w:sz w:val="20"/>
          <w:szCs w:val="20"/>
          <w:color w:val="auto"/>
        </w:rPr>
      </w:pPr>
    </w:p>
    <w:p>
      <w:pPr>
        <w:ind w:left="980" w:right="40" w:hanging="432"/>
        <w:spacing w:after="0" w:line="266" w:lineRule="auto"/>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Strong Financial Performance: </w:t>
      </w:r>
      <w:r>
        <w:rPr>
          <w:rFonts w:ascii="Arial" w:cs="Arial" w:eastAsia="Arial" w:hAnsi="Arial"/>
          <w:sz w:val="16"/>
          <w:szCs w:val="16"/>
          <w:color w:val="auto"/>
        </w:rPr>
        <w:t>Drove legacy product overperformance despite generic competition and increased growth product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by 19% year-over-year to $3.3 billion, led by SKYCLARYS, QALSODY, ZURZUVAE, VUMERITY and SPINRAZA, plus Biogen’s 50% share of net revenue and cost of sales, including royalties, from the LEQEMBI Collaboration.</w:t>
      </w:r>
    </w:p>
    <w:p>
      <w:pPr>
        <w:spacing w:after="0" w:line="76" w:lineRule="exact"/>
        <w:rPr>
          <w:rFonts w:ascii="Arial" w:cs="Arial" w:eastAsia="Arial" w:hAnsi="Arial"/>
          <w:sz w:val="16"/>
          <w:szCs w:val="16"/>
          <w:color w:val="auto"/>
        </w:rPr>
      </w:pPr>
    </w:p>
    <w:p>
      <w:pPr>
        <w:ind w:left="980" w:right="20" w:hanging="432"/>
        <w:spacing w:after="0" w:line="253" w:lineRule="auto"/>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Pipeline Advancement: </w:t>
      </w:r>
      <w:r>
        <w:rPr>
          <w:rFonts w:ascii="Arial" w:cs="Arial" w:eastAsia="Arial" w:hAnsi="Arial"/>
          <w:sz w:val="16"/>
          <w:szCs w:val="16"/>
          <w:color w:val="auto"/>
        </w:rPr>
        <w:t>We continued the development of our late-stage clinical pipeline by advancing Phase 3 trials for 10 programs with</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targets in various immunological diseases, rare disease, and neurological indications. These programs include three Phase 3 studies for felzartamab in AMR, IgAN and PMN. We also funded a Phase 3 study for SKYCLARYS in pediatric patients and ongoing Phase 3 studies for litifilimab and dapirolizumab pegol targeting indications for lupus patients. These programs hold the potential for up to five new product launches over the next several years. Five of these programs were newly initiated or announced in 2025. In addition to these late-stage clinical pipeline developments, we delivered two IND submissions targeting immunology indications, produced positive Phase 1 data for salanersen and received FDA Fast Track Designation for BIIB080.</w:t>
      </w:r>
    </w:p>
    <w:p>
      <w:pPr>
        <w:spacing w:after="0" w:line="73" w:lineRule="exact"/>
        <w:rPr>
          <w:rFonts w:ascii="Arial" w:cs="Arial" w:eastAsia="Arial" w:hAnsi="Arial"/>
          <w:sz w:val="16"/>
          <w:szCs w:val="16"/>
          <w:color w:val="auto"/>
        </w:rPr>
      </w:pPr>
    </w:p>
    <w:p>
      <w:pPr>
        <w:ind w:left="1000" w:right="120"/>
        <w:spacing w:after="0" w:line="254" w:lineRule="auto"/>
        <w:rPr>
          <w:rFonts w:ascii="Arial" w:cs="Arial" w:eastAsia="Arial" w:hAnsi="Arial"/>
          <w:sz w:val="16"/>
          <w:szCs w:val="16"/>
          <w:color w:val="auto"/>
        </w:rPr>
      </w:pPr>
      <w:r>
        <w:rPr>
          <w:rFonts w:ascii="Arial" w:cs="Arial" w:eastAsia="Arial" w:hAnsi="Arial"/>
          <w:sz w:val="16"/>
          <w:szCs w:val="16"/>
          <w:color w:val="auto"/>
        </w:rPr>
        <w:t>In addition to advancing our clinical pipeline, we continued the diversification of Biogen’s portfolio by adding and advancing assets in immunology, neurology and rare disease through external collaboration and acquisition. These transactions were funded in part by the realization of cost savings through the Fit for Growth initiative. These deals included the ex-US licensing of zorevunersen from Stoke for Dravet syndrome, the acquisition of Alcyone enabling more convenient SPINRAZA administration in a competitive SMA market, licensing an oral C5aR1 antagonist from Vanqua to strengthen our immunology portfolio, and establishing research collaborations with Dayra and City to develop assets in immunology and Alzheimer’s disease, respectively.</w:t>
      </w:r>
    </w:p>
    <w:p>
      <w:pPr>
        <w:spacing w:after="0" w:line="87" w:lineRule="exact"/>
        <w:rPr>
          <w:rFonts w:ascii="Arial" w:cs="Arial" w:eastAsia="Arial" w:hAnsi="Arial"/>
          <w:sz w:val="16"/>
          <w:szCs w:val="16"/>
          <w:color w:val="auto"/>
        </w:rPr>
      </w:pPr>
    </w:p>
    <w:p>
      <w:pPr>
        <w:ind w:left="980" w:right="120" w:hanging="432"/>
        <w:spacing w:after="0" w:line="266" w:lineRule="auto"/>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Financial Discipline Delivering Savings: </w:t>
      </w:r>
      <w:r>
        <w:rPr>
          <w:rFonts w:ascii="Arial" w:cs="Arial" w:eastAsia="Arial" w:hAnsi="Arial"/>
          <w:sz w:val="16"/>
          <w:szCs w:val="16"/>
          <w:color w:val="auto"/>
        </w:rPr>
        <w:t>Delivered on our Fit for Growth initiative, which rightsized the company’s cost structure while</w:t>
      </w:r>
      <w:r>
        <w:rPr>
          <w:rFonts w:ascii="Arial" w:cs="Arial" w:eastAsia="Arial" w:hAnsi="Arial"/>
          <w:sz w:val="16"/>
          <w:szCs w:val="16"/>
          <w:b w:val="1"/>
          <w:bCs w:val="1"/>
          <w:color w:val="auto"/>
        </w:rPr>
        <w:t xml:space="preserve"> </w:t>
      </w:r>
      <w:r>
        <w:rPr>
          <w:rFonts w:ascii="Arial" w:cs="Arial" w:eastAsia="Arial" w:hAnsi="Arial"/>
          <w:sz w:val="16"/>
          <w:szCs w:val="16"/>
          <w:color w:val="auto"/>
        </w:rPr>
        <w:t>freeing capital for reinvestment. The successful execution and completion of this program in 2025 delivered approximately $1 billion in gross and $800 million in net operating expense savings. This financial discipline contributed to delivering EPS which exceeded full-year guidance.</w:t>
      </w:r>
    </w:p>
    <w:p>
      <w:pPr>
        <w:spacing w:after="0" w:line="76" w:lineRule="exact"/>
        <w:rPr>
          <w:rFonts w:ascii="Arial" w:cs="Arial" w:eastAsia="Arial" w:hAnsi="Arial"/>
          <w:sz w:val="16"/>
          <w:szCs w:val="16"/>
          <w:color w:val="auto"/>
        </w:rPr>
      </w:pPr>
    </w:p>
    <w:p>
      <w:pPr>
        <w:ind w:left="980" w:right="340" w:hanging="432"/>
        <w:spacing w:after="0" w:line="286" w:lineRule="auto"/>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Total Stockholder Return: </w:t>
      </w:r>
      <w:r>
        <w:rPr>
          <w:rFonts w:ascii="Arial" w:cs="Arial" w:eastAsia="Arial" w:hAnsi="Arial"/>
          <w:sz w:val="16"/>
          <w:szCs w:val="16"/>
          <w:color w:val="auto"/>
        </w:rPr>
        <w:t>Delivered a 15% total stockholder return, reflecting improving business momentum as the company executed</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its predefined goals.</w:t>
      </w:r>
    </w:p>
    <w:p>
      <w:pPr>
        <w:spacing w:after="0" w:line="48"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The CMDC measured these achievements against rigorous, predefined goals and considered these achievements when making 2025 executive compensation decisions for our executive officers as well as all employees. The CMDC believes our 2025 executive compensation program is consistent with our compensation philosophies and principles described below and reflects our commitment to linking compensation to company performance and strategy.</w:t>
      </w:r>
    </w:p>
    <w:p>
      <w:pPr>
        <w:spacing w:after="0" w:line="12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-33-</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660"/>
        <w:spacing w:after="0"/>
        <w:rPr>
          <w:sz w:val="20"/>
          <w:szCs w:val="20"/>
          <w:color w:val="auto"/>
        </w:rPr>
      </w:pPr>
      <w:r>
        <w:rPr>
          <w:rFonts w:ascii="Arial" w:cs="Arial" w:eastAsia="Arial" w:hAnsi="Arial"/>
          <w:sz w:val="19"/>
          <w:szCs w:val="19"/>
          <w:color w:val="0075C9"/>
        </w:rPr>
        <w:t>Compensation Discussion and Analysis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32"/>
          <w:szCs w:val="32"/>
          <w:color w:val="0075C9"/>
        </w:rPr>
        <w:t>Executive Pay Structure Aligns with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178435</wp:posOffset>
            </wp:positionV>
            <wp:extent cx="7003415" cy="19805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03415" cy="1980565"/>
                    </a:xfrm>
                    <a:prstGeom prst="rect">
                      <a:avLst/>
                    </a:prstGeom>
                    <a:noFill/>
                  </pic:spPr>
                </pic:pic>
              </a:graphicData>
            </a:graphic>
          </wp:anchor>
        </w:drawing>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22"/>
          <w:szCs w:val="22"/>
          <w:color w:val="FFFFFF"/>
        </w:rPr>
        <w:t>Executive Compensation Philosophy</w:t>
      </w:r>
    </w:p>
    <w:p>
      <w:pPr>
        <w:spacing w:after="0" w:line="70" w:lineRule="exact"/>
        <w:rPr>
          <w:sz w:val="20"/>
          <w:szCs w:val="20"/>
          <w:color w:val="auto"/>
        </w:rPr>
      </w:pPr>
    </w:p>
    <w:p>
      <w:pPr>
        <w:ind w:left="280" w:right="100"/>
        <w:spacing w:after="0" w:line="259" w:lineRule="auto"/>
        <w:rPr>
          <w:sz w:val="20"/>
          <w:szCs w:val="20"/>
          <w:color w:val="auto"/>
        </w:rPr>
      </w:pPr>
      <w:r>
        <w:rPr>
          <w:rFonts w:ascii="Arial" w:cs="Arial" w:eastAsia="Arial" w:hAnsi="Arial"/>
          <w:sz w:val="16"/>
          <w:szCs w:val="16"/>
          <w:color w:val="auto"/>
        </w:rPr>
        <w:t>Our executive compensation philosophy is to reward executives for the creation of long-term stockholder value. We design performance-based executive compensation that rewards short-term achievements while maintaining accountability for long-term stockholder value creation. We also seek to maintain competitiveness with our peer group to enable us to attract and retain extraordinary leaders who perform at high levels and succeed in a demanding business environment.</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2880" w:type="dxa"/>
            <w:vAlign w:val="bottom"/>
            <w:tcBorders>
              <w:top w:val="single" w:sz="8" w:color="auto"/>
              <w:right w:val="single" w:sz="8" w:color="auto"/>
            </w:tcBorders>
            <w:shd w:val="clear" w:color="auto" w:fill="0075C9"/>
          </w:tcPr>
          <w:p>
            <w:pPr>
              <w:jc w:val="center"/>
              <w:ind w:left="36"/>
              <w:spacing w:after="0"/>
              <w:rPr>
                <w:sz w:val="20"/>
                <w:szCs w:val="20"/>
                <w:color w:val="auto"/>
              </w:rPr>
            </w:pPr>
            <w:r>
              <w:rPr>
                <w:rFonts w:ascii="Arial" w:cs="Arial" w:eastAsia="Arial" w:hAnsi="Arial"/>
                <w:sz w:val="16"/>
                <w:szCs w:val="16"/>
                <w:b w:val="1"/>
                <w:bCs w:val="1"/>
                <w:color w:val="FFFFFF"/>
              </w:rPr>
              <w:t>Mission Focused and</w:t>
            </w:r>
          </w:p>
        </w:tc>
        <w:tc>
          <w:tcPr>
            <w:tcW w:w="2760" w:type="dxa"/>
            <w:vAlign w:val="bottom"/>
            <w:tcBorders>
              <w:top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Competitively</w:t>
            </w:r>
          </w:p>
        </w:tc>
        <w:tc>
          <w:tcPr>
            <w:tcW w:w="2740" w:type="dxa"/>
            <w:vAlign w:val="bottom"/>
            <w:tcBorders>
              <w:top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Performance</w:t>
            </w:r>
          </w:p>
        </w:tc>
        <w:tc>
          <w:tcPr>
            <w:tcW w:w="2640" w:type="dxa"/>
            <w:vAlign w:val="bottom"/>
            <w:tcBorders>
              <w:top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Ownership</w:t>
            </w:r>
          </w:p>
        </w:tc>
      </w:tr>
      <w:tr>
        <w:trPr>
          <w:trHeight w:val="223"/>
        </w:trPr>
        <w:tc>
          <w:tcPr>
            <w:tcW w:w="2880" w:type="dxa"/>
            <w:vAlign w:val="bottom"/>
            <w:tcBorders>
              <w:right w:val="single" w:sz="8" w:color="auto"/>
            </w:tcBorders>
            <w:shd w:val="clear" w:color="auto" w:fill="0075C9"/>
          </w:tcPr>
          <w:p>
            <w:pPr>
              <w:jc w:val="center"/>
              <w:ind w:left="56"/>
              <w:spacing w:after="0"/>
              <w:rPr>
                <w:sz w:val="20"/>
                <w:szCs w:val="20"/>
                <w:color w:val="auto"/>
              </w:rPr>
            </w:pPr>
            <w:r>
              <w:rPr>
                <w:rFonts w:ascii="Arial" w:cs="Arial" w:eastAsia="Arial" w:hAnsi="Arial"/>
                <w:sz w:val="16"/>
                <w:szCs w:val="16"/>
                <w:b w:val="1"/>
                <w:bCs w:val="1"/>
                <w:color w:val="FFFFFF"/>
              </w:rPr>
              <w:t>Business Driven</w:t>
            </w:r>
          </w:p>
        </w:tc>
        <w:tc>
          <w:tcPr>
            <w:tcW w:w="276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Advantageous</w:t>
            </w:r>
          </w:p>
        </w:tc>
        <w:tc>
          <w:tcPr>
            <w:tcW w:w="274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Differentiated</w:t>
            </w:r>
          </w:p>
        </w:tc>
        <w:tc>
          <w:tcPr>
            <w:tcW w:w="2640" w:type="dxa"/>
            <w:vAlign w:val="bottom"/>
            <w:shd w:val="clear" w:color="auto" w:fill="0075C9"/>
          </w:tcPr>
          <w:p>
            <w:pPr>
              <w:jc w:val="center"/>
              <w:spacing w:after="0"/>
              <w:rPr>
                <w:sz w:val="20"/>
                <w:szCs w:val="20"/>
                <w:color w:val="auto"/>
              </w:rPr>
            </w:pPr>
            <w:r>
              <w:rPr>
                <w:rFonts w:ascii="Arial" w:cs="Arial" w:eastAsia="Arial" w:hAnsi="Arial"/>
                <w:sz w:val="16"/>
                <w:szCs w:val="16"/>
                <w:b w:val="1"/>
                <w:bCs w:val="1"/>
                <w:color w:val="FFFFFF"/>
                <w:w w:val="98"/>
              </w:rPr>
              <w:t>Aligned</w:t>
            </w:r>
          </w:p>
        </w:tc>
      </w:tr>
      <w:tr>
        <w:trPr>
          <w:trHeight w:val="62"/>
        </w:trPr>
        <w:tc>
          <w:tcPr>
            <w:tcW w:w="2880" w:type="dxa"/>
            <w:vAlign w:val="bottom"/>
            <w:tcBorders>
              <w:bottom w:val="single" w:sz="8" w:color="auto"/>
              <w:right w:val="single" w:sz="8" w:color="auto"/>
            </w:tcBorders>
            <w:shd w:val="clear" w:color="auto" w:fill="0075C9"/>
          </w:tcPr>
          <w:p>
            <w:pPr>
              <w:spacing w:after="0"/>
              <w:rPr>
                <w:sz w:val="5"/>
                <w:szCs w:val="5"/>
                <w:color w:val="auto"/>
              </w:rPr>
            </w:pPr>
          </w:p>
        </w:tc>
        <w:tc>
          <w:tcPr>
            <w:tcW w:w="2760" w:type="dxa"/>
            <w:vAlign w:val="bottom"/>
            <w:tcBorders>
              <w:bottom w:val="single" w:sz="8" w:color="auto"/>
              <w:right w:val="single" w:sz="8" w:color="auto"/>
            </w:tcBorders>
            <w:shd w:val="clear" w:color="auto" w:fill="0075C9"/>
          </w:tcPr>
          <w:p>
            <w:pPr>
              <w:spacing w:after="0"/>
              <w:rPr>
                <w:sz w:val="5"/>
                <w:szCs w:val="5"/>
                <w:color w:val="auto"/>
              </w:rPr>
            </w:pPr>
          </w:p>
        </w:tc>
        <w:tc>
          <w:tcPr>
            <w:tcW w:w="2740" w:type="dxa"/>
            <w:vAlign w:val="bottom"/>
            <w:tcBorders>
              <w:bottom w:val="single" w:sz="8" w:color="auto"/>
              <w:right w:val="single" w:sz="8" w:color="auto"/>
            </w:tcBorders>
            <w:shd w:val="clear" w:color="auto" w:fill="0075C9"/>
          </w:tcPr>
          <w:p>
            <w:pPr>
              <w:spacing w:after="0"/>
              <w:rPr>
                <w:sz w:val="5"/>
                <w:szCs w:val="5"/>
                <w:color w:val="auto"/>
              </w:rPr>
            </w:pPr>
          </w:p>
        </w:tc>
        <w:tc>
          <w:tcPr>
            <w:tcW w:w="2640" w:type="dxa"/>
            <w:vAlign w:val="bottom"/>
            <w:tcBorders>
              <w:bottom w:val="single" w:sz="8" w:color="auto"/>
            </w:tcBorders>
            <w:shd w:val="clear" w:color="auto" w:fill="0075C9"/>
          </w:tcPr>
          <w:p>
            <w:pPr>
              <w:spacing w:after="0"/>
              <w:rPr>
                <w:sz w:val="5"/>
                <w:szCs w:val="5"/>
                <w:color w:val="auto"/>
              </w:rPr>
            </w:pPr>
          </w:p>
        </w:tc>
      </w:tr>
      <w:tr>
        <w:trPr>
          <w:trHeight w:val="168"/>
        </w:trPr>
        <w:tc>
          <w:tcPr>
            <w:tcW w:w="2880" w:type="dxa"/>
            <w:vAlign w:val="bottom"/>
            <w:tcBorders>
              <w:right w:val="single" w:sz="8" w:color="auto"/>
            </w:tcBorders>
            <w:shd w:val="clear" w:color="auto" w:fill="E5F1F9"/>
          </w:tcPr>
          <w:p>
            <w:pPr>
              <w:jc w:val="center"/>
              <w:ind w:left="36"/>
              <w:spacing w:after="0" w:line="168" w:lineRule="exact"/>
              <w:rPr>
                <w:sz w:val="20"/>
                <w:szCs w:val="20"/>
                <w:color w:val="auto"/>
              </w:rPr>
            </w:pPr>
            <w:r>
              <w:rPr>
                <w:rFonts w:ascii="Arial" w:cs="Arial" w:eastAsia="Arial" w:hAnsi="Arial"/>
                <w:sz w:val="16"/>
                <w:szCs w:val="16"/>
                <w:color w:val="auto"/>
              </w:rPr>
              <w:t>We emphasize the importance of</w:t>
            </w:r>
          </w:p>
        </w:tc>
        <w:tc>
          <w:tcPr>
            <w:tcW w:w="2760" w:type="dxa"/>
            <w:vAlign w:val="bottom"/>
            <w:tcBorders>
              <w:right w:val="single" w:sz="8" w:color="auto"/>
            </w:tcBorders>
            <w:shd w:val="clear" w:color="auto" w:fill="E5F1F9"/>
          </w:tcPr>
          <w:p>
            <w:pPr>
              <w:jc w:val="center"/>
              <w:spacing w:after="0" w:line="168" w:lineRule="exact"/>
              <w:rPr>
                <w:sz w:val="20"/>
                <w:szCs w:val="20"/>
                <w:color w:val="auto"/>
              </w:rPr>
            </w:pPr>
            <w:r>
              <w:rPr>
                <w:rFonts w:ascii="Arial" w:cs="Arial" w:eastAsia="Arial" w:hAnsi="Arial"/>
                <w:sz w:val="16"/>
                <w:szCs w:val="16"/>
                <w:color w:val="auto"/>
              </w:rPr>
              <w:t>We benchmark against companies</w:t>
            </w:r>
          </w:p>
        </w:tc>
        <w:tc>
          <w:tcPr>
            <w:tcW w:w="2740" w:type="dxa"/>
            <w:vAlign w:val="bottom"/>
            <w:tcBorders>
              <w:right w:val="single" w:sz="8" w:color="auto"/>
            </w:tcBorders>
            <w:shd w:val="clear" w:color="auto" w:fill="E5F1F9"/>
          </w:tcPr>
          <w:p>
            <w:pPr>
              <w:jc w:val="center"/>
              <w:spacing w:after="0" w:line="168" w:lineRule="exact"/>
              <w:rPr>
                <w:sz w:val="20"/>
                <w:szCs w:val="20"/>
                <w:color w:val="auto"/>
              </w:rPr>
            </w:pPr>
            <w:r>
              <w:rPr>
                <w:rFonts w:ascii="Arial" w:cs="Arial" w:eastAsia="Arial" w:hAnsi="Arial"/>
                <w:sz w:val="16"/>
                <w:szCs w:val="16"/>
                <w:color w:val="auto"/>
              </w:rPr>
              <w:t>We align pay outcomes with</w:t>
            </w:r>
          </w:p>
        </w:tc>
        <w:tc>
          <w:tcPr>
            <w:tcW w:w="2640" w:type="dxa"/>
            <w:vAlign w:val="bottom"/>
            <w:shd w:val="clear" w:color="auto" w:fill="E5F1F9"/>
          </w:tcPr>
          <w:p>
            <w:pPr>
              <w:jc w:val="center"/>
              <w:spacing w:after="0" w:line="168" w:lineRule="exact"/>
              <w:rPr>
                <w:sz w:val="20"/>
                <w:szCs w:val="20"/>
                <w:color w:val="auto"/>
              </w:rPr>
            </w:pPr>
            <w:r>
              <w:rPr>
                <w:rFonts w:ascii="Arial" w:cs="Arial" w:eastAsia="Arial" w:hAnsi="Arial"/>
                <w:sz w:val="16"/>
                <w:szCs w:val="16"/>
                <w:color w:val="auto"/>
              </w:rPr>
              <w:t>We provide equity to all</w:t>
            </w:r>
          </w:p>
        </w:tc>
      </w:tr>
      <w:tr>
        <w:trPr>
          <w:trHeight w:val="189"/>
        </w:trPr>
        <w:tc>
          <w:tcPr>
            <w:tcW w:w="2880" w:type="dxa"/>
            <w:vAlign w:val="bottom"/>
            <w:tcBorders>
              <w:right w:val="single" w:sz="8" w:color="auto"/>
            </w:tcBorders>
            <w:shd w:val="clear" w:color="auto" w:fill="E5F1F9"/>
          </w:tcPr>
          <w:p>
            <w:pPr>
              <w:jc w:val="center"/>
              <w:ind w:left="36"/>
              <w:spacing w:after="0"/>
              <w:rPr>
                <w:sz w:val="20"/>
                <w:szCs w:val="20"/>
                <w:color w:val="auto"/>
              </w:rPr>
            </w:pPr>
            <w:r>
              <w:rPr>
                <w:rFonts w:ascii="Arial" w:cs="Arial" w:eastAsia="Arial" w:hAnsi="Arial"/>
                <w:sz w:val="16"/>
                <w:szCs w:val="16"/>
                <w:color w:val="auto"/>
              </w:rPr>
              <w:t>executing short-term goals while</w:t>
            </w:r>
          </w:p>
        </w:tc>
        <w:tc>
          <w:tcPr>
            <w:tcW w:w="276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we compete with for talent. Our</w:t>
            </w:r>
          </w:p>
        </w:tc>
        <w:tc>
          <w:tcPr>
            <w:tcW w:w="274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company and individual</w:t>
            </w:r>
          </w:p>
        </w:tc>
        <w:tc>
          <w:tcPr>
            <w:tcW w:w="264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employees to align their interest</w:t>
            </w:r>
          </w:p>
        </w:tc>
      </w:tr>
      <w:tr>
        <w:trPr>
          <w:trHeight w:val="189"/>
        </w:trPr>
        <w:tc>
          <w:tcPr>
            <w:tcW w:w="2880" w:type="dxa"/>
            <w:vAlign w:val="bottom"/>
            <w:tcBorders>
              <w:right w:val="single" w:sz="8" w:color="auto"/>
            </w:tcBorders>
            <w:shd w:val="clear" w:color="auto" w:fill="E5F1F9"/>
          </w:tcPr>
          <w:p>
            <w:pPr>
              <w:jc w:val="center"/>
              <w:ind w:left="56"/>
              <w:spacing w:after="0"/>
              <w:rPr>
                <w:sz w:val="20"/>
                <w:szCs w:val="20"/>
                <w:color w:val="auto"/>
              </w:rPr>
            </w:pPr>
            <w:r>
              <w:rPr>
                <w:rFonts w:ascii="Arial" w:cs="Arial" w:eastAsia="Arial" w:hAnsi="Arial"/>
                <w:sz w:val="16"/>
                <w:szCs w:val="16"/>
                <w:color w:val="auto"/>
              </w:rPr>
              <w:t>building and sustaining a foundation</w:t>
            </w:r>
          </w:p>
        </w:tc>
        <w:tc>
          <w:tcPr>
            <w:tcW w:w="276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compensation is designed to enable</w:t>
            </w:r>
          </w:p>
        </w:tc>
        <w:tc>
          <w:tcPr>
            <w:tcW w:w="274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performance and reward our best</w:t>
            </w:r>
          </w:p>
        </w:tc>
        <w:tc>
          <w:tcPr>
            <w:tcW w:w="264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with the company’s broader goal</w:t>
            </w:r>
          </w:p>
        </w:tc>
      </w:tr>
      <w:tr>
        <w:trPr>
          <w:trHeight w:val="189"/>
        </w:trPr>
        <w:tc>
          <w:tcPr>
            <w:tcW w:w="2880" w:type="dxa"/>
            <w:vAlign w:val="bottom"/>
            <w:tcBorders>
              <w:right w:val="single" w:sz="8" w:color="auto"/>
            </w:tcBorders>
            <w:shd w:val="clear" w:color="auto" w:fill="E5F1F9"/>
          </w:tcPr>
          <w:p>
            <w:pPr>
              <w:jc w:val="center"/>
              <w:ind w:left="56"/>
              <w:spacing w:after="0"/>
              <w:rPr>
                <w:sz w:val="20"/>
                <w:szCs w:val="20"/>
                <w:color w:val="auto"/>
              </w:rPr>
            </w:pPr>
            <w:r>
              <w:rPr>
                <w:rFonts w:ascii="Arial" w:cs="Arial" w:eastAsia="Arial" w:hAnsi="Arial"/>
                <w:sz w:val="16"/>
                <w:szCs w:val="16"/>
                <w:color w:val="auto"/>
              </w:rPr>
              <w:t>for long-term success in delivering</w:t>
            </w:r>
          </w:p>
        </w:tc>
        <w:tc>
          <w:tcPr>
            <w:tcW w:w="276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us to recruit, retain and motivate our</w:t>
            </w:r>
          </w:p>
        </w:tc>
        <w:tc>
          <w:tcPr>
            <w:tcW w:w="274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performers for exceeding</w:t>
            </w:r>
          </w:p>
        </w:tc>
        <w:tc>
          <w:tcPr>
            <w:tcW w:w="264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of creating long-term value for our</w:t>
            </w:r>
          </w:p>
        </w:tc>
      </w:tr>
      <w:tr>
        <w:trPr>
          <w:trHeight w:val="189"/>
        </w:trPr>
        <w:tc>
          <w:tcPr>
            <w:tcW w:w="2880" w:type="dxa"/>
            <w:vAlign w:val="bottom"/>
            <w:tcBorders>
              <w:right w:val="single" w:sz="8" w:color="auto"/>
            </w:tcBorders>
            <w:shd w:val="clear" w:color="auto" w:fill="E5F1F9"/>
          </w:tcPr>
          <w:p>
            <w:pPr>
              <w:jc w:val="center"/>
              <w:ind w:left="36"/>
              <w:spacing w:after="0"/>
              <w:rPr>
                <w:sz w:val="20"/>
                <w:szCs w:val="20"/>
                <w:color w:val="auto"/>
              </w:rPr>
            </w:pPr>
            <w:r>
              <w:rPr>
                <w:rFonts w:ascii="Arial" w:cs="Arial" w:eastAsia="Arial" w:hAnsi="Arial"/>
                <w:sz w:val="16"/>
                <w:szCs w:val="16"/>
                <w:color w:val="auto"/>
              </w:rPr>
              <w:t>meaningful and innovative therapies</w:t>
            </w:r>
          </w:p>
        </w:tc>
        <w:tc>
          <w:tcPr>
            <w:tcW w:w="276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leadership team to achieve</w:t>
            </w:r>
          </w:p>
        </w:tc>
        <w:tc>
          <w:tcPr>
            <w:tcW w:w="274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expectations</w:t>
            </w:r>
          </w:p>
        </w:tc>
        <w:tc>
          <w:tcPr>
            <w:tcW w:w="264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stockholders</w:t>
            </w:r>
          </w:p>
        </w:tc>
      </w:tr>
      <w:tr>
        <w:trPr>
          <w:trHeight w:val="189"/>
        </w:trPr>
        <w:tc>
          <w:tcPr>
            <w:tcW w:w="2880" w:type="dxa"/>
            <w:vAlign w:val="bottom"/>
            <w:tcBorders>
              <w:right w:val="single" w:sz="8" w:color="auto"/>
            </w:tcBorders>
            <w:shd w:val="clear" w:color="auto" w:fill="E5F1F9"/>
          </w:tcPr>
          <w:p>
            <w:pPr>
              <w:jc w:val="center"/>
              <w:ind w:left="36"/>
              <w:spacing w:after="0"/>
              <w:rPr>
                <w:sz w:val="20"/>
                <w:szCs w:val="20"/>
                <w:color w:val="auto"/>
              </w:rPr>
            </w:pPr>
            <w:r>
              <w:rPr>
                <w:rFonts w:ascii="Arial" w:cs="Arial" w:eastAsia="Arial" w:hAnsi="Arial"/>
                <w:sz w:val="16"/>
                <w:szCs w:val="16"/>
                <w:color w:val="auto"/>
              </w:rPr>
              <w:t>to patients leading to the creation of</w:t>
            </w:r>
          </w:p>
        </w:tc>
        <w:tc>
          <w:tcPr>
            <w:tcW w:w="276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exceptional results for the company</w:t>
            </w:r>
          </w:p>
        </w:tc>
        <w:tc>
          <w:tcPr>
            <w:tcW w:w="2740" w:type="dxa"/>
            <w:vAlign w:val="bottom"/>
            <w:tcBorders>
              <w:right w:val="single" w:sz="8" w:color="auto"/>
            </w:tcBorders>
            <w:shd w:val="clear" w:color="auto" w:fill="E5F1F9"/>
          </w:tcPr>
          <w:p>
            <w:pPr>
              <w:spacing w:after="0"/>
              <w:rPr>
                <w:sz w:val="16"/>
                <w:szCs w:val="16"/>
                <w:color w:val="auto"/>
              </w:rPr>
            </w:pPr>
          </w:p>
        </w:tc>
        <w:tc>
          <w:tcPr>
            <w:tcW w:w="2640" w:type="dxa"/>
            <w:vAlign w:val="bottom"/>
            <w:shd w:val="clear" w:color="auto" w:fill="E5F1F9"/>
          </w:tcPr>
          <w:p>
            <w:pPr>
              <w:spacing w:after="0"/>
              <w:rPr>
                <w:sz w:val="16"/>
                <w:szCs w:val="16"/>
                <w:color w:val="auto"/>
              </w:rPr>
            </w:pPr>
          </w:p>
        </w:tc>
      </w:tr>
      <w:tr>
        <w:trPr>
          <w:trHeight w:val="276"/>
        </w:trPr>
        <w:tc>
          <w:tcPr>
            <w:tcW w:w="2880" w:type="dxa"/>
            <w:vAlign w:val="bottom"/>
            <w:tcBorders>
              <w:bottom w:val="single" w:sz="8" w:color="E5F1F9"/>
              <w:right w:val="single" w:sz="8" w:color="auto"/>
            </w:tcBorders>
            <w:shd w:val="clear" w:color="auto" w:fill="E5F1F9"/>
          </w:tcPr>
          <w:p>
            <w:pPr>
              <w:jc w:val="center"/>
              <w:ind w:left="56"/>
              <w:spacing w:after="0"/>
              <w:rPr>
                <w:sz w:val="20"/>
                <w:szCs w:val="20"/>
                <w:color w:val="auto"/>
              </w:rPr>
            </w:pPr>
            <w:r>
              <w:rPr>
                <w:rFonts w:ascii="Arial" w:cs="Arial" w:eastAsia="Arial" w:hAnsi="Arial"/>
                <w:sz w:val="16"/>
                <w:szCs w:val="16"/>
                <w:color w:val="auto"/>
              </w:rPr>
              <w:t>long-term stockholder value</w:t>
            </w:r>
          </w:p>
        </w:tc>
        <w:tc>
          <w:tcPr>
            <w:tcW w:w="2760" w:type="dxa"/>
            <w:vAlign w:val="bottom"/>
            <w:tcBorders>
              <w:bottom w:val="single" w:sz="8" w:color="E5F1F9"/>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and our stockholders</w:t>
            </w:r>
          </w:p>
        </w:tc>
        <w:tc>
          <w:tcPr>
            <w:tcW w:w="2740" w:type="dxa"/>
            <w:vAlign w:val="bottom"/>
            <w:tcBorders>
              <w:bottom w:val="single" w:sz="8" w:color="E5F1F9"/>
              <w:right w:val="single" w:sz="8" w:color="auto"/>
            </w:tcBorders>
            <w:shd w:val="clear" w:color="auto" w:fill="E5F1F9"/>
          </w:tcPr>
          <w:p>
            <w:pPr>
              <w:spacing w:after="0"/>
              <w:rPr>
                <w:sz w:val="23"/>
                <w:szCs w:val="23"/>
                <w:color w:val="auto"/>
              </w:rPr>
            </w:pPr>
          </w:p>
        </w:tc>
        <w:tc>
          <w:tcPr>
            <w:tcW w:w="2640" w:type="dxa"/>
            <w:vAlign w:val="bottom"/>
            <w:tcBorders>
              <w:bottom w:val="single" w:sz="8" w:color="E5F1F9"/>
            </w:tcBorders>
            <w:shd w:val="clear" w:color="auto" w:fill="E5F1F9"/>
          </w:tcPr>
          <w:p>
            <w:pPr>
              <w:spacing w:after="0"/>
              <w:rPr>
                <w:sz w:val="23"/>
                <w:szCs w:val="23"/>
                <w:color w:val="auto"/>
              </w:rPr>
            </w:pPr>
          </w:p>
        </w:tc>
      </w:tr>
      <w:tr>
        <w:trPr>
          <w:trHeight w:val="478"/>
        </w:trPr>
        <w:tc>
          <w:tcPr>
            <w:tcW w:w="5640" w:type="dxa"/>
            <w:vAlign w:val="bottom"/>
            <w:tcBorders>
              <w:top w:val="single" w:sz="8" w:color="auto"/>
            </w:tcBorders>
            <w:gridSpan w:val="2"/>
          </w:tcPr>
          <w:p>
            <w:pPr>
              <w:spacing w:after="0"/>
              <w:rPr>
                <w:sz w:val="20"/>
                <w:szCs w:val="20"/>
                <w:color w:val="auto"/>
              </w:rPr>
            </w:pPr>
            <w:r>
              <w:rPr>
                <w:rFonts w:ascii="Arial" w:cs="Arial" w:eastAsia="Arial" w:hAnsi="Arial"/>
                <w:sz w:val="22"/>
                <w:szCs w:val="22"/>
                <w:b w:val="1"/>
                <w:bCs w:val="1"/>
                <w:color w:val="0075C9"/>
              </w:rPr>
              <w:t>How Our Pay Practices Align with Our Philosophy</w:t>
            </w:r>
          </w:p>
        </w:tc>
        <w:tc>
          <w:tcPr>
            <w:tcW w:w="274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r>
    </w:tbl>
    <w:p>
      <w:pPr>
        <w:spacing w:after="0" w:line="197" w:lineRule="exact"/>
        <w:rPr>
          <w:sz w:val="20"/>
          <w:szCs w:val="20"/>
          <w:color w:val="auto"/>
        </w:rPr>
      </w:pPr>
    </w:p>
    <w:tbl>
      <w:tblPr>
        <w:tblLayout w:type="fixed"/>
        <w:tblInd w:w="130" w:type="dxa"/>
        <w:tblCellMar>
          <w:top w:w="0" w:type="dxa"/>
          <w:left w:w="0" w:type="dxa"/>
          <w:bottom w:w="0" w:type="dxa"/>
          <w:right w:w="0" w:type="dxa"/>
        </w:tblCellMar>
      </w:tblPr>
      <w:tr>
        <w:trPr>
          <w:trHeight w:val="242"/>
        </w:trPr>
        <w:tc>
          <w:tcPr>
            <w:tcW w:w="4440" w:type="dxa"/>
            <w:vAlign w:val="bottom"/>
            <w:tcBorders>
              <w:top w:val="single" w:sz="8" w:color="auto"/>
              <w:left w:val="single" w:sz="8" w:color="auto"/>
              <w:right w:val="single" w:sz="8" w:color="auto"/>
            </w:tcBorders>
            <w:shd w:val="clear" w:color="auto" w:fill="0075C9"/>
          </w:tcPr>
          <w:p>
            <w:pPr>
              <w:spacing w:after="0"/>
              <w:rPr>
                <w:sz w:val="21"/>
                <w:szCs w:val="21"/>
                <w:color w:val="auto"/>
              </w:rPr>
            </w:pPr>
          </w:p>
        </w:tc>
        <w:tc>
          <w:tcPr>
            <w:tcW w:w="1780" w:type="dxa"/>
            <w:vAlign w:val="bottom"/>
            <w:tcBorders>
              <w:top w:val="single" w:sz="8" w:color="auto"/>
              <w:right w:val="single" w:sz="8" w:color="auto"/>
            </w:tcBorders>
            <w:shd w:val="clear" w:color="auto" w:fill="0075C9"/>
          </w:tcPr>
          <w:p>
            <w:pPr>
              <w:ind w:left="140"/>
              <w:spacing w:after="0"/>
              <w:rPr>
                <w:sz w:val="20"/>
                <w:szCs w:val="20"/>
                <w:color w:val="auto"/>
              </w:rPr>
            </w:pPr>
            <w:r>
              <w:rPr>
                <w:rFonts w:ascii="Arial" w:cs="Arial" w:eastAsia="Arial" w:hAnsi="Arial"/>
                <w:sz w:val="16"/>
                <w:szCs w:val="16"/>
                <w:b w:val="1"/>
                <w:bCs w:val="1"/>
                <w:color w:val="FFFFFF"/>
              </w:rPr>
              <w:t>  Mission Focused /</w:t>
            </w:r>
          </w:p>
        </w:tc>
        <w:tc>
          <w:tcPr>
            <w:tcW w:w="1740" w:type="dxa"/>
            <w:vAlign w:val="bottom"/>
            <w:tcBorders>
              <w:top w:val="single" w:sz="8" w:color="auto"/>
              <w:right w:val="single" w:sz="8" w:color="auto"/>
            </w:tcBorders>
            <w:shd w:val="clear" w:color="auto" w:fill="0075C9"/>
          </w:tcPr>
          <w:p>
            <w:pPr>
              <w:jc w:val="center"/>
              <w:ind w:left="85"/>
              <w:spacing w:after="0"/>
              <w:rPr>
                <w:sz w:val="20"/>
                <w:szCs w:val="20"/>
                <w:color w:val="auto"/>
              </w:rPr>
            </w:pPr>
            <w:r>
              <w:rPr>
                <w:rFonts w:ascii="Arial" w:cs="Arial" w:eastAsia="Arial" w:hAnsi="Arial"/>
                <w:sz w:val="16"/>
                <w:szCs w:val="16"/>
                <w:b w:val="1"/>
                <w:bCs w:val="1"/>
                <w:color w:val="FFFFFF"/>
              </w:rPr>
              <w:t>Competitively</w:t>
            </w:r>
          </w:p>
        </w:tc>
        <w:tc>
          <w:tcPr>
            <w:tcW w:w="1660" w:type="dxa"/>
            <w:vAlign w:val="bottom"/>
            <w:tcBorders>
              <w:top w:val="single" w:sz="8" w:color="auto"/>
              <w:right w:val="single" w:sz="8" w:color="auto"/>
            </w:tcBorders>
            <w:shd w:val="clear" w:color="auto" w:fill="0075C9"/>
          </w:tcPr>
          <w:p>
            <w:pPr>
              <w:jc w:val="center"/>
              <w:ind w:left="104"/>
              <w:spacing w:after="0"/>
              <w:rPr>
                <w:sz w:val="20"/>
                <w:szCs w:val="20"/>
                <w:color w:val="auto"/>
              </w:rPr>
            </w:pPr>
            <w:r>
              <w:rPr>
                <w:rFonts w:ascii="Arial" w:cs="Arial" w:eastAsia="Arial" w:hAnsi="Arial"/>
                <w:sz w:val="16"/>
                <w:szCs w:val="16"/>
                <w:b w:val="1"/>
                <w:bCs w:val="1"/>
                <w:color w:val="FFFFFF"/>
              </w:rPr>
              <w:t>Performance</w:t>
            </w:r>
          </w:p>
        </w:tc>
        <w:tc>
          <w:tcPr>
            <w:tcW w:w="1420" w:type="dxa"/>
            <w:vAlign w:val="bottom"/>
            <w:tcBorders>
              <w:top w:val="single" w:sz="8" w:color="auto"/>
              <w:right w:val="single" w:sz="8" w:color="auto"/>
            </w:tcBorders>
            <w:shd w:val="clear" w:color="auto" w:fill="0075C9"/>
          </w:tcPr>
          <w:p>
            <w:pPr>
              <w:ind w:left="260"/>
              <w:spacing w:after="0"/>
              <w:rPr>
                <w:sz w:val="20"/>
                <w:szCs w:val="20"/>
                <w:color w:val="auto"/>
              </w:rPr>
            </w:pPr>
            <w:r>
              <w:rPr>
                <w:rFonts w:ascii="Arial" w:cs="Arial" w:eastAsia="Arial" w:hAnsi="Arial"/>
                <w:sz w:val="16"/>
                <w:szCs w:val="16"/>
                <w:b w:val="1"/>
                <w:bCs w:val="1"/>
                <w:color w:val="FFFFFF"/>
              </w:rPr>
              <w:t>  Ownership</w:t>
            </w:r>
          </w:p>
        </w:tc>
        <w:tc>
          <w:tcPr>
            <w:tcW w:w="0" w:type="dxa"/>
            <w:vAlign w:val="bottom"/>
          </w:tcPr>
          <w:p>
            <w:pPr>
              <w:spacing w:after="0"/>
              <w:rPr>
                <w:sz w:val="1"/>
                <w:szCs w:val="1"/>
                <w:color w:val="auto"/>
              </w:rPr>
            </w:pPr>
          </w:p>
        </w:tc>
      </w:tr>
      <w:tr>
        <w:trPr>
          <w:trHeight w:val="276"/>
        </w:trPr>
        <w:tc>
          <w:tcPr>
            <w:tcW w:w="4440" w:type="dxa"/>
            <w:vAlign w:val="bottom"/>
            <w:tcBorders>
              <w:left w:val="single" w:sz="8" w:color="auto"/>
              <w:bottom w:val="single" w:sz="8" w:color="0075C9"/>
              <w:right w:val="single" w:sz="8" w:color="auto"/>
            </w:tcBorders>
            <w:shd w:val="clear" w:color="auto" w:fill="0075C9"/>
          </w:tcPr>
          <w:p>
            <w:pPr>
              <w:ind w:left="1960"/>
              <w:spacing w:after="0"/>
              <w:rPr>
                <w:sz w:val="20"/>
                <w:szCs w:val="20"/>
                <w:color w:val="auto"/>
              </w:rPr>
            </w:pPr>
            <w:r>
              <w:rPr>
                <w:rFonts w:ascii="Arial" w:cs="Arial" w:eastAsia="Arial" w:hAnsi="Arial"/>
                <w:sz w:val="16"/>
                <w:szCs w:val="16"/>
                <w:b w:val="1"/>
                <w:bCs w:val="1"/>
                <w:color w:val="FFFFFF"/>
              </w:rPr>
              <w:t>Practice</w:t>
            </w:r>
          </w:p>
        </w:tc>
        <w:tc>
          <w:tcPr>
            <w:tcW w:w="1780" w:type="dxa"/>
            <w:vAlign w:val="bottom"/>
            <w:tcBorders>
              <w:bottom w:val="single" w:sz="8" w:color="0075C9"/>
              <w:right w:val="single" w:sz="8" w:color="auto"/>
            </w:tcBorders>
            <w:shd w:val="clear" w:color="auto" w:fill="0075C9"/>
          </w:tcPr>
          <w:p>
            <w:pPr>
              <w:jc w:val="center"/>
              <w:spacing w:after="0"/>
              <w:rPr>
                <w:sz w:val="20"/>
                <w:szCs w:val="20"/>
                <w:color w:val="auto"/>
              </w:rPr>
            </w:pPr>
            <w:r>
              <w:rPr>
                <w:rFonts w:ascii="Arial" w:cs="Arial" w:eastAsia="Arial" w:hAnsi="Arial"/>
                <w:sz w:val="16"/>
                <w:szCs w:val="16"/>
                <w:b w:val="1"/>
                <w:bCs w:val="1"/>
                <w:color w:val="FFFFFF"/>
              </w:rPr>
              <w:t>Business Driven</w:t>
            </w:r>
          </w:p>
        </w:tc>
        <w:tc>
          <w:tcPr>
            <w:tcW w:w="1740" w:type="dxa"/>
            <w:vAlign w:val="bottom"/>
            <w:tcBorders>
              <w:bottom w:val="single" w:sz="8" w:color="0075C9"/>
              <w:right w:val="single" w:sz="8" w:color="auto"/>
            </w:tcBorders>
            <w:shd w:val="clear" w:color="auto" w:fill="0075C9"/>
          </w:tcPr>
          <w:p>
            <w:pPr>
              <w:jc w:val="center"/>
              <w:ind w:left="65"/>
              <w:spacing w:after="0"/>
              <w:rPr>
                <w:sz w:val="20"/>
                <w:szCs w:val="20"/>
                <w:color w:val="auto"/>
              </w:rPr>
            </w:pPr>
            <w:r>
              <w:rPr>
                <w:rFonts w:ascii="Arial" w:cs="Arial" w:eastAsia="Arial" w:hAnsi="Arial"/>
                <w:sz w:val="16"/>
                <w:szCs w:val="16"/>
                <w:b w:val="1"/>
                <w:bCs w:val="1"/>
                <w:color w:val="FFFFFF"/>
              </w:rPr>
              <w:t xml:space="preserve">  Advantageous </w:t>
            </w:r>
          </w:p>
        </w:tc>
        <w:tc>
          <w:tcPr>
            <w:tcW w:w="1660" w:type="dxa"/>
            <w:vAlign w:val="bottom"/>
            <w:tcBorders>
              <w:bottom w:val="single" w:sz="8" w:color="0075C9"/>
              <w:right w:val="single" w:sz="8" w:color="auto"/>
            </w:tcBorders>
            <w:shd w:val="clear" w:color="auto" w:fill="0075C9"/>
          </w:tcPr>
          <w:p>
            <w:pPr>
              <w:jc w:val="center"/>
              <w:ind w:left="44"/>
              <w:spacing w:after="0"/>
              <w:rPr>
                <w:sz w:val="20"/>
                <w:szCs w:val="20"/>
                <w:color w:val="auto"/>
              </w:rPr>
            </w:pPr>
            <w:r>
              <w:rPr>
                <w:rFonts w:ascii="Arial" w:cs="Arial" w:eastAsia="Arial" w:hAnsi="Arial"/>
                <w:sz w:val="16"/>
                <w:szCs w:val="16"/>
                <w:b w:val="1"/>
                <w:bCs w:val="1"/>
                <w:color w:val="FFFFFF"/>
              </w:rPr>
              <w:t xml:space="preserve">  Differentiated </w:t>
            </w:r>
          </w:p>
        </w:tc>
        <w:tc>
          <w:tcPr>
            <w:tcW w:w="1420" w:type="dxa"/>
            <w:vAlign w:val="bottom"/>
            <w:tcBorders>
              <w:bottom w:val="single" w:sz="8" w:color="0075C9"/>
              <w:right w:val="single" w:sz="8" w:color="auto"/>
            </w:tcBorders>
            <w:shd w:val="clear" w:color="auto" w:fill="0075C9"/>
          </w:tcPr>
          <w:p>
            <w:pPr>
              <w:jc w:val="center"/>
              <w:ind w:left="66"/>
              <w:spacing w:after="0"/>
              <w:rPr>
                <w:sz w:val="20"/>
                <w:szCs w:val="20"/>
                <w:color w:val="auto"/>
              </w:rPr>
            </w:pPr>
            <w:r>
              <w:rPr>
                <w:rFonts w:ascii="Arial" w:cs="Arial" w:eastAsia="Arial" w:hAnsi="Arial"/>
                <w:sz w:val="16"/>
                <w:szCs w:val="16"/>
                <w:b w:val="1"/>
                <w:bCs w:val="1"/>
                <w:color w:val="FFFFFF"/>
              </w:rPr>
              <w:t>Aligned</w:t>
            </w:r>
          </w:p>
        </w:tc>
        <w:tc>
          <w:tcPr>
            <w:tcW w:w="0" w:type="dxa"/>
            <w:vAlign w:val="bottom"/>
          </w:tcPr>
          <w:p>
            <w:pPr>
              <w:spacing w:after="0"/>
              <w:rPr>
                <w:sz w:val="1"/>
                <w:szCs w:val="1"/>
                <w:color w:val="auto"/>
              </w:rPr>
            </w:pPr>
          </w:p>
        </w:tc>
      </w:tr>
      <w:tr>
        <w:trPr>
          <w:trHeight w:val="201"/>
        </w:trPr>
        <w:tc>
          <w:tcPr>
            <w:tcW w:w="4440" w:type="dxa"/>
            <w:vAlign w:val="bottom"/>
            <w:tcBorders>
              <w:top w:val="single" w:sz="8" w:color="auto"/>
              <w:left w:val="single" w:sz="8" w:color="auto"/>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Variable compensation comprises over 90% of CEO and</w:t>
            </w:r>
          </w:p>
        </w:tc>
        <w:tc>
          <w:tcPr>
            <w:tcW w:w="1780" w:type="dxa"/>
            <w:vAlign w:val="bottom"/>
            <w:tcBorders>
              <w:top w:val="single" w:sz="8" w:color="auto"/>
              <w:right w:val="single" w:sz="8" w:color="auto"/>
            </w:tcBorders>
            <w:shd w:val="clear" w:color="auto" w:fill="E5F1F9"/>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top w:val="single" w:sz="8" w:color="auto"/>
              <w:right w:val="single" w:sz="8" w:color="auto"/>
            </w:tcBorders>
            <w:shd w:val="clear" w:color="auto" w:fill="E5F1F9"/>
          </w:tcPr>
          <w:p>
            <w:pPr>
              <w:jc w:val="center"/>
              <w:ind w:left="105"/>
              <w:spacing w:after="0" w:line="141" w:lineRule="exact"/>
              <w:rPr>
                <w:sz w:val="20"/>
                <w:szCs w:val="20"/>
                <w:color w:val="auto"/>
              </w:rPr>
            </w:pPr>
            <w:r>
              <w:rPr>
                <w:rFonts w:ascii="MS PGothic" w:cs="MS PGothic" w:eastAsia="MS PGothic" w:hAnsi="MS PGothic"/>
                <w:sz w:val="14"/>
                <w:szCs w:val="14"/>
                <w:color w:val="auto"/>
                <w:w w:val="85"/>
              </w:rPr>
              <w:t>✓</w:t>
            </w:r>
          </w:p>
        </w:tc>
        <w:tc>
          <w:tcPr>
            <w:tcW w:w="1660" w:type="dxa"/>
            <w:vAlign w:val="bottom"/>
            <w:tcBorders>
              <w:top w:val="single" w:sz="8" w:color="auto"/>
              <w:right w:val="single" w:sz="8" w:color="auto"/>
            </w:tcBorders>
            <w:shd w:val="clear" w:color="auto" w:fill="E5F1F9"/>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top w:val="single" w:sz="8" w:color="auto"/>
              <w:right w:val="single" w:sz="8" w:color="auto"/>
            </w:tcBorders>
            <w:shd w:val="clear" w:color="auto" w:fill="E5F1F9"/>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bottom w:val="single" w:sz="8" w:color="E5F1F9"/>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over 80% of the non-CEO NEO total compensation</w:t>
            </w:r>
          </w:p>
        </w:tc>
        <w:tc>
          <w:tcPr>
            <w:tcW w:w="1780" w:type="dxa"/>
            <w:vAlign w:val="bottom"/>
            <w:tcBorders>
              <w:bottom w:val="single" w:sz="8" w:color="E5F1F9"/>
              <w:right w:val="single" w:sz="8" w:color="auto"/>
            </w:tcBorders>
            <w:shd w:val="clear" w:color="auto" w:fill="E5F1F9"/>
          </w:tcPr>
          <w:p>
            <w:pPr>
              <w:spacing w:after="0"/>
              <w:rPr>
                <w:sz w:val="18"/>
                <w:szCs w:val="18"/>
                <w:color w:val="auto"/>
              </w:rPr>
            </w:pPr>
          </w:p>
        </w:tc>
        <w:tc>
          <w:tcPr>
            <w:tcW w:w="1740" w:type="dxa"/>
            <w:vAlign w:val="bottom"/>
            <w:tcBorders>
              <w:bottom w:val="single" w:sz="8" w:color="E5F1F9"/>
              <w:right w:val="single" w:sz="8" w:color="auto"/>
            </w:tcBorders>
            <w:shd w:val="clear" w:color="auto" w:fill="E5F1F9"/>
          </w:tcPr>
          <w:p>
            <w:pPr>
              <w:spacing w:after="0"/>
              <w:rPr>
                <w:sz w:val="18"/>
                <w:szCs w:val="18"/>
                <w:color w:val="auto"/>
              </w:rPr>
            </w:pPr>
          </w:p>
        </w:tc>
        <w:tc>
          <w:tcPr>
            <w:tcW w:w="1660" w:type="dxa"/>
            <w:vAlign w:val="bottom"/>
            <w:tcBorders>
              <w:bottom w:val="single" w:sz="8" w:color="E5F1F9"/>
              <w:right w:val="single" w:sz="8" w:color="auto"/>
            </w:tcBorders>
            <w:shd w:val="clear" w:color="auto" w:fill="E5F1F9"/>
          </w:tcPr>
          <w:p>
            <w:pPr>
              <w:spacing w:after="0"/>
              <w:rPr>
                <w:sz w:val="18"/>
                <w:szCs w:val="18"/>
                <w:color w:val="auto"/>
              </w:rPr>
            </w:pPr>
          </w:p>
        </w:tc>
        <w:tc>
          <w:tcPr>
            <w:tcW w:w="1420" w:type="dxa"/>
            <w:vAlign w:val="bottom"/>
            <w:tcBorders>
              <w:bottom w:val="single" w:sz="8" w:color="E5F1F9"/>
              <w:right w:val="single" w:sz="8" w:color="auto"/>
            </w:tcBorders>
            <w:shd w:val="clear" w:color="auto" w:fill="E5F1F9"/>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4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Annual STI and LTI programs are performance-based and</w:t>
            </w:r>
          </w:p>
        </w:tc>
        <w:tc>
          <w:tcPr>
            <w:tcW w:w="178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top w:val="single" w:sz="8" w:color="auto"/>
              <w:right w:val="single" w:sz="8" w:color="auto"/>
            </w:tcBorders>
          </w:tcPr>
          <w:p>
            <w:pPr>
              <w:spacing w:after="0"/>
              <w:rPr>
                <w:sz w:val="17"/>
                <w:szCs w:val="17"/>
                <w:color w:val="auto"/>
              </w:rPr>
            </w:pPr>
          </w:p>
        </w:tc>
        <w:tc>
          <w:tcPr>
            <w:tcW w:w="1660" w:type="dxa"/>
            <w:vAlign w:val="bottom"/>
            <w:tcBorders>
              <w:top w:val="single" w:sz="8" w:color="auto"/>
              <w:right w:val="single" w:sz="8" w:color="auto"/>
            </w:tcBorders>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top w:val="single" w:sz="8" w:color="auto"/>
              <w:right w:val="single" w:sz="8" w:color="auto"/>
            </w:tcBorders>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0"/>
        </w:trPr>
        <w:tc>
          <w:tcPr>
            <w:tcW w:w="44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include caps on payouts</w:t>
            </w:r>
          </w:p>
        </w:tc>
        <w:tc>
          <w:tcPr>
            <w:tcW w:w="17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440" w:type="dxa"/>
            <w:vAlign w:val="bottom"/>
            <w:tcBorders>
              <w:left w:val="single" w:sz="8" w:color="auto"/>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LTI awards are linked to performance, subject to multi-year</w:t>
            </w:r>
          </w:p>
        </w:tc>
        <w:tc>
          <w:tcPr>
            <w:tcW w:w="1780" w:type="dxa"/>
            <w:vAlign w:val="bottom"/>
            <w:tcBorders>
              <w:right w:val="single" w:sz="8" w:color="auto"/>
            </w:tcBorders>
            <w:shd w:val="clear" w:color="auto" w:fill="E5F1F9"/>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right w:val="single" w:sz="8" w:color="auto"/>
            </w:tcBorders>
            <w:shd w:val="clear" w:color="auto" w:fill="E5F1F9"/>
          </w:tcPr>
          <w:p>
            <w:pPr>
              <w:jc w:val="center"/>
              <w:ind w:left="105"/>
              <w:spacing w:after="0" w:line="141" w:lineRule="exact"/>
              <w:rPr>
                <w:sz w:val="20"/>
                <w:szCs w:val="20"/>
                <w:color w:val="auto"/>
              </w:rPr>
            </w:pPr>
            <w:r>
              <w:rPr>
                <w:rFonts w:ascii="MS PGothic" w:cs="MS PGothic" w:eastAsia="MS PGothic" w:hAnsi="MS PGothic"/>
                <w:sz w:val="14"/>
                <w:szCs w:val="14"/>
                <w:color w:val="auto"/>
                <w:w w:val="85"/>
              </w:rPr>
              <w:t>✓</w:t>
            </w:r>
          </w:p>
        </w:tc>
        <w:tc>
          <w:tcPr>
            <w:tcW w:w="1660" w:type="dxa"/>
            <w:vAlign w:val="bottom"/>
            <w:tcBorders>
              <w:right w:val="single" w:sz="8" w:color="auto"/>
            </w:tcBorders>
            <w:shd w:val="clear" w:color="auto" w:fill="E5F1F9"/>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right w:val="single" w:sz="8" w:color="auto"/>
            </w:tcBorders>
            <w:shd w:val="clear" w:color="auto" w:fill="E5F1F9"/>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bottom w:val="single" w:sz="8" w:color="E5F1F9"/>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vesting periods, and designed to reward long-term performance</w:t>
            </w:r>
          </w:p>
        </w:tc>
        <w:tc>
          <w:tcPr>
            <w:tcW w:w="1780" w:type="dxa"/>
            <w:vAlign w:val="bottom"/>
            <w:tcBorders>
              <w:bottom w:val="single" w:sz="8" w:color="E5F1F9"/>
              <w:right w:val="single" w:sz="8" w:color="auto"/>
            </w:tcBorders>
            <w:shd w:val="clear" w:color="auto" w:fill="E5F1F9"/>
          </w:tcPr>
          <w:p>
            <w:pPr>
              <w:spacing w:after="0"/>
              <w:rPr>
                <w:sz w:val="18"/>
                <w:szCs w:val="18"/>
                <w:color w:val="auto"/>
              </w:rPr>
            </w:pPr>
          </w:p>
        </w:tc>
        <w:tc>
          <w:tcPr>
            <w:tcW w:w="1740" w:type="dxa"/>
            <w:vAlign w:val="bottom"/>
            <w:tcBorders>
              <w:bottom w:val="single" w:sz="8" w:color="E5F1F9"/>
              <w:right w:val="single" w:sz="8" w:color="auto"/>
            </w:tcBorders>
            <w:shd w:val="clear" w:color="auto" w:fill="E5F1F9"/>
          </w:tcPr>
          <w:p>
            <w:pPr>
              <w:spacing w:after="0"/>
              <w:rPr>
                <w:sz w:val="18"/>
                <w:szCs w:val="18"/>
                <w:color w:val="auto"/>
              </w:rPr>
            </w:pPr>
          </w:p>
        </w:tc>
        <w:tc>
          <w:tcPr>
            <w:tcW w:w="1660" w:type="dxa"/>
            <w:vAlign w:val="bottom"/>
            <w:tcBorders>
              <w:bottom w:val="single" w:sz="8" w:color="E5F1F9"/>
              <w:right w:val="single" w:sz="8" w:color="auto"/>
            </w:tcBorders>
            <w:shd w:val="clear" w:color="auto" w:fill="E5F1F9"/>
          </w:tcPr>
          <w:p>
            <w:pPr>
              <w:spacing w:after="0"/>
              <w:rPr>
                <w:sz w:val="18"/>
                <w:szCs w:val="18"/>
                <w:color w:val="auto"/>
              </w:rPr>
            </w:pPr>
          </w:p>
        </w:tc>
        <w:tc>
          <w:tcPr>
            <w:tcW w:w="1420" w:type="dxa"/>
            <w:vAlign w:val="bottom"/>
            <w:tcBorders>
              <w:bottom w:val="single" w:sz="8" w:color="E5F1F9"/>
              <w:right w:val="single" w:sz="8" w:color="auto"/>
            </w:tcBorders>
            <w:shd w:val="clear" w:color="auto" w:fill="E5F1F9"/>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4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Total pay opportunities are competitive relative to peer group and</w:t>
            </w:r>
          </w:p>
        </w:tc>
        <w:tc>
          <w:tcPr>
            <w:tcW w:w="178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top w:val="single" w:sz="8" w:color="auto"/>
              <w:right w:val="single" w:sz="8" w:color="auto"/>
            </w:tcBorders>
          </w:tcPr>
          <w:p>
            <w:pPr>
              <w:jc w:val="center"/>
              <w:ind w:left="105"/>
              <w:spacing w:after="0" w:line="141" w:lineRule="exact"/>
              <w:rPr>
                <w:sz w:val="20"/>
                <w:szCs w:val="20"/>
                <w:color w:val="auto"/>
              </w:rPr>
            </w:pPr>
            <w:r>
              <w:rPr>
                <w:rFonts w:ascii="MS PGothic" w:cs="MS PGothic" w:eastAsia="MS PGothic" w:hAnsi="MS PGothic"/>
                <w:sz w:val="14"/>
                <w:szCs w:val="14"/>
                <w:color w:val="auto"/>
                <w:w w:val="85"/>
              </w:rPr>
              <w:t>✓</w:t>
            </w:r>
          </w:p>
        </w:tc>
        <w:tc>
          <w:tcPr>
            <w:tcW w:w="1660" w:type="dxa"/>
            <w:vAlign w:val="bottom"/>
            <w:tcBorders>
              <w:top w:val="single" w:sz="8" w:color="auto"/>
              <w:right w:val="single" w:sz="8" w:color="auto"/>
            </w:tcBorders>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top w:val="single" w:sz="8" w:color="auto"/>
              <w:right w:val="single" w:sz="8" w:color="auto"/>
            </w:tcBorders>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0"/>
        </w:trPr>
        <w:tc>
          <w:tcPr>
            <w:tcW w:w="44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the broader market in which we compete for talent</w:t>
            </w:r>
          </w:p>
        </w:tc>
        <w:tc>
          <w:tcPr>
            <w:tcW w:w="17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440" w:type="dxa"/>
            <w:vAlign w:val="bottom"/>
            <w:tcBorders>
              <w:left w:val="single" w:sz="8" w:color="auto"/>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Annual risk assessment performed to ensure our compensation</w:t>
            </w:r>
          </w:p>
        </w:tc>
        <w:tc>
          <w:tcPr>
            <w:tcW w:w="1780" w:type="dxa"/>
            <w:vAlign w:val="bottom"/>
            <w:tcBorders>
              <w:right w:val="single" w:sz="8" w:color="auto"/>
            </w:tcBorders>
            <w:shd w:val="clear" w:color="auto" w:fill="E5F1F9"/>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right w:val="single" w:sz="8" w:color="auto"/>
            </w:tcBorders>
            <w:shd w:val="clear" w:color="auto" w:fill="E5F1F9"/>
          </w:tcPr>
          <w:p>
            <w:pPr>
              <w:spacing w:after="0"/>
              <w:rPr>
                <w:sz w:val="17"/>
                <w:szCs w:val="17"/>
                <w:color w:val="auto"/>
              </w:rPr>
            </w:pPr>
          </w:p>
        </w:tc>
        <w:tc>
          <w:tcPr>
            <w:tcW w:w="1660" w:type="dxa"/>
            <w:vAlign w:val="bottom"/>
            <w:tcBorders>
              <w:right w:val="single" w:sz="8" w:color="auto"/>
            </w:tcBorders>
            <w:shd w:val="clear" w:color="auto" w:fill="E5F1F9"/>
          </w:tcPr>
          <w:p>
            <w:pPr>
              <w:spacing w:after="0"/>
              <w:rPr>
                <w:sz w:val="17"/>
                <w:szCs w:val="17"/>
                <w:color w:val="auto"/>
              </w:rPr>
            </w:pPr>
          </w:p>
        </w:tc>
        <w:tc>
          <w:tcPr>
            <w:tcW w:w="1420" w:type="dxa"/>
            <w:vAlign w:val="bottom"/>
            <w:tcBorders>
              <w:right w:val="single" w:sz="8" w:color="auto"/>
            </w:tcBorders>
            <w:shd w:val="clear" w:color="auto" w:fill="E5F1F9"/>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bottom w:val="single" w:sz="8" w:color="E5F1F9"/>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programs do not encourage excessive risk taking</w:t>
            </w:r>
          </w:p>
        </w:tc>
        <w:tc>
          <w:tcPr>
            <w:tcW w:w="1780" w:type="dxa"/>
            <w:vAlign w:val="bottom"/>
            <w:tcBorders>
              <w:bottom w:val="single" w:sz="8" w:color="E5F1F9"/>
              <w:right w:val="single" w:sz="8" w:color="auto"/>
            </w:tcBorders>
            <w:shd w:val="clear" w:color="auto" w:fill="E5F1F9"/>
          </w:tcPr>
          <w:p>
            <w:pPr>
              <w:spacing w:after="0"/>
              <w:rPr>
                <w:sz w:val="18"/>
                <w:szCs w:val="18"/>
                <w:color w:val="auto"/>
              </w:rPr>
            </w:pPr>
          </w:p>
        </w:tc>
        <w:tc>
          <w:tcPr>
            <w:tcW w:w="1740" w:type="dxa"/>
            <w:vAlign w:val="bottom"/>
            <w:tcBorders>
              <w:bottom w:val="single" w:sz="8" w:color="E5F1F9"/>
              <w:right w:val="single" w:sz="8" w:color="auto"/>
            </w:tcBorders>
            <w:shd w:val="clear" w:color="auto" w:fill="E5F1F9"/>
          </w:tcPr>
          <w:p>
            <w:pPr>
              <w:spacing w:after="0"/>
              <w:rPr>
                <w:sz w:val="18"/>
                <w:szCs w:val="18"/>
                <w:color w:val="auto"/>
              </w:rPr>
            </w:pPr>
          </w:p>
        </w:tc>
        <w:tc>
          <w:tcPr>
            <w:tcW w:w="1660" w:type="dxa"/>
            <w:vAlign w:val="bottom"/>
            <w:tcBorders>
              <w:bottom w:val="single" w:sz="8" w:color="E5F1F9"/>
              <w:right w:val="single" w:sz="8" w:color="auto"/>
            </w:tcBorders>
            <w:shd w:val="clear" w:color="auto" w:fill="E5F1F9"/>
          </w:tcPr>
          <w:p>
            <w:pPr>
              <w:spacing w:after="0"/>
              <w:rPr>
                <w:sz w:val="18"/>
                <w:szCs w:val="18"/>
                <w:color w:val="auto"/>
              </w:rPr>
            </w:pPr>
          </w:p>
        </w:tc>
        <w:tc>
          <w:tcPr>
            <w:tcW w:w="1420" w:type="dxa"/>
            <w:vAlign w:val="bottom"/>
            <w:tcBorders>
              <w:bottom w:val="single" w:sz="8" w:color="E5F1F9"/>
              <w:right w:val="single" w:sz="8" w:color="auto"/>
            </w:tcBorders>
            <w:shd w:val="clear" w:color="auto" w:fill="E5F1F9"/>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4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Application of robust stock ownership, anti-hedging and pledging</w:t>
            </w:r>
          </w:p>
        </w:tc>
        <w:tc>
          <w:tcPr>
            <w:tcW w:w="1780" w:type="dxa"/>
            <w:vAlign w:val="bottom"/>
            <w:tcBorders>
              <w:top w:val="single" w:sz="8" w:color="auto"/>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top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vMerge w:val="restart"/>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top w:val="single" w:sz="8" w:color="auto"/>
              <w:right w:val="single" w:sz="8" w:color="auto"/>
            </w:tcBorders>
            <w:vMerge w:val="restart"/>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44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policies, and clawback policies that exceed Dodd-Frank</w:t>
            </w:r>
          </w:p>
        </w:tc>
        <w:tc>
          <w:tcPr>
            <w:tcW w:w="1780" w:type="dxa"/>
            <w:vAlign w:val="bottom"/>
            <w:tcBorders>
              <w:right w:val="single" w:sz="8" w:color="auto"/>
            </w:tcBorders>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requirements</w:t>
            </w:r>
          </w:p>
        </w:tc>
        <w:tc>
          <w:tcPr>
            <w:tcW w:w="17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4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40" w:type="dxa"/>
            <w:vAlign w:val="bottom"/>
            <w:tcBorders>
              <w:left w:val="single" w:sz="8" w:color="auto"/>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Stockholder feedback is a key input to Board and committee</w:t>
            </w:r>
          </w:p>
        </w:tc>
        <w:tc>
          <w:tcPr>
            <w:tcW w:w="1780" w:type="dxa"/>
            <w:vAlign w:val="bottom"/>
            <w:tcBorders>
              <w:right w:val="single" w:sz="8" w:color="auto"/>
            </w:tcBorders>
            <w:vMerge w:val="restart"/>
            <w:shd w:val="clear" w:color="auto" w:fill="E5F1F9"/>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740" w:type="dxa"/>
            <w:vAlign w:val="bottom"/>
            <w:tcBorders>
              <w:right w:val="single" w:sz="8" w:color="auto"/>
            </w:tcBorders>
            <w:vMerge w:val="restart"/>
            <w:shd w:val="clear" w:color="auto" w:fill="E5F1F9"/>
          </w:tcPr>
          <w:p>
            <w:pPr>
              <w:jc w:val="center"/>
              <w:ind w:left="105"/>
              <w:spacing w:after="0" w:line="141" w:lineRule="exact"/>
              <w:rPr>
                <w:sz w:val="20"/>
                <w:szCs w:val="20"/>
                <w:color w:val="auto"/>
              </w:rPr>
            </w:pPr>
            <w:r>
              <w:rPr>
                <w:rFonts w:ascii="MS PGothic" w:cs="MS PGothic" w:eastAsia="MS PGothic" w:hAnsi="MS PGothic"/>
                <w:sz w:val="14"/>
                <w:szCs w:val="14"/>
                <w:color w:val="auto"/>
                <w:w w:val="85"/>
              </w:rPr>
              <w:t>✓</w:t>
            </w:r>
          </w:p>
        </w:tc>
        <w:tc>
          <w:tcPr>
            <w:tcW w:w="1660" w:type="dxa"/>
            <w:vAlign w:val="bottom"/>
            <w:tcBorders>
              <w:right w:val="single" w:sz="8" w:color="auto"/>
            </w:tcBorders>
            <w:vMerge w:val="restart"/>
            <w:shd w:val="clear" w:color="auto" w:fill="E5F1F9"/>
          </w:tcPr>
          <w:p>
            <w:pPr>
              <w:jc w:val="center"/>
              <w:ind w:left="104"/>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Borders>
              <w:right w:val="single" w:sz="8" w:color="auto"/>
            </w:tcBorders>
            <w:vMerge w:val="restart"/>
            <w:shd w:val="clear" w:color="auto" w:fill="E5F1F9"/>
          </w:tcPr>
          <w:p>
            <w:pPr>
              <w:jc w:val="center"/>
              <w:ind w:left="66"/>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4440" w:type="dxa"/>
            <w:vAlign w:val="bottom"/>
            <w:tcBorders>
              <w:left w:val="single" w:sz="8" w:color="auto"/>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discussions and informs actions taken for long-term value</w:t>
            </w:r>
          </w:p>
        </w:tc>
        <w:tc>
          <w:tcPr>
            <w:tcW w:w="1780" w:type="dxa"/>
            <w:vAlign w:val="bottom"/>
            <w:tcBorders>
              <w:right w:val="single" w:sz="8" w:color="auto"/>
            </w:tcBorders>
            <w:vMerge w:val="continue"/>
            <w:shd w:val="clear" w:color="auto" w:fill="E5F1F9"/>
          </w:tcPr>
          <w:p>
            <w:pPr>
              <w:spacing w:after="0"/>
              <w:rPr>
                <w:sz w:val="14"/>
                <w:szCs w:val="14"/>
                <w:color w:val="auto"/>
              </w:rPr>
            </w:pPr>
          </w:p>
        </w:tc>
        <w:tc>
          <w:tcPr>
            <w:tcW w:w="1740" w:type="dxa"/>
            <w:vAlign w:val="bottom"/>
            <w:tcBorders>
              <w:right w:val="single" w:sz="8" w:color="auto"/>
            </w:tcBorders>
            <w:vMerge w:val="continue"/>
            <w:shd w:val="clear" w:color="auto" w:fill="E5F1F9"/>
          </w:tcPr>
          <w:p>
            <w:pPr>
              <w:spacing w:after="0"/>
              <w:rPr>
                <w:sz w:val="14"/>
                <w:szCs w:val="14"/>
                <w:color w:val="auto"/>
              </w:rPr>
            </w:pPr>
          </w:p>
        </w:tc>
        <w:tc>
          <w:tcPr>
            <w:tcW w:w="1660" w:type="dxa"/>
            <w:vAlign w:val="bottom"/>
            <w:tcBorders>
              <w:right w:val="single" w:sz="8" w:color="auto"/>
            </w:tcBorders>
            <w:vMerge w:val="continue"/>
            <w:shd w:val="clear" w:color="auto" w:fill="E5F1F9"/>
          </w:tcPr>
          <w:p>
            <w:pPr>
              <w:spacing w:after="0"/>
              <w:rPr>
                <w:sz w:val="14"/>
                <w:szCs w:val="14"/>
                <w:color w:val="auto"/>
              </w:rPr>
            </w:pPr>
          </w:p>
        </w:tc>
        <w:tc>
          <w:tcPr>
            <w:tcW w:w="1420" w:type="dxa"/>
            <w:vAlign w:val="bottom"/>
            <w:tcBorders>
              <w:right w:val="single" w:sz="8" w:color="auto"/>
            </w:tcBorders>
            <w:vMerge w:val="continue"/>
            <w:shd w:val="clear" w:color="auto" w:fill="E5F1F9"/>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40" w:type="dxa"/>
            <w:vAlign w:val="bottom"/>
            <w:tcBorders>
              <w:left w:val="single" w:sz="8" w:color="auto"/>
              <w:bottom w:val="single" w:sz="8" w:color="E5F1F9"/>
              <w:right w:val="single" w:sz="8" w:color="auto"/>
            </w:tcBorders>
            <w:shd w:val="clear" w:color="auto" w:fill="E5F1F9"/>
          </w:tcPr>
          <w:p>
            <w:pPr>
              <w:ind w:left="220"/>
              <w:spacing w:after="0"/>
              <w:rPr>
                <w:sz w:val="20"/>
                <w:szCs w:val="20"/>
                <w:color w:val="auto"/>
              </w:rPr>
            </w:pPr>
            <w:r>
              <w:rPr>
                <w:rFonts w:ascii="Arial" w:cs="Arial" w:eastAsia="Arial" w:hAnsi="Arial"/>
                <w:sz w:val="14"/>
                <w:szCs w:val="14"/>
                <w:color w:val="auto"/>
              </w:rPr>
              <w:t>creation for our stockholders</w:t>
            </w:r>
          </w:p>
        </w:tc>
        <w:tc>
          <w:tcPr>
            <w:tcW w:w="1780" w:type="dxa"/>
            <w:vAlign w:val="bottom"/>
            <w:tcBorders>
              <w:bottom w:val="single" w:sz="8" w:color="E5F1F9"/>
              <w:right w:val="single" w:sz="8" w:color="auto"/>
            </w:tcBorders>
            <w:shd w:val="clear" w:color="auto" w:fill="E5F1F9"/>
          </w:tcPr>
          <w:p>
            <w:pPr>
              <w:spacing w:after="0"/>
              <w:rPr>
                <w:sz w:val="19"/>
                <w:szCs w:val="19"/>
                <w:color w:val="auto"/>
              </w:rPr>
            </w:pPr>
          </w:p>
        </w:tc>
        <w:tc>
          <w:tcPr>
            <w:tcW w:w="1740" w:type="dxa"/>
            <w:vAlign w:val="bottom"/>
            <w:tcBorders>
              <w:bottom w:val="single" w:sz="8" w:color="E5F1F9"/>
              <w:right w:val="single" w:sz="8" w:color="auto"/>
            </w:tcBorders>
            <w:shd w:val="clear" w:color="auto" w:fill="E5F1F9"/>
          </w:tcPr>
          <w:p>
            <w:pPr>
              <w:spacing w:after="0"/>
              <w:rPr>
                <w:sz w:val="19"/>
                <w:szCs w:val="19"/>
                <w:color w:val="auto"/>
              </w:rPr>
            </w:pPr>
          </w:p>
        </w:tc>
        <w:tc>
          <w:tcPr>
            <w:tcW w:w="1660" w:type="dxa"/>
            <w:vAlign w:val="bottom"/>
            <w:tcBorders>
              <w:bottom w:val="single" w:sz="8" w:color="E5F1F9"/>
              <w:right w:val="single" w:sz="8" w:color="auto"/>
            </w:tcBorders>
            <w:shd w:val="clear" w:color="auto" w:fill="E5F1F9"/>
          </w:tcPr>
          <w:p>
            <w:pPr>
              <w:spacing w:after="0"/>
              <w:rPr>
                <w:sz w:val="19"/>
                <w:szCs w:val="19"/>
                <w:color w:val="auto"/>
              </w:rPr>
            </w:pPr>
          </w:p>
        </w:tc>
        <w:tc>
          <w:tcPr>
            <w:tcW w:w="1420" w:type="dxa"/>
            <w:vAlign w:val="bottom"/>
            <w:tcBorders>
              <w:bottom w:val="single" w:sz="8" w:color="E5F1F9"/>
              <w:right w:val="single" w:sz="8" w:color="auto"/>
            </w:tcBorders>
            <w:shd w:val="clear" w:color="auto" w:fill="E5F1F9"/>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44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color w:val="0075C9"/>
                <w:w w:val="99"/>
              </w:rPr>
              <w:t xml:space="preserve">   2026 Proxy Statement   </w:t>
            </w:r>
            <w:r>
              <w:rPr>
                <w:rFonts w:ascii="Arial" w:cs="Arial" w:eastAsia="Arial" w:hAnsi="Arial"/>
                <w:sz w:val="16"/>
                <w:szCs w:val="16"/>
                <w:color w:val="0075C9"/>
                <w:w w:val="99"/>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-173355</wp:posOffset>
            </wp:positionV>
            <wp:extent cx="41973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Our Named Executive Officers for 2025</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named executive officers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711200" cy="8832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1200" cy="88328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166370</wp:posOffset>
            </wp:positionV>
            <wp:extent cx="711200" cy="8915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1200" cy="891540"/>
                    </a:xfrm>
                    <a:prstGeom prst="rect">
                      <a:avLst/>
                    </a:prstGeom>
                    <a:noFill/>
                  </pic:spPr>
                </pic:pic>
              </a:graphicData>
            </a:graphic>
          </wp:anchor>
        </w:drawing>
      </w:r>
    </w:p>
    <w:p>
      <w:pPr>
        <w:spacing w:after="0" w:line="222" w:lineRule="exact"/>
        <w:rPr>
          <w:sz w:val="20"/>
          <w:szCs w:val="20"/>
          <w:color w:val="auto"/>
        </w:rPr>
      </w:pPr>
    </w:p>
    <w:tbl>
      <w:tblPr>
        <w:tblLayout w:type="fixed"/>
        <w:tblInd w:w="1560" w:type="dxa"/>
        <w:tblCellMar>
          <w:top w:w="0" w:type="dxa"/>
          <w:left w:w="0" w:type="dxa"/>
          <w:bottom w:w="0" w:type="dxa"/>
          <w:right w:w="0" w:type="dxa"/>
        </w:tblCellMar>
      </w:tblPr>
      <w:tr>
        <w:trPr>
          <w:trHeight w:val="202"/>
        </w:trPr>
        <w:tc>
          <w:tcPr>
            <w:tcW w:w="220" w:type="dxa"/>
            <w:vAlign w:val="bottom"/>
          </w:tcPr>
          <w:p>
            <w:pPr>
              <w:spacing w:after="0"/>
              <w:rPr>
                <w:sz w:val="20"/>
                <w:szCs w:val="20"/>
                <w:color w:val="auto"/>
              </w:rPr>
            </w:pPr>
            <w:r>
              <w:rPr>
                <w:rFonts w:ascii="Arial" w:cs="Arial" w:eastAsia="Arial" w:hAnsi="Arial"/>
                <w:sz w:val="16"/>
                <w:szCs w:val="16"/>
                <w:color w:val="auto"/>
              </w:rPr>
              <w:t> </w:t>
            </w:r>
          </w:p>
        </w:tc>
        <w:tc>
          <w:tcPr>
            <w:tcW w:w="3880" w:type="dxa"/>
            <w:vAlign w:val="bottom"/>
            <w:tcBorders>
              <w:top w:val="single" w:sz="8" w:color="0075C9"/>
            </w:tcBorders>
          </w:tcPr>
          <w:p>
            <w:pPr>
              <w:ind w:left="140"/>
              <w:spacing w:after="0" w:line="202" w:lineRule="exact"/>
              <w:rPr>
                <w:sz w:val="20"/>
                <w:szCs w:val="20"/>
                <w:color w:val="auto"/>
              </w:rPr>
            </w:pPr>
            <w:r>
              <w:rPr>
                <w:rFonts w:ascii="Arial" w:cs="Arial" w:eastAsia="Arial" w:hAnsi="Arial"/>
                <w:sz w:val="18"/>
                <w:szCs w:val="18"/>
                <w:b w:val="1"/>
                <w:bCs w:val="1"/>
                <w:color w:val="0075C9"/>
              </w:rPr>
              <w:t>   Christopher A. Viehbacher</w:t>
            </w:r>
          </w:p>
        </w:tc>
        <w:tc>
          <w:tcPr>
            <w:tcW w:w="1000" w:type="dxa"/>
            <w:vAlign w:val="bottom"/>
          </w:tcPr>
          <w:p>
            <w:pPr>
              <w:ind w:left="120"/>
              <w:spacing w:after="0"/>
              <w:rPr>
                <w:sz w:val="20"/>
                <w:szCs w:val="20"/>
                <w:color w:val="auto"/>
              </w:rPr>
            </w:pPr>
            <w:r>
              <w:rPr>
                <w:rFonts w:ascii="Arial" w:cs="Arial" w:eastAsia="Arial" w:hAnsi="Arial"/>
                <w:sz w:val="16"/>
                <w:szCs w:val="16"/>
                <w:color w:val="auto"/>
              </w:rPr>
              <w:t> </w:t>
            </w:r>
          </w:p>
        </w:tc>
        <w:tc>
          <w:tcPr>
            <w:tcW w:w="1060" w:type="dxa"/>
            <w:vAlign w:val="bottom"/>
          </w:tcPr>
          <w:p>
            <w:pPr>
              <w:ind w:left="860"/>
              <w:spacing w:after="0"/>
              <w:rPr>
                <w:sz w:val="20"/>
                <w:szCs w:val="20"/>
                <w:color w:val="auto"/>
              </w:rPr>
            </w:pPr>
            <w:r>
              <w:rPr>
                <w:rFonts w:ascii="Arial" w:cs="Arial" w:eastAsia="Arial" w:hAnsi="Arial"/>
                <w:sz w:val="16"/>
                <w:szCs w:val="16"/>
                <w:color w:val="auto"/>
              </w:rPr>
              <w:t> </w:t>
            </w:r>
          </w:p>
        </w:tc>
        <w:tc>
          <w:tcPr>
            <w:tcW w:w="220" w:type="dxa"/>
            <w:vAlign w:val="bottom"/>
            <w:tcBorders>
              <w:top w:val="single" w:sz="8" w:color="0075C9"/>
            </w:tcBorders>
          </w:tcPr>
          <w:p>
            <w:pPr>
              <w:ind w:left="120"/>
              <w:spacing w:after="0"/>
              <w:rPr>
                <w:sz w:val="20"/>
                <w:szCs w:val="20"/>
                <w:color w:val="auto"/>
              </w:rPr>
            </w:pPr>
            <w:r>
              <w:rPr>
                <w:rFonts w:ascii="Arial" w:cs="Arial" w:eastAsia="Arial" w:hAnsi="Arial"/>
                <w:sz w:val="11"/>
                <w:szCs w:val="11"/>
                <w:b w:val="1"/>
                <w:bCs w:val="1"/>
                <w:color w:val="0075C9"/>
                <w:w w:val="72"/>
              </w:rPr>
              <w:t> </w:t>
            </w:r>
          </w:p>
        </w:tc>
        <w:tc>
          <w:tcPr>
            <w:tcW w:w="3200" w:type="dxa"/>
            <w:vAlign w:val="bottom"/>
            <w:tcBorders>
              <w:top w:val="single" w:sz="8" w:color="0075C9"/>
            </w:tcBorders>
          </w:tcPr>
          <w:p>
            <w:pPr>
              <w:ind w:left="80"/>
              <w:spacing w:after="0" w:line="202" w:lineRule="exact"/>
              <w:rPr>
                <w:sz w:val="20"/>
                <w:szCs w:val="20"/>
                <w:color w:val="auto"/>
              </w:rPr>
            </w:pPr>
            <w:r>
              <w:rPr>
                <w:rFonts w:ascii="Arial" w:cs="Arial" w:eastAsia="Arial" w:hAnsi="Arial"/>
                <w:sz w:val="18"/>
                <w:szCs w:val="18"/>
                <w:b w:val="1"/>
                <w:bCs w:val="1"/>
                <w:color w:val="0075C9"/>
              </w:rPr>
              <w:t>Susan H. Alexander</w:t>
            </w:r>
          </w:p>
        </w:tc>
      </w:tr>
      <w:tr>
        <w:trPr>
          <w:trHeight w:val="215"/>
        </w:trPr>
        <w:tc>
          <w:tcPr>
            <w:tcW w:w="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6"/>
                <w:szCs w:val="16"/>
                <w:color w:val="auto"/>
              </w:rPr>
              <w:t>   President and Chief Executive Officer</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1"/>
                <w:szCs w:val="11"/>
                <w:color w:val="auto"/>
                <w:w w:val="72"/>
              </w:rPr>
              <w:t> </w:t>
            </w:r>
          </w:p>
        </w:tc>
        <w:tc>
          <w:tcPr>
            <w:tcW w:w="3200" w:type="dxa"/>
            <w:vAlign w:val="bottom"/>
          </w:tcPr>
          <w:p>
            <w:pPr>
              <w:ind w:left="60"/>
              <w:spacing w:after="0"/>
              <w:rPr>
                <w:sz w:val="20"/>
                <w:szCs w:val="20"/>
                <w:color w:val="auto"/>
              </w:rPr>
            </w:pPr>
            <w:r>
              <w:rPr>
                <w:rFonts w:ascii="Arial" w:cs="Arial" w:eastAsia="Arial" w:hAnsi="Arial"/>
                <w:sz w:val="16"/>
                <w:szCs w:val="16"/>
                <w:color w:val="auto"/>
              </w:rPr>
              <w:t>Chief Legal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755650</wp:posOffset>
            </wp:positionV>
            <wp:extent cx="711200" cy="8826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1200" cy="88265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755650</wp:posOffset>
            </wp:positionV>
            <wp:extent cx="702945" cy="8826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294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780" w:type="dxa"/>
        <w:tblCellMar>
          <w:top w:w="0" w:type="dxa"/>
          <w:left w:w="0" w:type="dxa"/>
          <w:bottom w:w="0" w:type="dxa"/>
          <w:right w:w="0" w:type="dxa"/>
        </w:tblCellMar>
      </w:tblPr>
      <w:tr>
        <w:trPr>
          <w:trHeight w:val="202"/>
        </w:trPr>
        <w:tc>
          <w:tcPr>
            <w:tcW w:w="3880" w:type="dxa"/>
            <w:vAlign w:val="bottom"/>
            <w:tcBorders>
              <w:top w:val="single" w:sz="8" w:color="0075C9"/>
            </w:tcBorders>
          </w:tcPr>
          <w:p>
            <w:pPr>
              <w:ind w:left="140"/>
              <w:spacing w:after="0" w:line="202" w:lineRule="exact"/>
              <w:rPr>
                <w:sz w:val="20"/>
                <w:szCs w:val="20"/>
                <w:color w:val="auto"/>
              </w:rPr>
            </w:pPr>
            <w:r>
              <w:rPr>
                <w:rFonts w:ascii="Arial" w:cs="Arial" w:eastAsia="Arial" w:hAnsi="Arial"/>
                <w:sz w:val="18"/>
                <w:szCs w:val="18"/>
                <w:b w:val="1"/>
                <w:bCs w:val="1"/>
                <w:color w:val="0075C9"/>
              </w:rPr>
              <w:t>   Michael R. McDonnell</w:t>
            </w:r>
          </w:p>
        </w:tc>
        <w:tc>
          <w:tcPr>
            <w:tcW w:w="2060" w:type="dxa"/>
            <w:vAlign w:val="bottom"/>
          </w:tcPr>
          <w:p>
            <w:pPr>
              <w:spacing w:after="0"/>
              <w:rPr>
                <w:sz w:val="17"/>
                <w:szCs w:val="17"/>
                <w:color w:val="auto"/>
              </w:rPr>
            </w:pPr>
          </w:p>
        </w:tc>
        <w:tc>
          <w:tcPr>
            <w:tcW w:w="220" w:type="dxa"/>
            <w:vAlign w:val="bottom"/>
            <w:tcBorders>
              <w:top w:val="single" w:sz="8" w:color="0075C9"/>
            </w:tcBorders>
          </w:tcPr>
          <w:p>
            <w:pPr>
              <w:ind w:left="120"/>
              <w:spacing w:after="0"/>
              <w:rPr>
                <w:sz w:val="20"/>
                <w:szCs w:val="20"/>
                <w:color w:val="auto"/>
              </w:rPr>
            </w:pPr>
            <w:r>
              <w:rPr>
                <w:rFonts w:ascii="Arial" w:cs="Arial" w:eastAsia="Arial" w:hAnsi="Arial"/>
                <w:sz w:val="11"/>
                <w:szCs w:val="11"/>
                <w:b w:val="1"/>
                <w:bCs w:val="1"/>
                <w:color w:val="0075C9"/>
                <w:w w:val="72"/>
              </w:rPr>
              <w:t> </w:t>
            </w:r>
          </w:p>
        </w:tc>
        <w:tc>
          <w:tcPr>
            <w:tcW w:w="3200" w:type="dxa"/>
            <w:vAlign w:val="bottom"/>
            <w:tcBorders>
              <w:top w:val="single" w:sz="8" w:color="0075C9"/>
            </w:tcBorders>
          </w:tcPr>
          <w:p>
            <w:pPr>
              <w:ind w:left="80"/>
              <w:spacing w:after="0" w:line="202" w:lineRule="exact"/>
              <w:rPr>
                <w:sz w:val="20"/>
                <w:szCs w:val="20"/>
                <w:color w:val="auto"/>
              </w:rPr>
            </w:pPr>
            <w:r>
              <w:rPr>
                <w:rFonts w:ascii="Arial" w:cs="Arial" w:eastAsia="Arial" w:hAnsi="Arial"/>
                <w:sz w:val="18"/>
                <w:szCs w:val="18"/>
                <w:b w:val="1"/>
                <w:bCs w:val="1"/>
                <w:color w:val="0075C9"/>
              </w:rPr>
              <w:t>Priya A. Singhal</w:t>
            </w:r>
          </w:p>
        </w:tc>
      </w:tr>
      <w:tr>
        <w:trPr>
          <w:trHeight w:val="189"/>
        </w:trPr>
        <w:tc>
          <w:tcPr>
            <w:tcW w:w="5940" w:type="dxa"/>
            <w:vAlign w:val="bottom"/>
            <w:gridSpan w:val="2"/>
          </w:tcPr>
          <w:p>
            <w:pPr>
              <w:ind w:left="140"/>
              <w:spacing w:after="0"/>
              <w:rPr>
                <w:sz w:val="20"/>
                <w:szCs w:val="20"/>
                <w:color w:val="auto"/>
              </w:rPr>
            </w:pPr>
            <w:r>
              <w:rPr>
                <w:rFonts w:ascii="Arial" w:cs="Arial" w:eastAsia="Arial" w:hAnsi="Arial"/>
                <w:sz w:val="16"/>
                <w:szCs w:val="16"/>
                <w:color w:val="auto"/>
              </w:rPr>
              <w:t>   Former Chief Financial Officer (retired March</w:t>
            </w:r>
          </w:p>
        </w:tc>
        <w:tc>
          <w:tcPr>
            <w:tcW w:w="220" w:type="dxa"/>
            <w:vAlign w:val="bottom"/>
          </w:tcPr>
          <w:p>
            <w:pPr>
              <w:ind w:left="120"/>
              <w:spacing w:after="0"/>
              <w:rPr>
                <w:sz w:val="20"/>
                <w:szCs w:val="20"/>
                <w:color w:val="auto"/>
              </w:rPr>
            </w:pPr>
            <w:r>
              <w:rPr>
                <w:rFonts w:ascii="Arial" w:cs="Arial" w:eastAsia="Arial" w:hAnsi="Arial"/>
                <w:sz w:val="11"/>
                <w:szCs w:val="11"/>
                <w:color w:val="auto"/>
                <w:w w:val="72"/>
              </w:rPr>
              <w:t> </w:t>
            </w:r>
          </w:p>
        </w:tc>
        <w:tc>
          <w:tcPr>
            <w:tcW w:w="3200" w:type="dxa"/>
            <w:vAlign w:val="bottom"/>
          </w:tcPr>
          <w:p>
            <w:pPr>
              <w:ind w:left="60"/>
              <w:spacing w:after="0"/>
              <w:rPr>
                <w:sz w:val="20"/>
                <w:szCs w:val="20"/>
                <w:color w:val="auto"/>
              </w:rPr>
            </w:pPr>
            <w:r>
              <w:rPr>
                <w:rFonts w:ascii="Arial" w:cs="Arial" w:eastAsia="Arial" w:hAnsi="Arial"/>
                <w:sz w:val="16"/>
                <w:szCs w:val="16"/>
                <w:color w:val="auto"/>
              </w:rPr>
              <w:t>Head of Development</w:t>
            </w:r>
          </w:p>
        </w:tc>
      </w:tr>
      <w:tr>
        <w:trPr>
          <w:trHeight w:val="215"/>
        </w:trPr>
        <w:tc>
          <w:tcPr>
            <w:tcW w:w="3880" w:type="dxa"/>
            <w:vAlign w:val="bottom"/>
          </w:tcPr>
          <w:p>
            <w:pPr>
              <w:jc w:val="right"/>
              <w:ind w:right="3096"/>
              <w:spacing w:after="0"/>
              <w:rPr>
                <w:sz w:val="20"/>
                <w:szCs w:val="20"/>
                <w:color w:val="auto"/>
              </w:rPr>
            </w:pPr>
            <w:r>
              <w:rPr>
                <w:rFonts w:ascii="Arial" w:cs="Arial" w:eastAsia="Arial" w:hAnsi="Arial"/>
                <w:sz w:val="16"/>
                <w:szCs w:val="16"/>
                <w:color w:val="auto"/>
              </w:rPr>
              <w:t>2025)</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626745</wp:posOffset>
            </wp:positionV>
            <wp:extent cx="711200" cy="8832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1200" cy="88328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626745</wp:posOffset>
            </wp:positionV>
            <wp:extent cx="711200" cy="8832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12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780" w:type="dxa"/>
        <w:tblCellMar>
          <w:top w:w="0" w:type="dxa"/>
          <w:left w:w="0" w:type="dxa"/>
          <w:bottom w:w="0" w:type="dxa"/>
          <w:right w:w="0" w:type="dxa"/>
        </w:tblCellMar>
      </w:tblPr>
      <w:tr>
        <w:trPr>
          <w:trHeight w:val="202"/>
        </w:trPr>
        <w:tc>
          <w:tcPr>
            <w:tcW w:w="3880" w:type="dxa"/>
            <w:vAlign w:val="bottom"/>
            <w:tcBorders>
              <w:top w:val="single" w:sz="8" w:color="0075C9"/>
            </w:tcBorders>
          </w:tcPr>
          <w:p>
            <w:pPr>
              <w:ind w:left="140"/>
              <w:spacing w:after="0" w:line="202" w:lineRule="exact"/>
              <w:rPr>
                <w:sz w:val="20"/>
                <w:szCs w:val="20"/>
                <w:color w:val="auto"/>
              </w:rPr>
            </w:pPr>
            <w:r>
              <w:rPr>
                <w:rFonts w:ascii="Arial" w:cs="Arial" w:eastAsia="Arial" w:hAnsi="Arial"/>
                <w:sz w:val="18"/>
                <w:szCs w:val="18"/>
                <w:b w:val="1"/>
                <w:bCs w:val="1"/>
                <w:color w:val="0075C9"/>
              </w:rPr>
              <w:t>   Nicole C. Murphy</w:t>
            </w:r>
          </w:p>
        </w:tc>
        <w:tc>
          <w:tcPr>
            <w:tcW w:w="2060" w:type="dxa"/>
            <w:vAlign w:val="bottom"/>
          </w:tcPr>
          <w:p>
            <w:pPr>
              <w:spacing w:after="0"/>
              <w:rPr>
                <w:sz w:val="17"/>
                <w:szCs w:val="17"/>
                <w:color w:val="auto"/>
              </w:rPr>
            </w:pPr>
          </w:p>
        </w:tc>
        <w:tc>
          <w:tcPr>
            <w:tcW w:w="220" w:type="dxa"/>
            <w:vAlign w:val="bottom"/>
            <w:tcBorders>
              <w:top w:val="single" w:sz="8" w:color="0075C9"/>
            </w:tcBorders>
          </w:tcPr>
          <w:p>
            <w:pPr>
              <w:ind w:left="120"/>
              <w:spacing w:after="0"/>
              <w:rPr>
                <w:sz w:val="20"/>
                <w:szCs w:val="20"/>
                <w:color w:val="auto"/>
              </w:rPr>
            </w:pPr>
            <w:r>
              <w:rPr>
                <w:rFonts w:ascii="Arial" w:cs="Arial" w:eastAsia="Arial" w:hAnsi="Arial"/>
                <w:sz w:val="11"/>
                <w:szCs w:val="11"/>
                <w:b w:val="1"/>
                <w:bCs w:val="1"/>
                <w:color w:val="0075C9"/>
                <w:w w:val="72"/>
              </w:rPr>
              <w:t> </w:t>
            </w:r>
          </w:p>
        </w:tc>
        <w:tc>
          <w:tcPr>
            <w:tcW w:w="3200" w:type="dxa"/>
            <w:vAlign w:val="bottom"/>
            <w:tcBorders>
              <w:top w:val="single" w:sz="8" w:color="0075C9"/>
            </w:tcBorders>
          </w:tcPr>
          <w:p>
            <w:pPr>
              <w:ind w:left="80"/>
              <w:spacing w:after="0" w:line="202" w:lineRule="exact"/>
              <w:rPr>
                <w:sz w:val="20"/>
                <w:szCs w:val="20"/>
                <w:color w:val="auto"/>
              </w:rPr>
            </w:pPr>
            <w:r>
              <w:rPr>
                <w:rFonts w:ascii="Arial" w:cs="Arial" w:eastAsia="Arial" w:hAnsi="Arial"/>
                <w:sz w:val="18"/>
                <w:szCs w:val="18"/>
                <w:b w:val="1"/>
                <w:bCs w:val="1"/>
                <w:color w:val="0075C9"/>
              </w:rPr>
              <w:t>Robin C. Kramer*</w:t>
            </w:r>
          </w:p>
        </w:tc>
      </w:tr>
      <w:tr>
        <w:trPr>
          <w:trHeight w:val="189"/>
        </w:trPr>
        <w:tc>
          <w:tcPr>
            <w:tcW w:w="5940" w:type="dxa"/>
            <w:vAlign w:val="bottom"/>
            <w:gridSpan w:val="2"/>
          </w:tcPr>
          <w:p>
            <w:pPr>
              <w:ind w:left="140"/>
              <w:spacing w:after="0"/>
              <w:rPr>
                <w:sz w:val="20"/>
                <w:szCs w:val="20"/>
                <w:color w:val="auto"/>
              </w:rPr>
            </w:pPr>
            <w:r>
              <w:rPr>
                <w:rFonts w:ascii="Arial" w:cs="Arial" w:eastAsia="Arial" w:hAnsi="Arial"/>
                <w:sz w:val="16"/>
                <w:szCs w:val="16"/>
                <w:color w:val="auto"/>
              </w:rPr>
              <w:t>   Head of Pharmaceutical Operations and</w:t>
            </w:r>
          </w:p>
        </w:tc>
        <w:tc>
          <w:tcPr>
            <w:tcW w:w="220" w:type="dxa"/>
            <w:vAlign w:val="bottom"/>
          </w:tcPr>
          <w:p>
            <w:pPr>
              <w:ind w:left="120"/>
              <w:spacing w:after="0"/>
              <w:rPr>
                <w:sz w:val="20"/>
                <w:szCs w:val="20"/>
                <w:color w:val="auto"/>
              </w:rPr>
            </w:pPr>
            <w:r>
              <w:rPr>
                <w:rFonts w:ascii="Arial" w:cs="Arial" w:eastAsia="Arial" w:hAnsi="Arial"/>
                <w:sz w:val="11"/>
                <w:szCs w:val="11"/>
                <w:color w:val="auto"/>
                <w:w w:val="72"/>
              </w:rPr>
              <w:t> </w:t>
            </w:r>
          </w:p>
        </w:tc>
        <w:tc>
          <w:tcPr>
            <w:tcW w:w="3200" w:type="dxa"/>
            <w:vAlign w:val="bottom"/>
          </w:tcPr>
          <w:p>
            <w:pPr>
              <w:ind w:left="60"/>
              <w:spacing w:after="0"/>
              <w:rPr>
                <w:sz w:val="20"/>
                <w:szCs w:val="20"/>
                <w:color w:val="auto"/>
              </w:rPr>
            </w:pPr>
            <w:r>
              <w:rPr>
                <w:rFonts w:ascii="Arial" w:cs="Arial" w:eastAsia="Arial" w:hAnsi="Arial"/>
                <w:sz w:val="16"/>
                <w:szCs w:val="16"/>
                <w:color w:val="auto"/>
              </w:rPr>
              <w:t>Chief Financial Officer</w:t>
            </w:r>
          </w:p>
        </w:tc>
      </w:tr>
      <w:tr>
        <w:trPr>
          <w:trHeight w:val="215"/>
        </w:trPr>
        <w:tc>
          <w:tcPr>
            <w:tcW w:w="5940" w:type="dxa"/>
            <w:vAlign w:val="bottom"/>
            <w:gridSpan w:val="2"/>
          </w:tcPr>
          <w:p>
            <w:pPr>
              <w:ind w:left="300"/>
              <w:spacing w:after="0"/>
              <w:rPr>
                <w:sz w:val="20"/>
                <w:szCs w:val="20"/>
                <w:color w:val="auto"/>
              </w:rPr>
            </w:pPr>
            <w:r>
              <w:rPr>
                <w:rFonts w:ascii="Arial" w:cs="Arial" w:eastAsia="Arial" w:hAnsi="Arial"/>
                <w:sz w:val="16"/>
                <w:szCs w:val="16"/>
                <w:color w:val="auto"/>
              </w:rPr>
              <w:t>Technology</w:t>
            </w: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right="240" w:hanging="424"/>
        <w:spacing w:after="0" w:line="285" w:lineRule="auto"/>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Ms. Kramer was appointed Executive Vice President and Chief Financial Officer effective March 1, 2025. Mr. McDonnell ceased to be our Executive Vice President and Chief Financial Officer and retired on March 1, 2025.</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Compensation Elements</w:t>
      </w:r>
    </w:p>
    <w:p>
      <w:pPr>
        <w:spacing w:after="0" w:line="112"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Our CMDC determines the elements of compensation we provide to our executive officers (which we define as all employees at the level of vice president and above). The elements of our executive compensation program and their objectives are as follows: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320" w:type="dxa"/>
            <w:vAlign w:val="bottom"/>
            <w:shd w:val="clear" w:color="auto" w:fill="0075C9"/>
          </w:tcPr>
          <w:p>
            <w:pPr>
              <w:ind w:left="900"/>
              <w:spacing w:after="0"/>
              <w:rPr>
                <w:sz w:val="20"/>
                <w:szCs w:val="20"/>
                <w:color w:val="auto"/>
              </w:rPr>
            </w:pPr>
            <w:r>
              <w:rPr>
                <w:rFonts w:ascii="Arial" w:cs="Arial" w:eastAsia="Arial" w:hAnsi="Arial"/>
                <w:sz w:val="14"/>
                <w:szCs w:val="14"/>
                <w:color w:val="FFFFFF"/>
              </w:rPr>
              <w:t>Element</w:t>
            </w:r>
          </w:p>
        </w:tc>
        <w:tc>
          <w:tcPr>
            <w:tcW w:w="8700" w:type="dxa"/>
            <w:vAlign w:val="bottom"/>
            <w:shd w:val="clear" w:color="auto" w:fill="0075C9"/>
          </w:tcPr>
          <w:p>
            <w:pPr>
              <w:ind w:left="4020"/>
              <w:spacing w:after="0"/>
              <w:rPr>
                <w:sz w:val="20"/>
                <w:szCs w:val="20"/>
                <w:color w:val="auto"/>
              </w:rPr>
            </w:pPr>
            <w:r>
              <w:rPr>
                <w:rFonts w:ascii="Arial" w:cs="Arial" w:eastAsia="Arial" w:hAnsi="Arial"/>
                <w:sz w:val="14"/>
                <w:szCs w:val="14"/>
                <w:color w:val="FFFFFF"/>
              </w:rPr>
              <w:t>Objective(s)</w:t>
            </w:r>
          </w:p>
        </w:tc>
      </w:tr>
      <w:tr>
        <w:trPr>
          <w:trHeight w:val="153"/>
        </w:trPr>
        <w:tc>
          <w:tcPr>
            <w:tcW w:w="2320" w:type="dxa"/>
            <w:vAlign w:val="bottom"/>
            <w:shd w:val="clear" w:color="auto" w:fill="E5F1F9"/>
          </w:tcPr>
          <w:p>
            <w:pPr>
              <w:ind w:left="60"/>
              <w:spacing w:after="0" w:line="153" w:lineRule="exact"/>
              <w:rPr>
                <w:sz w:val="20"/>
                <w:szCs w:val="20"/>
                <w:color w:val="auto"/>
              </w:rPr>
            </w:pPr>
            <w:r>
              <w:rPr>
                <w:rFonts w:ascii="Arial" w:cs="Arial" w:eastAsia="Arial" w:hAnsi="Arial"/>
                <w:sz w:val="14"/>
                <w:szCs w:val="14"/>
                <w:color w:val="auto"/>
              </w:rPr>
              <w:t>Base Salary</w:t>
            </w:r>
          </w:p>
        </w:tc>
        <w:tc>
          <w:tcPr>
            <w:tcW w:w="8700" w:type="dxa"/>
            <w:vAlign w:val="bottom"/>
            <w:shd w:val="clear" w:color="auto" w:fill="E5F1F9"/>
          </w:tcPr>
          <w:p>
            <w:pPr>
              <w:ind w:left="100"/>
              <w:spacing w:after="0" w:line="153" w:lineRule="exact"/>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Provides a fixed level of compensation that is competitive with the external market and reflects each executive’s contributions,</w:t>
            </w:r>
          </w:p>
        </w:tc>
      </w:tr>
      <w:tr>
        <w:trPr>
          <w:trHeight w:val="162"/>
        </w:trPr>
        <w:tc>
          <w:tcPr>
            <w:tcW w:w="2320" w:type="dxa"/>
            <w:vAlign w:val="bottom"/>
            <w:shd w:val="clear" w:color="auto" w:fill="E5F1F9"/>
          </w:tcPr>
          <w:p>
            <w:pPr>
              <w:spacing w:after="0"/>
              <w:rPr>
                <w:sz w:val="14"/>
                <w:szCs w:val="14"/>
                <w:color w:val="auto"/>
              </w:rPr>
            </w:pPr>
          </w:p>
        </w:tc>
        <w:tc>
          <w:tcPr>
            <w:tcW w:w="8700" w:type="dxa"/>
            <w:vAlign w:val="bottom"/>
            <w:shd w:val="clear" w:color="auto" w:fill="E5F1F9"/>
          </w:tcPr>
          <w:p>
            <w:pPr>
              <w:ind w:left="260"/>
              <w:spacing w:after="0"/>
              <w:rPr>
                <w:sz w:val="20"/>
                <w:szCs w:val="20"/>
                <w:color w:val="auto"/>
              </w:rPr>
            </w:pPr>
            <w:r>
              <w:rPr>
                <w:rFonts w:ascii="Arial" w:cs="Arial" w:eastAsia="Arial" w:hAnsi="Arial"/>
                <w:sz w:val="14"/>
                <w:szCs w:val="14"/>
                <w:color w:val="auto"/>
              </w:rPr>
              <w:t>experience, skills, responsibilities and potential to contribute to our future success. Salary provides compensation sufficient to meet</w:t>
            </w:r>
          </w:p>
        </w:tc>
      </w:tr>
      <w:tr>
        <w:trPr>
          <w:trHeight w:val="194"/>
        </w:trPr>
        <w:tc>
          <w:tcPr>
            <w:tcW w:w="2320" w:type="dxa"/>
            <w:vAlign w:val="bottom"/>
            <w:shd w:val="clear" w:color="auto" w:fill="E5F1F9"/>
          </w:tcPr>
          <w:p>
            <w:pPr>
              <w:spacing w:after="0"/>
              <w:rPr>
                <w:sz w:val="16"/>
                <w:szCs w:val="16"/>
                <w:color w:val="auto"/>
              </w:rPr>
            </w:pPr>
          </w:p>
        </w:tc>
        <w:tc>
          <w:tcPr>
            <w:tcW w:w="8700" w:type="dxa"/>
            <w:vAlign w:val="bottom"/>
            <w:shd w:val="clear" w:color="auto" w:fill="E5F1F9"/>
          </w:tcPr>
          <w:p>
            <w:pPr>
              <w:ind w:left="260"/>
              <w:spacing w:after="0"/>
              <w:rPr>
                <w:sz w:val="20"/>
                <w:szCs w:val="20"/>
                <w:color w:val="auto"/>
              </w:rPr>
            </w:pPr>
            <w:r>
              <w:rPr>
                <w:rFonts w:ascii="Arial" w:cs="Arial" w:eastAsia="Arial" w:hAnsi="Arial"/>
                <w:sz w:val="14"/>
                <w:szCs w:val="14"/>
                <w:color w:val="auto"/>
              </w:rPr>
              <w:t>financial needs and provide income security to mitigate excessive risk taking.</w:t>
            </w:r>
          </w:p>
        </w:tc>
      </w:tr>
      <w:tr>
        <w:trPr>
          <w:trHeight w:val="157"/>
        </w:trPr>
        <w:tc>
          <w:tcPr>
            <w:tcW w:w="2320" w:type="dxa"/>
            <w:vAlign w:val="bottom"/>
            <w:shd w:val="clear" w:color="auto" w:fill="B2D5EE"/>
          </w:tcPr>
          <w:p>
            <w:pPr>
              <w:ind w:left="60"/>
              <w:spacing w:after="0" w:line="157" w:lineRule="exact"/>
              <w:rPr>
                <w:sz w:val="20"/>
                <w:szCs w:val="20"/>
                <w:color w:val="auto"/>
              </w:rPr>
            </w:pPr>
            <w:r>
              <w:rPr>
                <w:rFonts w:ascii="Arial" w:cs="Arial" w:eastAsia="Arial" w:hAnsi="Arial"/>
                <w:sz w:val="14"/>
                <w:szCs w:val="14"/>
                <w:color w:val="auto"/>
              </w:rPr>
              <w:t>Short Term Incentives</w:t>
            </w:r>
          </w:p>
        </w:tc>
        <w:tc>
          <w:tcPr>
            <w:tcW w:w="8700" w:type="dxa"/>
            <w:vAlign w:val="bottom"/>
            <w:shd w:val="clear" w:color="auto" w:fill="B2D5EE"/>
          </w:tcPr>
          <w:p>
            <w:pPr>
              <w:ind w:left="100"/>
              <w:spacing w:after="0" w:line="157" w:lineRule="exact"/>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Aligns short-term cash incentive compensation with the annual goals of the company.</w:t>
            </w:r>
          </w:p>
        </w:tc>
      </w:tr>
      <w:tr>
        <w:trPr>
          <w:trHeight w:val="198"/>
        </w:trPr>
        <w:tc>
          <w:tcPr>
            <w:tcW w:w="2320" w:type="dxa"/>
            <w:vAlign w:val="bottom"/>
            <w:shd w:val="clear" w:color="auto" w:fill="B2D5EE"/>
          </w:tcPr>
          <w:p>
            <w:pPr>
              <w:spacing w:after="0"/>
              <w:rPr>
                <w:sz w:val="17"/>
                <w:szCs w:val="17"/>
                <w:color w:val="auto"/>
              </w:rPr>
            </w:pPr>
          </w:p>
        </w:tc>
        <w:tc>
          <w:tcPr>
            <w:tcW w:w="8700" w:type="dxa"/>
            <w:vAlign w:val="bottom"/>
            <w:shd w:val="clear" w:color="auto" w:fill="B2D5EE"/>
          </w:tcPr>
          <w:p>
            <w:pPr>
              <w:ind w:left="10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Motivates and rewards near-term financial, strategic and operational company performance, as well as individual performance.</w:t>
            </w:r>
          </w:p>
        </w:tc>
      </w:tr>
      <w:tr>
        <w:trPr>
          <w:trHeight w:val="153"/>
        </w:trPr>
        <w:tc>
          <w:tcPr>
            <w:tcW w:w="2320" w:type="dxa"/>
            <w:vAlign w:val="bottom"/>
            <w:shd w:val="clear" w:color="auto" w:fill="E5F1F9"/>
          </w:tcPr>
          <w:p>
            <w:pPr>
              <w:ind w:left="60"/>
              <w:spacing w:after="0" w:line="153" w:lineRule="exact"/>
              <w:rPr>
                <w:sz w:val="20"/>
                <w:szCs w:val="20"/>
                <w:color w:val="auto"/>
              </w:rPr>
            </w:pPr>
            <w:r>
              <w:rPr>
                <w:rFonts w:ascii="Arial" w:cs="Arial" w:eastAsia="Arial" w:hAnsi="Arial"/>
                <w:sz w:val="14"/>
                <w:szCs w:val="14"/>
                <w:color w:val="auto"/>
              </w:rPr>
              <w:t>Long-term Incentives</w:t>
            </w:r>
          </w:p>
        </w:tc>
        <w:tc>
          <w:tcPr>
            <w:tcW w:w="8700" w:type="dxa"/>
            <w:vAlign w:val="bottom"/>
            <w:shd w:val="clear" w:color="auto" w:fill="E5F1F9"/>
          </w:tcPr>
          <w:p>
            <w:pPr>
              <w:ind w:left="100"/>
              <w:spacing w:after="0" w:line="153" w:lineRule="exact"/>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Aligns executives’ interests with the long-term interests of our stockholders by linking the value of awards to stock price performance</w:t>
            </w:r>
          </w:p>
        </w:tc>
      </w:tr>
      <w:tr>
        <w:trPr>
          <w:trHeight w:val="162"/>
        </w:trPr>
        <w:tc>
          <w:tcPr>
            <w:tcW w:w="2320" w:type="dxa"/>
            <w:vAlign w:val="bottom"/>
            <w:shd w:val="clear" w:color="auto" w:fill="E5F1F9"/>
          </w:tcPr>
          <w:p>
            <w:pPr>
              <w:spacing w:after="0"/>
              <w:rPr>
                <w:sz w:val="14"/>
                <w:szCs w:val="14"/>
                <w:color w:val="auto"/>
              </w:rPr>
            </w:pPr>
          </w:p>
        </w:tc>
        <w:tc>
          <w:tcPr>
            <w:tcW w:w="8700" w:type="dxa"/>
            <w:vAlign w:val="bottom"/>
            <w:shd w:val="clear" w:color="auto" w:fill="E5F1F9"/>
          </w:tcPr>
          <w:p>
            <w:pPr>
              <w:ind w:left="260"/>
              <w:spacing w:after="0"/>
              <w:rPr>
                <w:sz w:val="20"/>
                <w:szCs w:val="20"/>
                <w:color w:val="auto"/>
              </w:rPr>
            </w:pPr>
            <w:r>
              <w:rPr>
                <w:rFonts w:ascii="Arial" w:cs="Arial" w:eastAsia="Arial" w:hAnsi="Arial"/>
                <w:sz w:val="14"/>
                <w:szCs w:val="14"/>
                <w:color w:val="auto"/>
              </w:rPr>
              <w:t>and the achievement of other key performance goals.</w:t>
            </w:r>
          </w:p>
        </w:tc>
      </w:tr>
      <w:tr>
        <w:trPr>
          <w:trHeight w:val="194"/>
        </w:trPr>
        <w:tc>
          <w:tcPr>
            <w:tcW w:w="2320" w:type="dxa"/>
            <w:vAlign w:val="bottom"/>
            <w:shd w:val="clear" w:color="auto" w:fill="E5F1F9"/>
          </w:tcPr>
          <w:p>
            <w:pPr>
              <w:spacing w:after="0"/>
              <w:rPr>
                <w:sz w:val="16"/>
                <w:szCs w:val="16"/>
                <w:color w:val="auto"/>
              </w:rPr>
            </w:pPr>
          </w:p>
        </w:tc>
        <w:tc>
          <w:tcPr>
            <w:tcW w:w="8700" w:type="dxa"/>
            <w:vAlign w:val="bottom"/>
            <w:shd w:val="clear" w:color="auto" w:fill="E5F1F9"/>
          </w:tcPr>
          <w:p>
            <w:pPr>
              <w:ind w:left="10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Promotes executive retention and stock ownership and focuses our executive officers on enhancing long-term stockholder value.</w:t>
            </w:r>
          </w:p>
        </w:tc>
      </w:tr>
      <w:tr>
        <w:trPr>
          <w:trHeight w:val="157"/>
        </w:trPr>
        <w:tc>
          <w:tcPr>
            <w:tcW w:w="2320" w:type="dxa"/>
            <w:vAlign w:val="bottom"/>
            <w:shd w:val="clear" w:color="auto" w:fill="B2D5EE"/>
          </w:tcPr>
          <w:p>
            <w:pPr>
              <w:ind w:left="60"/>
              <w:spacing w:after="0" w:line="157" w:lineRule="exact"/>
              <w:rPr>
                <w:sz w:val="20"/>
                <w:szCs w:val="20"/>
                <w:color w:val="auto"/>
              </w:rPr>
            </w:pPr>
            <w:r>
              <w:rPr>
                <w:rFonts w:ascii="Arial" w:cs="Arial" w:eastAsia="Arial" w:hAnsi="Arial"/>
                <w:sz w:val="14"/>
                <w:szCs w:val="14"/>
                <w:color w:val="auto"/>
              </w:rPr>
              <w:t>Benefits</w:t>
            </w:r>
          </w:p>
        </w:tc>
        <w:tc>
          <w:tcPr>
            <w:tcW w:w="8700" w:type="dxa"/>
            <w:vAlign w:val="bottom"/>
            <w:shd w:val="clear" w:color="auto" w:fill="B2D5EE"/>
          </w:tcPr>
          <w:p>
            <w:pPr>
              <w:ind w:left="100"/>
              <w:spacing w:after="0" w:line="157" w:lineRule="exact"/>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Promotes health and wellness.</w:t>
            </w:r>
          </w:p>
        </w:tc>
      </w:tr>
      <w:tr>
        <w:trPr>
          <w:trHeight w:val="162"/>
        </w:trPr>
        <w:tc>
          <w:tcPr>
            <w:tcW w:w="2320" w:type="dxa"/>
            <w:vAlign w:val="bottom"/>
            <w:shd w:val="clear" w:color="auto" w:fill="B2D5EE"/>
          </w:tcPr>
          <w:p>
            <w:pPr>
              <w:spacing w:after="0"/>
              <w:rPr>
                <w:sz w:val="14"/>
                <w:szCs w:val="14"/>
                <w:color w:val="auto"/>
              </w:rPr>
            </w:pPr>
          </w:p>
        </w:tc>
        <w:tc>
          <w:tcPr>
            <w:tcW w:w="8700" w:type="dxa"/>
            <w:vAlign w:val="bottom"/>
            <w:shd w:val="clear" w:color="auto" w:fill="B2D5EE"/>
          </w:tcPr>
          <w:p>
            <w:pPr>
              <w:ind w:left="10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Provides financial protection in the event of disability or death.</w:t>
            </w:r>
          </w:p>
        </w:tc>
      </w:tr>
      <w:tr>
        <w:trPr>
          <w:trHeight w:val="162"/>
        </w:trPr>
        <w:tc>
          <w:tcPr>
            <w:tcW w:w="2320" w:type="dxa"/>
            <w:vAlign w:val="bottom"/>
            <w:shd w:val="clear" w:color="auto" w:fill="B2D5EE"/>
          </w:tcPr>
          <w:p>
            <w:pPr>
              <w:spacing w:after="0"/>
              <w:rPr>
                <w:sz w:val="14"/>
                <w:szCs w:val="14"/>
                <w:color w:val="auto"/>
              </w:rPr>
            </w:pPr>
          </w:p>
        </w:tc>
        <w:tc>
          <w:tcPr>
            <w:tcW w:w="8700" w:type="dxa"/>
            <w:vAlign w:val="bottom"/>
            <w:shd w:val="clear" w:color="auto" w:fill="B2D5EE"/>
          </w:tcPr>
          <w:p>
            <w:pPr>
              <w:ind w:left="100"/>
              <w:spacing w:after="0"/>
              <w:rPr>
                <w:sz w:val="20"/>
                <w:szCs w:val="20"/>
                <w:color w:val="auto"/>
              </w:rPr>
            </w:pPr>
            <w:r>
              <w:rPr>
                <w:rFonts w:ascii="Arial" w:cs="Arial" w:eastAsia="Arial" w:hAnsi="Arial"/>
                <w:sz w:val="14"/>
                <w:szCs w:val="14"/>
                <w:color w:val="0075C9"/>
              </w:rPr>
              <w:t xml:space="preserve">• </w:t>
            </w:r>
            <w:r>
              <w:rPr>
                <w:rFonts w:ascii="Arial" w:cs="Arial" w:eastAsia="Arial" w:hAnsi="Arial"/>
                <w:sz w:val="14"/>
                <w:szCs w:val="14"/>
                <w:color w:val="000000"/>
              </w:rPr>
              <w:t>Provides tax-beneficial ways for executives to save towards their retirement and encourages savings through competitive employer</w:t>
            </w:r>
          </w:p>
        </w:tc>
      </w:tr>
      <w:tr>
        <w:trPr>
          <w:trHeight w:val="198"/>
        </w:trPr>
        <w:tc>
          <w:tcPr>
            <w:tcW w:w="2320" w:type="dxa"/>
            <w:vAlign w:val="bottom"/>
            <w:shd w:val="clear" w:color="auto" w:fill="B2D5EE"/>
          </w:tcPr>
          <w:p>
            <w:pPr>
              <w:spacing w:after="0"/>
              <w:rPr>
                <w:sz w:val="17"/>
                <w:szCs w:val="17"/>
                <w:color w:val="auto"/>
              </w:rPr>
            </w:pPr>
          </w:p>
        </w:tc>
        <w:tc>
          <w:tcPr>
            <w:tcW w:w="8700" w:type="dxa"/>
            <w:vAlign w:val="bottom"/>
            <w:shd w:val="clear" w:color="auto" w:fill="B2D5EE"/>
          </w:tcPr>
          <w:p>
            <w:pPr>
              <w:ind w:left="260"/>
              <w:spacing w:after="0"/>
              <w:rPr>
                <w:sz w:val="20"/>
                <w:szCs w:val="20"/>
                <w:color w:val="auto"/>
              </w:rPr>
            </w:pPr>
            <w:r>
              <w:rPr>
                <w:rFonts w:ascii="Arial" w:cs="Arial" w:eastAsia="Arial" w:hAnsi="Arial"/>
                <w:sz w:val="14"/>
                <w:szCs w:val="14"/>
                <w:color w:val="auto"/>
              </w:rPr>
              <w:t>matches to executives’ retirement savings.</w:t>
            </w:r>
          </w:p>
        </w:tc>
      </w:tr>
    </w:tbl>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Compensation Mix</w:t>
      </w:r>
    </w:p>
    <w:p>
      <w:pPr>
        <w:spacing w:after="0" w:line="108"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 CMDC determines and allocates a mix of the compensation elements to ensure an appropriate level of performance-based compensation is apportioned between short-term and long-term compensation drivers aligned with our business goals, performance, and stockholder interests. We do not target a specific mix of value for each compensation element in either the program design or pay decisions. For our executive officers, including our NEOs, the most significant portion of their compensation is performance-based, with a particular emphasis on LTI awards (which consist of PSUs and RSUs), given the substantial impact these individuals have on Biogen’s future strategic direction.</w:t>
      </w:r>
    </w:p>
    <w:p>
      <w:pPr>
        <w:spacing w:after="0" w:line="126"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-35-</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NEO Compensation is Dependent on Our Performance</w:t>
      </w:r>
    </w:p>
    <w:p>
      <w:pPr>
        <w:spacing w:after="0" w:line="108" w:lineRule="exact"/>
        <w:rPr>
          <w:sz w:val="20"/>
          <w:szCs w:val="20"/>
          <w:color w:val="auto"/>
        </w:rPr>
      </w:pPr>
    </w:p>
    <w:p>
      <w:pPr>
        <w:ind w:left="120" w:right="300"/>
        <w:spacing w:after="0" w:line="296" w:lineRule="auto"/>
        <w:rPr>
          <w:sz w:val="20"/>
          <w:szCs w:val="20"/>
          <w:color w:val="auto"/>
        </w:rPr>
      </w:pPr>
      <w:r>
        <w:rPr>
          <w:rFonts w:ascii="Arial" w:cs="Arial" w:eastAsia="Arial" w:hAnsi="Arial"/>
          <w:sz w:val="16"/>
          <w:szCs w:val="16"/>
          <w:b w:val="1"/>
          <w:bCs w:val="1"/>
          <w:color w:val="auto"/>
        </w:rPr>
        <w:t xml:space="preserve">In 2025, 92% of our CEO’s total direct compensation and, on average, 86%* of our other NEOs’ total direct compensation is variable and directly influenced by Biogen’s performance outcomes. </w:t>
      </w:r>
      <w:r>
        <w:rPr>
          <w:rFonts w:ascii="Arial" w:cs="Arial" w:eastAsia="Arial" w:hAnsi="Arial"/>
          <w:sz w:val="16"/>
          <w:szCs w:val="16"/>
          <w:color w:val="auto"/>
        </w:rPr>
        <w:t>Our former CFO, who retired in March 2025, is excluded from these average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114935</wp:posOffset>
            </wp:positionV>
            <wp:extent cx="5194935" cy="1543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9493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NEO Pay Mix includes Ms. Alexander, Dr. Singhal, Ms. Murphy, and Ms. Kramer, and excludes our CEO.</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Realizable Pay Alignment</w:t>
      </w:r>
    </w:p>
    <w:p>
      <w:pPr>
        <w:spacing w:after="0" w:line="108"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LTI value is directly tied to stock performance and comprises the largest portion of NEO compensation. This correlation ensures our NEOs’ realizable pay is aligned with and reflective of both company and individual performance. As an example, our 2023 PSUs did not achieve threshold performance. This resulted in a 0% payout for our NEOs at the end of the 2023-2025 performance period, decreasing their realizable pay and aligning executive pay outcomes to stockholder returns. The same PSU outcome was realized for the 2022-2024 PSU award cycle. It is important to note that the CMDC has not provided any special awards or adjustments to executives to offset these results further demonstrating our commitment to pay outcomes under our pay for performance programs.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2025 CEO Realizable Pay and Pay-for-Performance Alignment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to the above PSU outcomes, our CEO’s realizable pay reflected his new-hire LTI award outcomes:</w:t>
      </w:r>
    </w:p>
    <w:p>
      <w:pPr>
        <w:spacing w:after="0" w:line="127" w:lineRule="exact"/>
        <w:rPr>
          <w:sz w:val="20"/>
          <w:szCs w:val="20"/>
          <w:color w:val="auto"/>
        </w:rPr>
      </w:pPr>
    </w:p>
    <w:p>
      <w:pPr>
        <w:ind w:left="440" w:right="60" w:hanging="324"/>
        <w:spacing w:after="0" w:line="256" w:lineRule="auto"/>
        <w:tabs>
          <w:tab w:leader="none" w:pos="440" w:val="left"/>
        </w:tabs>
        <w:numPr>
          <w:ilvl w:val="0"/>
          <w:numId w:val="82"/>
        </w:numPr>
        <w:rPr>
          <w:rFonts w:ascii="Arial" w:cs="Arial" w:eastAsia="Arial" w:hAnsi="Arial"/>
          <w:sz w:val="16"/>
          <w:szCs w:val="16"/>
          <w:color w:val="0075C9"/>
        </w:rPr>
      </w:pPr>
      <w:r>
        <w:rPr>
          <w:rFonts w:ascii="Arial" w:cs="Arial" w:eastAsia="Arial" w:hAnsi="Arial"/>
          <w:sz w:val="16"/>
          <w:szCs w:val="16"/>
          <w:color w:val="auto"/>
        </w:rPr>
        <w:t>The CEO’s new-hire PSUs, which had a grant date value of $16.8 million, vested at 0% in December 2025. This outcome was driven by both relative and absolute TSR performance that did not meet the threshold required to earn a payout.</w:t>
      </w:r>
    </w:p>
    <w:p>
      <w:pPr>
        <w:spacing w:after="0" w:line="1" w:lineRule="exact"/>
        <w:rPr>
          <w:rFonts w:ascii="Arial" w:cs="Arial" w:eastAsia="Arial" w:hAnsi="Arial"/>
          <w:sz w:val="16"/>
          <w:szCs w:val="16"/>
          <w:color w:val="0075C9"/>
        </w:rPr>
      </w:pPr>
    </w:p>
    <w:p>
      <w:pPr>
        <w:ind w:left="440" w:right="320" w:hanging="324"/>
        <w:spacing w:after="0" w:line="265" w:lineRule="auto"/>
        <w:tabs>
          <w:tab w:leader="none" w:pos="440" w:val="left"/>
        </w:tabs>
        <w:numPr>
          <w:ilvl w:val="0"/>
          <w:numId w:val="82"/>
        </w:numPr>
        <w:rPr>
          <w:rFonts w:ascii="Arial" w:cs="Arial" w:eastAsia="Arial" w:hAnsi="Arial"/>
          <w:sz w:val="16"/>
          <w:szCs w:val="16"/>
          <w:color w:val="0075C9"/>
        </w:rPr>
      </w:pPr>
      <w:r>
        <w:rPr>
          <w:rFonts w:ascii="Arial" w:cs="Arial" w:eastAsia="Arial" w:hAnsi="Arial"/>
          <w:sz w:val="16"/>
          <w:szCs w:val="16"/>
          <w:color w:val="auto"/>
        </w:rPr>
        <w:t>The CEO’s new-hire stock options, which have an exercise price of $301.85 per share, remain underwater and have $0 earned value at this time. These options have a remaining term of approximately 7 years.</w:t>
      </w:r>
    </w:p>
    <w:p>
      <w:pPr>
        <w:spacing w:after="0" w:line="64"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When comparing CEO pay awarded at target versus CEO actual pay earned, or “realizable pay,” CEO actual (realizable) pay between his hire in 2022 and the end of 2025 is 48% below target pay awarded for that period which, as shown below, strongly aligns with absolute TSR for the period.</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CEO Aggregate Awarded Pay Versus Actual Pay: 2022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166370</wp:posOffset>
            </wp:positionV>
            <wp:extent cx="4389120" cy="24174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8912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-36-</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660"/>
        <w:spacing w:after="0"/>
        <w:rPr>
          <w:sz w:val="20"/>
          <w:szCs w:val="20"/>
          <w:color w:val="auto"/>
        </w:rPr>
      </w:pPr>
      <w:r>
        <w:rPr>
          <w:rFonts w:ascii="Arial" w:cs="Arial" w:eastAsia="Arial" w:hAnsi="Arial"/>
          <w:sz w:val="19"/>
          <w:szCs w:val="19"/>
          <w:color w:val="0075C9"/>
        </w:rPr>
        <w:t>Compensation Discussion and Analysis</w:t>
      </w:r>
    </w:p>
    <w:p>
      <w:pPr>
        <w:spacing w:after="0" w:line="158" w:lineRule="exact"/>
        <w:rPr>
          <w:sz w:val="20"/>
          <w:szCs w:val="20"/>
          <w:color w:val="auto"/>
        </w:rPr>
      </w:pPr>
    </w:p>
    <w:p>
      <w:pPr>
        <w:ind w:left="120" w:right="320"/>
        <w:spacing w:after="0" w:line="285" w:lineRule="auto"/>
        <w:rPr>
          <w:sz w:val="20"/>
          <w:szCs w:val="20"/>
          <w:color w:val="auto"/>
        </w:rPr>
      </w:pPr>
      <w:r>
        <w:rPr>
          <w:rFonts w:ascii="Arial" w:cs="Arial" w:eastAsia="Arial" w:hAnsi="Arial"/>
          <w:sz w:val="14"/>
          <w:szCs w:val="14"/>
          <w:color w:val="auto"/>
        </w:rPr>
        <w:t>“Target Value” indicates target compensation awarded and includes: (1) salary paid each year, (2) target bonus opportunity in each year as disclosed in Biogen’s grant of plan-based awards table, and (3) target value of equity for 2022, 2024, and 2025 grants (assuming target performance) as disclosed in each year’s CD&amp;A.</w:t>
      </w:r>
    </w:p>
    <w:p>
      <w:pPr>
        <w:spacing w:after="0" w:line="50" w:lineRule="exact"/>
        <w:rPr>
          <w:sz w:val="20"/>
          <w:szCs w:val="20"/>
          <w:color w:val="auto"/>
        </w:rPr>
      </w:pPr>
    </w:p>
    <w:p>
      <w:pPr>
        <w:ind w:left="120" w:right="20"/>
        <w:spacing w:after="0" w:line="256" w:lineRule="auto"/>
        <w:rPr>
          <w:sz w:val="20"/>
          <w:szCs w:val="20"/>
          <w:color w:val="auto"/>
        </w:rPr>
      </w:pPr>
      <w:r>
        <w:rPr>
          <w:rFonts w:ascii="Arial" w:cs="Arial" w:eastAsia="Arial" w:hAnsi="Arial"/>
          <w:sz w:val="14"/>
          <w:szCs w:val="14"/>
          <w:color w:val="auto"/>
        </w:rPr>
        <w:t>“Realizable Value” indicates the current value of compensation awarded based on the following assumptions: (1) salary paid each year, (2) actual bonus earned each year as disclosed in the Summary Compensation Table, (3) 2022, 2024, and 2025 equity grants valued at Biogen’s 12/31/2025 closing price of $175.99 and (4) for PSUs, 2022 grants reflect that no payout was earned; 2024 and 2025 PSUs reflect projected payouts as of 12/31/2025, which is no payout on 2024 PSUs, 57% of target on 2025 PSUs tied to rTSR, and 100% of target on 2025 PSUs tied to EPS.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Base Salary</w:t>
      </w:r>
    </w:p>
    <w:p>
      <w:pPr>
        <w:spacing w:after="0" w:line="108"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The CMDC, working with our compensation consultant, reviewed NEO base salaries against the market and made adjustments, as outlined in the chart below, to align our NEOs within a reasonable range of the market median, taking into consideration key criteria including performance, impact, and development in role. Our CMDC approved a modest increase in base salaries for some NEOs to remain market competitive and/or promote retention. Some NEOs received larger adjustments to position them more competitively against the external talent market.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annual base salary of each of our currently employed NEOs in 2025, compared to 2024, is as follows: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60" w:type="dxa"/>
            <w:vAlign w:val="bottom"/>
            <w:shd w:val="clear" w:color="auto" w:fill="0075C9"/>
          </w:tcPr>
          <w:p>
            <w:pPr>
              <w:spacing w:after="0"/>
              <w:rPr>
                <w:sz w:val="20"/>
                <w:szCs w:val="20"/>
                <w:color w:val="auto"/>
              </w:rPr>
            </w:pPr>
            <w:r>
              <w:rPr>
                <w:rFonts w:ascii="Arial" w:cs="Arial" w:eastAsia="Arial" w:hAnsi="Arial"/>
                <w:sz w:val="14"/>
                <w:szCs w:val="14"/>
                <w:color w:val="FFFFFF"/>
              </w:rPr>
              <w:t>  Name</w:t>
            </w:r>
          </w:p>
        </w:tc>
        <w:tc>
          <w:tcPr>
            <w:tcW w:w="1640" w:type="dxa"/>
            <w:vAlign w:val="bottom"/>
            <w:gridSpan w:val="2"/>
            <w:shd w:val="clear" w:color="auto" w:fill="0075C9"/>
          </w:tcPr>
          <w:p>
            <w:pPr>
              <w:ind w:left="300"/>
              <w:spacing w:after="0"/>
              <w:rPr>
                <w:sz w:val="20"/>
                <w:szCs w:val="20"/>
                <w:color w:val="auto"/>
              </w:rPr>
            </w:pPr>
            <w:r>
              <w:rPr>
                <w:rFonts w:ascii="Arial" w:cs="Arial" w:eastAsia="Arial" w:hAnsi="Arial"/>
                <w:sz w:val="14"/>
                <w:szCs w:val="14"/>
                <w:color w:val="FFFFFF"/>
              </w:rPr>
              <w:t xml:space="preserve">     2025 Salary    </w:t>
            </w:r>
          </w:p>
        </w:tc>
        <w:tc>
          <w:tcPr>
            <w:tcW w:w="1500" w:type="dxa"/>
            <w:vAlign w:val="bottom"/>
            <w:gridSpan w:val="2"/>
            <w:shd w:val="clear" w:color="auto" w:fill="0075C9"/>
          </w:tcPr>
          <w:p>
            <w:pPr>
              <w:ind w:left="160"/>
              <w:spacing w:after="0"/>
              <w:rPr>
                <w:sz w:val="20"/>
                <w:szCs w:val="20"/>
                <w:color w:val="auto"/>
              </w:rPr>
            </w:pPr>
            <w:r>
              <w:rPr>
                <w:rFonts w:ascii="Arial" w:cs="Arial" w:eastAsia="Arial" w:hAnsi="Arial"/>
                <w:sz w:val="14"/>
                <w:szCs w:val="14"/>
                <w:color w:val="FFFFFF"/>
              </w:rPr>
              <w:t xml:space="preserve">     2024 Salary    </w:t>
            </w:r>
          </w:p>
        </w:tc>
        <w:tc>
          <w:tcPr>
            <w:tcW w:w="1400" w:type="dxa"/>
            <w:vAlign w:val="bottom"/>
            <w:gridSpan w:val="2"/>
            <w:shd w:val="clear" w:color="auto" w:fill="0075C9"/>
          </w:tcPr>
          <w:p>
            <w:pPr>
              <w:ind w:left="160"/>
              <w:spacing w:after="0"/>
              <w:rPr>
                <w:sz w:val="20"/>
                <w:szCs w:val="20"/>
                <w:color w:val="auto"/>
              </w:rPr>
            </w:pPr>
            <w:r>
              <w:rPr>
                <w:rFonts w:ascii="Arial" w:cs="Arial" w:eastAsia="Arial" w:hAnsi="Arial"/>
                <w:sz w:val="14"/>
                <w:szCs w:val="14"/>
                <w:color w:val="FFFFFF"/>
              </w:rPr>
              <w:t>     % Increase</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r>
      <w:tr>
        <w:trPr>
          <w:trHeight w:val="331"/>
        </w:trPr>
        <w:tc>
          <w:tcPr>
            <w:tcW w:w="2060" w:type="dxa"/>
            <w:vAlign w:val="bottom"/>
            <w:tcBorders>
              <w:bottom w:val="single" w:sz="8" w:color="E5F1F9"/>
            </w:tcBorders>
            <w:shd w:val="clear" w:color="auto" w:fill="E5F1F9"/>
          </w:tcPr>
          <w:p>
            <w:pPr>
              <w:ind w:left="80"/>
              <w:spacing w:after="0"/>
              <w:rPr>
                <w:sz w:val="20"/>
                <w:szCs w:val="20"/>
                <w:color w:val="auto"/>
              </w:rPr>
            </w:pPr>
            <w:r>
              <w:rPr>
                <w:rFonts w:ascii="Arial" w:cs="Arial" w:eastAsia="Arial" w:hAnsi="Arial"/>
                <w:sz w:val="16"/>
                <w:szCs w:val="16"/>
                <w:color w:val="auto"/>
              </w:rPr>
              <w:t>C. Viehbacher</w:t>
            </w:r>
          </w:p>
        </w:tc>
        <w:tc>
          <w:tcPr>
            <w:tcW w:w="1280" w:type="dxa"/>
            <w:vAlign w:val="bottom"/>
            <w:tcBorders>
              <w:bottom w:val="single" w:sz="8" w:color="E5F1F9"/>
            </w:tcBorders>
            <w:shd w:val="clear" w:color="auto" w:fill="E5F1F9"/>
          </w:tcPr>
          <w:p>
            <w:pPr>
              <w:jc w:val="center"/>
              <w:ind w:left="301"/>
              <w:spacing w:after="0"/>
              <w:rPr>
                <w:sz w:val="20"/>
                <w:szCs w:val="20"/>
                <w:color w:val="auto"/>
              </w:rPr>
            </w:pPr>
            <w:r>
              <w:rPr>
                <w:rFonts w:ascii="Arial" w:cs="Arial" w:eastAsia="Arial" w:hAnsi="Arial"/>
                <w:sz w:val="16"/>
                <w:szCs w:val="16"/>
                <w:color w:val="auto"/>
                <w:w w:val="89"/>
              </w:rPr>
              <w:t>$1,675,000 </w:t>
            </w:r>
          </w:p>
        </w:tc>
        <w:tc>
          <w:tcPr>
            <w:tcW w:w="360" w:type="dxa"/>
            <w:vAlign w:val="bottom"/>
            <w:tcBorders>
              <w:bottom w:val="single" w:sz="8" w:color="E5F1F9"/>
            </w:tcBorders>
            <w:shd w:val="clear" w:color="auto" w:fill="E5F1F9"/>
          </w:tcPr>
          <w:p>
            <w:pPr>
              <w:ind w:left="100"/>
              <w:spacing w:after="0"/>
              <w:rPr>
                <w:sz w:val="20"/>
                <w:szCs w:val="20"/>
                <w:color w:val="auto"/>
              </w:rPr>
            </w:pPr>
            <w:r>
              <w:rPr>
                <w:rFonts w:ascii="Arial" w:cs="Arial" w:eastAsia="Arial" w:hAnsi="Arial"/>
                <w:sz w:val="16"/>
                <w:szCs w:val="16"/>
                <w:color w:val="auto"/>
              </w:rPr>
              <w:t> </w:t>
            </w:r>
          </w:p>
        </w:tc>
        <w:tc>
          <w:tcPr>
            <w:tcW w:w="1140" w:type="dxa"/>
            <w:vAlign w:val="bottom"/>
            <w:tcBorders>
              <w:bottom w:val="single" w:sz="8" w:color="E5F1F9"/>
            </w:tcBorders>
            <w:shd w:val="clear" w:color="auto" w:fill="E5F1F9"/>
          </w:tcPr>
          <w:p>
            <w:pPr>
              <w:jc w:val="center"/>
              <w:ind w:left="161"/>
              <w:spacing w:after="0"/>
              <w:rPr>
                <w:sz w:val="20"/>
                <w:szCs w:val="20"/>
                <w:color w:val="auto"/>
              </w:rPr>
            </w:pPr>
            <w:r>
              <w:rPr>
                <w:rFonts w:ascii="Arial" w:cs="Arial" w:eastAsia="Arial" w:hAnsi="Arial"/>
                <w:sz w:val="16"/>
                <w:szCs w:val="16"/>
                <w:color w:val="auto"/>
                <w:w w:val="89"/>
              </w:rPr>
              <w:t>$1,600,000 </w:t>
            </w:r>
          </w:p>
        </w:tc>
        <w:tc>
          <w:tcPr>
            <w:tcW w:w="360" w:type="dxa"/>
            <w:vAlign w:val="bottom"/>
            <w:tcBorders>
              <w:bottom w:val="single" w:sz="8" w:color="E5F1F9"/>
            </w:tcBorders>
            <w:shd w:val="clear" w:color="auto" w:fill="E5F1F9"/>
          </w:tcPr>
          <w:p>
            <w:pPr>
              <w:ind w:left="100"/>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E5F1F9"/>
            </w:tcBorders>
            <w:shd w:val="clear" w:color="auto" w:fill="E5F1F9"/>
          </w:tcPr>
          <w:p>
            <w:pPr>
              <w:jc w:val="center"/>
              <w:ind w:left="441"/>
              <w:spacing w:after="0"/>
              <w:rPr>
                <w:sz w:val="20"/>
                <w:szCs w:val="20"/>
                <w:color w:val="auto"/>
              </w:rPr>
            </w:pPr>
            <w:r>
              <w:rPr>
                <w:rFonts w:ascii="Arial" w:cs="Arial" w:eastAsia="Arial" w:hAnsi="Arial"/>
                <w:sz w:val="16"/>
                <w:szCs w:val="16"/>
                <w:color w:val="auto"/>
                <w:w w:val="71"/>
              </w:rPr>
              <w:t>5% </w:t>
            </w:r>
          </w:p>
        </w:tc>
        <w:tc>
          <w:tcPr>
            <w:tcW w:w="480" w:type="dxa"/>
            <w:vAlign w:val="bottom"/>
            <w:tcBorders>
              <w:bottom w:val="single" w:sz="8" w:color="E5F1F9"/>
            </w:tcBorders>
            <w:shd w:val="clear" w:color="auto" w:fill="E5F1F9"/>
          </w:tcPr>
          <w:p>
            <w:pPr>
              <w:ind w:left="40"/>
              <w:spacing w:after="0"/>
              <w:rPr>
                <w:sz w:val="20"/>
                <w:szCs w:val="20"/>
                <w:color w:val="auto"/>
              </w:rPr>
            </w:pPr>
            <w:r>
              <w:rPr>
                <w:rFonts w:ascii="Arial" w:cs="Arial" w:eastAsia="Arial" w:hAnsi="Arial"/>
                <w:sz w:val="16"/>
                <w:szCs w:val="16"/>
                <w:color w:val="auto"/>
              </w:rPr>
              <w:t> </w:t>
            </w:r>
          </w:p>
        </w:tc>
      </w:tr>
      <w:tr>
        <w:trPr>
          <w:trHeight w:val="331"/>
        </w:trPr>
        <w:tc>
          <w:tcPr>
            <w:tcW w:w="2060" w:type="dxa"/>
            <w:vAlign w:val="bottom"/>
            <w:tcBorders>
              <w:bottom w:val="single" w:sz="8" w:color="B2D5EE"/>
            </w:tcBorders>
            <w:shd w:val="clear" w:color="auto" w:fill="B2D5EE"/>
          </w:tcPr>
          <w:p>
            <w:pPr>
              <w:ind w:left="80"/>
              <w:spacing w:after="0"/>
              <w:rPr>
                <w:sz w:val="20"/>
                <w:szCs w:val="20"/>
                <w:color w:val="auto"/>
              </w:rPr>
            </w:pPr>
            <w:r>
              <w:rPr>
                <w:rFonts w:ascii="Arial" w:cs="Arial" w:eastAsia="Arial" w:hAnsi="Arial"/>
                <w:sz w:val="16"/>
                <w:szCs w:val="16"/>
                <w:color w:val="auto"/>
              </w:rPr>
              <w:t>S. Alexander</w:t>
            </w:r>
          </w:p>
        </w:tc>
        <w:tc>
          <w:tcPr>
            <w:tcW w:w="1280" w:type="dxa"/>
            <w:vAlign w:val="bottom"/>
            <w:tcBorders>
              <w:bottom w:val="single" w:sz="8" w:color="B2D5EE"/>
            </w:tcBorders>
            <w:shd w:val="clear" w:color="auto" w:fill="B2D5EE"/>
          </w:tcPr>
          <w:p>
            <w:pPr>
              <w:jc w:val="center"/>
              <w:ind w:left="321"/>
              <w:spacing w:after="0"/>
              <w:rPr>
                <w:sz w:val="20"/>
                <w:szCs w:val="20"/>
                <w:color w:val="auto"/>
              </w:rPr>
            </w:pPr>
            <w:r>
              <w:rPr>
                <w:rFonts w:ascii="Arial" w:cs="Arial" w:eastAsia="Arial" w:hAnsi="Arial"/>
                <w:sz w:val="16"/>
                <w:szCs w:val="16"/>
                <w:color w:val="auto"/>
                <w:w w:val="86"/>
              </w:rPr>
              <w:t>$995,706 </w:t>
            </w:r>
          </w:p>
        </w:tc>
        <w:tc>
          <w:tcPr>
            <w:tcW w:w="360" w:type="dxa"/>
            <w:vAlign w:val="bottom"/>
            <w:tcBorders>
              <w:bottom w:val="single" w:sz="8" w:color="B2D5EE"/>
            </w:tcBorders>
            <w:shd w:val="clear" w:color="auto" w:fill="B2D5EE"/>
          </w:tcPr>
          <w:p>
            <w:pPr>
              <w:ind w:left="40"/>
              <w:spacing w:after="0"/>
              <w:rPr>
                <w:sz w:val="20"/>
                <w:szCs w:val="20"/>
                <w:color w:val="auto"/>
              </w:rPr>
            </w:pPr>
            <w:r>
              <w:rPr>
                <w:rFonts w:ascii="Arial" w:cs="Arial" w:eastAsia="Arial" w:hAnsi="Arial"/>
                <w:sz w:val="16"/>
                <w:szCs w:val="16"/>
                <w:color w:val="auto"/>
              </w:rPr>
              <w:t> </w:t>
            </w:r>
          </w:p>
        </w:tc>
        <w:tc>
          <w:tcPr>
            <w:tcW w:w="1140" w:type="dxa"/>
            <w:vAlign w:val="bottom"/>
            <w:tcBorders>
              <w:bottom w:val="single" w:sz="8" w:color="B2D5EE"/>
            </w:tcBorders>
            <w:shd w:val="clear" w:color="auto" w:fill="B2D5EE"/>
          </w:tcPr>
          <w:p>
            <w:pPr>
              <w:jc w:val="center"/>
              <w:ind w:left="181"/>
              <w:spacing w:after="0"/>
              <w:rPr>
                <w:sz w:val="20"/>
                <w:szCs w:val="20"/>
                <w:color w:val="auto"/>
              </w:rPr>
            </w:pPr>
            <w:r>
              <w:rPr>
                <w:rFonts w:ascii="Arial" w:cs="Arial" w:eastAsia="Arial" w:hAnsi="Arial"/>
                <w:sz w:val="16"/>
                <w:szCs w:val="16"/>
                <w:color w:val="auto"/>
                <w:w w:val="86"/>
              </w:rPr>
              <w:t>$957,410 </w:t>
            </w:r>
          </w:p>
        </w:tc>
        <w:tc>
          <w:tcPr>
            <w:tcW w:w="360" w:type="dxa"/>
            <w:vAlign w:val="bottom"/>
            <w:tcBorders>
              <w:bottom w:val="single" w:sz="8" w:color="B2D5EE"/>
            </w:tcBorders>
            <w:shd w:val="clear" w:color="auto" w:fill="B2D5EE"/>
          </w:tcPr>
          <w:p>
            <w:pPr>
              <w:ind w:left="40"/>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B2D5EE"/>
            </w:tcBorders>
            <w:shd w:val="clear" w:color="auto" w:fill="B2D5EE"/>
          </w:tcPr>
          <w:p>
            <w:pPr>
              <w:jc w:val="center"/>
              <w:ind w:left="441"/>
              <w:spacing w:after="0"/>
              <w:rPr>
                <w:sz w:val="20"/>
                <w:szCs w:val="20"/>
                <w:color w:val="auto"/>
              </w:rPr>
            </w:pPr>
            <w:r>
              <w:rPr>
                <w:rFonts w:ascii="Arial" w:cs="Arial" w:eastAsia="Arial" w:hAnsi="Arial"/>
                <w:sz w:val="16"/>
                <w:szCs w:val="16"/>
                <w:color w:val="auto"/>
                <w:w w:val="71"/>
              </w:rPr>
              <w:t>4% </w:t>
            </w:r>
          </w:p>
        </w:tc>
        <w:tc>
          <w:tcPr>
            <w:tcW w:w="480" w:type="dxa"/>
            <w:vAlign w:val="bottom"/>
            <w:tcBorders>
              <w:bottom w:val="single" w:sz="8" w:color="B2D5EE"/>
            </w:tcBorders>
            <w:shd w:val="clear" w:color="auto" w:fill="B2D5EE"/>
          </w:tcPr>
          <w:p>
            <w:pPr>
              <w:ind w:left="40"/>
              <w:spacing w:after="0"/>
              <w:rPr>
                <w:sz w:val="20"/>
                <w:szCs w:val="20"/>
                <w:color w:val="auto"/>
              </w:rPr>
            </w:pPr>
            <w:r>
              <w:rPr>
                <w:rFonts w:ascii="Arial" w:cs="Arial" w:eastAsia="Arial" w:hAnsi="Arial"/>
                <w:sz w:val="16"/>
                <w:szCs w:val="16"/>
                <w:color w:val="auto"/>
              </w:rPr>
              <w:t> </w:t>
            </w:r>
          </w:p>
        </w:tc>
      </w:tr>
      <w:tr>
        <w:trPr>
          <w:trHeight w:val="331"/>
        </w:trPr>
        <w:tc>
          <w:tcPr>
            <w:tcW w:w="2060" w:type="dxa"/>
            <w:vAlign w:val="bottom"/>
            <w:tcBorders>
              <w:bottom w:val="single" w:sz="8" w:color="E5F1F9"/>
            </w:tcBorders>
            <w:shd w:val="clear" w:color="auto" w:fill="E5F1F9"/>
          </w:tcPr>
          <w:p>
            <w:pPr>
              <w:ind w:left="80"/>
              <w:spacing w:after="0"/>
              <w:rPr>
                <w:sz w:val="20"/>
                <w:szCs w:val="20"/>
                <w:color w:val="auto"/>
              </w:rPr>
            </w:pPr>
            <w:r>
              <w:rPr>
                <w:rFonts w:ascii="Arial" w:cs="Arial" w:eastAsia="Arial" w:hAnsi="Arial"/>
                <w:sz w:val="16"/>
                <w:szCs w:val="16"/>
                <w:color w:val="auto"/>
              </w:rPr>
              <w:t>P. Singhal</w:t>
            </w:r>
          </w:p>
        </w:tc>
        <w:tc>
          <w:tcPr>
            <w:tcW w:w="1280" w:type="dxa"/>
            <w:vAlign w:val="bottom"/>
            <w:tcBorders>
              <w:bottom w:val="single" w:sz="8" w:color="E5F1F9"/>
            </w:tcBorders>
            <w:shd w:val="clear" w:color="auto" w:fill="E5F1F9"/>
          </w:tcPr>
          <w:p>
            <w:pPr>
              <w:jc w:val="center"/>
              <w:ind w:left="321"/>
              <w:spacing w:after="0"/>
              <w:rPr>
                <w:sz w:val="20"/>
                <w:szCs w:val="20"/>
                <w:color w:val="auto"/>
              </w:rPr>
            </w:pPr>
            <w:r>
              <w:rPr>
                <w:rFonts w:ascii="Arial" w:cs="Arial" w:eastAsia="Arial" w:hAnsi="Arial"/>
                <w:sz w:val="16"/>
                <w:szCs w:val="16"/>
                <w:color w:val="auto"/>
                <w:w w:val="86"/>
              </w:rPr>
              <w:t>$907,500 </w:t>
            </w:r>
          </w:p>
        </w:tc>
        <w:tc>
          <w:tcPr>
            <w:tcW w:w="360" w:type="dxa"/>
            <w:vAlign w:val="bottom"/>
            <w:tcBorders>
              <w:bottom w:val="single" w:sz="8" w:color="E5F1F9"/>
            </w:tcBorders>
            <w:shd w:val="clear" w:color="auto" w:fill="E5F1F9"/>
          </w:tcPr>
          <w:p>
            <w:pPr>
              <w:ind w:left="40"/>
              <w:spacing w:after="0"/>
              <w:rPr>
                <w:sz w:val="20"/>
                <w:szCs w:val="20"/>
                <w:color w:val="auto"/>
              </w:rPr>
            </w:pPr>
            <w:r>
              <w:rPr>
                <w:rFonts w:ascii="Arial" w:cs="Arial" w:eastAsia="Arial" w:hAnsi="Arial"/>
                <w:sz w:val="16"/>
                <w:szCs w:val="16"/>
                <w:color w:val="auto"/>
              </w:rPr>
              <w:t> </w:t>
            </w:r>
          </w:p>
        </w:tc>
        <w:tc>
          <w:tcPr>
            <w:tcW w:w="1140" w:type="dxa"/>
            <w:vAlign w:val="bottom"/>
            <w:tcBorders>
              <w:bottom w:val="single" w:sz="8" w:color="E5F1F9"/>
            </w:tcBorders>
            <w:shd w:val="clear" w:color="auto" w:fill="E5F1F9"/>
          </w:tcPr>
          <w:p>
            <w:pPr>
              <w:jc w:val="center"/>
              <w:ind w:left="181"/>
              <w:spacing w:after="0"/>
              <w:rPr>
                <w:sz w:val="20"/>
                <w:szCs w:val="20"/>
                <w:color w:val="auto"/>
              </w:rPr>
            </w:pPr>
            <w:r>
              <w:rPr>
                <w:rFonts w:ascii="Arial" w:cs="Arial" w:eastAsia="Arial" w:hAnsi="Arial"/>
                <w:sz w:val="16"/>
                <w:szCs w:val="16"/>
                <w:color w:val="auto"/>
                <w:w w:val="86"/>
              </w:rPr>
              <w:t>$825,000 </w:t>
            </w:r>
          </w:p>
        </w:tc>
        <w:tc>
          <w:tcPr>
            <w:tcW w:w="360" w:type="dxa"/>
            <w:vAlign w:val="bottom"/>
            <w:tcBorders>
              <w:bottom w:val="single" w:sz="8" w:color="E5F1F9"/>
            </w:tcBorders>
            <w:shd w:val="clear" w:color="auto" w:fill="E5F1F9"/>
          </w:tcPr>
          <w:p>
            <w:pPr>
              <w:ind w:left="40"/>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E5F1F9"/>
            </w:tcBorders>
            <w:shd w:val="clear" w:color="auto" w:fill="E5F1F9"/>
          </w:tcPr>
          <w:p>
            <w:pPr>
              <w:jc w:val="center"/>
              <w:ind w:left="421"/>
              <w:spacing w:after="0"/>
              <w:rPr>
                <w:sz w:val="20"/>
                <w:szCs w:val="20"/>
                <w:color w:val="auto"/>
              </w:rPr>
            </w:pPr>
            <w:r>
              <w:rPr>
                <w:rFonts w:ascii="Arial" w:cs="Arial" w:eastAsia="Arial" w:hAnsi="Arial"/>
                <w:sz w:val="16"/>
                <w:szCs w:val="16"/>
                <w:color w:val="auto"/>
                <w:w w:val="79"/>
              </w:rPr>
              <w:t>10% </w:t>
            </w:r>
          </w:p>
        </w:tc>
        <w:tc>
          <w:tcPr>
            <w:tcW w:w="480" w:type="dxa"/>
            <w:vAlign w:val="bottom"/>
            <w:tcBorders>
              <w:bottom w:val="single" w:sz="8" w:color="E5F1F9"/>
            </w:tcBorders>
            <w:shd w:val="clear" w:color="auto" w:fill="E5F1F9"/>
          </w:tcPr>
          <w:p>
            <w:pPr>
              <w:ind w:left="100"/>
              <w:spacing w:after="0"/>
              <w:rPr>
                <w:sz w:val="20"/>
                <w:szCs w:val="20"/>
                <w:color w:val="auto"/>
              </w:rPr>
            </w:pPr>
            <w:r>
              <w:rPr>
                <w:rFonts w:ascii="Arial" w:cs="Arial" w:eastAsia="Arial" w:hAnsi="Arial"/>
                <w:sz w:val="16"/>
                <w:szCs w:val="16"/>
                <w:color w:val="auto"/>
              </w:rPr>
              <w:t> </w:t>
            </w:r>
          </w:p>
        </w:tc>
      </w:tr>
      <w:tr>
        <w:trPr>
          <w:trHeight w:val="331"/>
        </w:trPr>
        <w:tc>
          <w:tcPr>
            <w:tcW w:w="2060" w:type="dxa"/>
            <w:vAlign w:val="bottom"/>
            <w:tcBorders>
              <w:bottom w:val="single" w:sz="8" w:color="B2D5EE"/>
            </w:tcBorders>
            <w:shd w:val="clear" w:color="auto" w:fill="B2D5EE"/>
          </w:tcPr>
          <w:p>
            <w:pPr>
              <w:ind w:left="80"/>
              <w:spacing w:after="0"/>
              <w:rPr>
                <w:sz w:val="20"/>
                <w:szCs w:val="20"/>
                <w:color w:val="auto"/>
              </w:rPr>
            </w:pPr>
            <w:r>
              <w:rPr>
                <w:rFonts w:ascii="Arial" w:cs="Arial" w:eastAsia="Arial" w:hAnsi="Arial"/>
                <w:sz w:val="16"/>
                <w:szCs w:val="16"/>
                <w:color w:val="auto"/>
              </w:rPr>
              <w:t>N. Murphy</w:t>
            </w:r>
          </w:p>
        </w:tc>
        <w:tc>
          <w:tcPr>
            <w:tcW w:w="1280" w:type="dxa"/>
            <w:vAlign w:val="bottom"/>
            <w:tcBorders>
              <w:bottom w:val="single" w:sz="8" w:color="B2D5EE"/>
            </w:tcBorders>
            <w:shd w:val="clear" w:color="auto" w:fill="B2D5EE"/>
          </w:tcPr>
          <w:p>
            <w:pPr>
              <w:jc w:val="center"/>
              <w:ind w:left="321"/>
              <w:spacing w:after="0"/>
              <w:rPr>
                <w:sz w:val="20"/>
                <w:szCs w:val="20"/>
                <w:color w:val="auto"/>
              </w:rPr>
            </w:pPr>
            <w:r>
              <w:rPr>
                <w:rFonts w:ascii="Arial" w:cs="Arial" w:eastAsia="Arial" w:hAnsi="Arial"/>
                <w:sz w:val="16"/>
                <w:szCs w:val="16"/>
                <w:color w:val="auto"/>
                <w:w w:val="86"/>
              </w:rPr>
              <w:t>$892,688 </w:t>
            </w:r>
          </w:p>
        </w:tc>
        <w:tc>
          <w:tcPr>
            <w:tcW w:w="360" w:type="dxa"/>
            <w:vAlign w:val="bottom"/>
            <w:tcBorders>
              <w:bottom w:val="single" w:sz="8" w:color="B2D5EE"/>
            </w:tcBorders>
            <w:shd w:val="clear" w:color="auto" w:fill="B2D5EE"/>
          </w:tcPr>
          <w:p>
            <w:pPr>
              <w:ind w:left="40"/>
              <w:spacing w:after="0"/>
              <w:rPr>
                <w:sz w:val="20"/>
                <w:szCs w:val="20"/>
                <w:color w:val="auto"/>
              </w:rPr>
            </w:pPr>
            <w:r>
              <w:rPr>
                <w:rFonts w:ascii="Arial" w:cs="Arial" w:eastAsia="Arial" w:hAnsi="Arial"/>
                <w:sz w:val="16"/>
                <w:szCs w:val="16"/>
                <w:color w:val="auto"/>
              </w:rPr>
              <w:t> </w:t>
            </w:r>
          </w:p>
        </w:tc>
        <w:tc>
          <w:tcPr>
            <w:tcW w:w="1140" w:type="dxa"/>
            <w:vAlign w:val="bottom"/>
            <w:tcBorders>
              <w:bottom w:val="single" w:sz="8" w:color="B2D5EE"/>
            </w:tcBorders>
            <w:shd w:val="clear" w:color="auto" w:fill="B2D5EE"/>
          </w:tcPr>
          <w:p>
            <w:pPr>
              <w:jc w:val="center"/>
              <w:ind w:left="181"/>
              <w:spacing w:after="0"/>
              <w:rPr>
                <w:sz w:val="20"/>
                <w:szCs w:val="20"/>
                <w:color w:val="auto"/>
              </w:rPr>
            </w:pPr>
            <w:r>
              <w:rPr>
                <w:rFonts w:ascii="Arial" w:cs="Arial" w:eastAsia="Arial" w:hAnsi="Arial"/>
                <w:sz w:val="16"/>
                <w:szCs w:val="16"/>
                <w:color w:val="auto"/>
                <w:w w:val="86"/>
              </w:rPr>
              <w:t>$776,250 </w:t>
            </w:r>
          </w:p>
        </w:tc>
        <w:tc>
          <w:tcPr>
            <w:tcW w:w="360" w:type="dxa"/>
            <w:vAlign w:val="bottom"/>
            <w:tcBorders>
              <w:bottom w:val="single" w:sz="8" w:color="B2D5EE"/>
            </w:tcBorders>
            <w:shd w:val="clear" w:color="auto" w:fill="B2D5EE"/>
          </w:tcPr>
          <w:p>
            <w:pPr>
              <w:ind w:left="40"/>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B2D5EE"/>
            </w:tcBorders>
            <w:shd w:val="clear" w:color="auto" w:fill="B2D5EE"/>
          </w:tcPr>
          <w:p>
            <w:pPr>
              <w:jc w:val="center"/>
              <w:ind w:left="421"/>
              <w:spacing w:after="0"/>
              <w:rPr>
                <w:sz w:val="20"/>
                <w:szCs w:val="20"/>
                <w:color w:val="auto"/>
              </w:rPr>
            </w:pPr>
            <w:r>
              <w:rPr>
                <w:rFonts w:ascii="Arial" w:cs="Arial" w:eastAsia="Arial" w:hAnsi="Arial"/>
                <w:sz w:val="16"/>
                <w:szCs w:val="16"/>
                <w:color w:val="auto"/>
                <w:w w:val="79"/>
              </w:rPr>
              <w:t>15% </w:t>
            </w:r>
          </w:p>
        </w:tc>
        <w:tc>
          <w:tcPr>
            <w:tcW w:w="480" w:type="dxa"/>
            <w:vAlign w:val="bottom"/>
            <w:tcBorders>
              <w:bottom w:val="single" w:sz="8" w:color="B2D5EE"/>
            </w:tcBorders>
            <w:shd w:val="clear" w:color="auto" w:fill="B2D5EE"/>
          </w:tcPr>
          <w:p>
            <w:pPr>
              <w:ind w:left="100"/>
              <w:spacing w:after="0"/>
              <w:rPr>
                <w:sz w:val="20"/>
                <w:szCs w:val="20"/>
                <w:color w:val="auto"/>
              </w:rPr>
            </w:pPr>
            <w:r>
              <w:rPr>
                <w:rFonts w:ascii="Arial" w:cs="Arial" w:eastAsia="Arial" w:hAnsi="Arial"/>
                <w:sz w:val="16"/>
                <w:szCs w:val="16"/>
                <w:color w:val="auto"/>
              </w:rPr>
              <w:t> </w:t>
            </w:r>
          </w:p>
        </w:tc>
      </w:tr>
      <w:tr>
        <w:trPr>
          <w:trHeight w:val="308"/>
        </w:trPr>
        <w:tc>
          <w:tcPr>
            <w:tcW w:w="2060" w:type="dxa"/>
            <w:vAlign w:val="bottom"/>
            <w:shd w:val="clear" w:color="auto" w:fill="E5F1F9"/>
          </w:tcPr>
          <w:p>
            <w:pPr>
              <w:ind w:left="80"/>
              <w:spacing w:after="0"/>
              <w:rPr>
                <w:sz w:val="20"/>
                <w:szCs w:val="20"/>
                <w:color w:val="auto"/>
              </w:rPr>
            </w:pPr>
            <w:r>
              <w:rPr>
                <w:rFonts w:ascii="Arial" w:cs="Arial" w:eastAsia="Arial" w:hAnsi="Arial"/>
                <w:sz w:val="16"/>
                <w:szCs w:val="16"/>
                <w:color w:val="auto"/>
              </w:rPr>
              <w:t>R. Kramer</w:t>
            </w:r>
          </w:p>
        </w:tc>
        <w:tc>
          <w:tcPr>
            <w:tcW w:w="1280" w:type="dxa"/>
            <w:vAlign w:val="bottom"/>
            <w:shd w:val="clear" w:color="auto" w:fill="E5F1F9"/>
          </w:tcPr>
          <w:p>
            <w:pPr>
              <w:jc w:val="center"/>
              <w:ind w:left="321"/>
              <w:spacing w:after="0"/>
              <w:rPr>
                <w:sz w:val="20"/>
                <w:szCs w:val="20"/>
                <w:color w:val="auto"/>
              </w:rPr>
            </w:pPr>
            <w:r>
              <w:rPr>
                <w:rFonts w:ascii="Arial" w:cs="Arial" w:eastAsia="Arial" w:hAnsi="Arial"/>
                <w:sz w:val="16"/>
                <w:szCs w:val="16"/>
                <w:color w:val="auto"/>
                <w:w w:val="86"/>
              </w:rPr>
              <w:t>$750,000 </w:t>
            </w:r>
          </w:p>
        </w:tc>
        <w:tc>
          <w:tcPr>
            <w:tcW w:w="360" w:type="dxa"/>
            <w:vAlign w:val="bottom"/>
            <w:shd w:val="clear" w:color="auto" w:fill="E5F1F9"/>
          </w:tcPr>
          <w:p>
            <w:pPr>
              <w:ind w:left="4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E5F1F9"/>
          </w:tcPr>
          <w:p>
            <w:pPr>
              <w:ind w:left="600"/>
              <w:spacing w:after="0"/>
              <w:rPr>
                <w:sz w:val="20"/>
                <w:szCs w:val="20"/>
                <w:color w:val="auto"/>
              </w:rPr>
            </w:pPr>
            <w:r>
              <w:rPr>
                <w:rFonts w:ascii="Arial" w:cs="Arial" w:eastAsia="Arial" w:hAnsi="Arial"/>
                <w:sz w:val="16"/>
                <w:szCs w:val="16"/>
                <w:color w:val="auto"/>
              </w:rPr>
              <w:t xml:space="preserve">—    </w:t>
            </w:r>
          </w:p>
        </w:tc>
        <w:tc>
          <w:tcPr>
            <w:tcW w:w="360" w:type="dxa"/>
            <w:vAlign w:val="bottom"/>
            <w:shd w:val="clear" w:color="auto" w:fill="E5F1F9"/>
          </w:tcPr>
          <w:p>
            <w:pPr>
              <w:spacing w:after="0"/>
              <w:rPr>
                <w:sz w:val="24"/>
                <w:szCs w:val="24"/>
                <w:color w:val="auto"/>
              </w:rPr>
            </w:pPr>
          </w:p>
        </w:tc>
        <w:tc>
          <w:tcPr>
            <w:tcW w:w="920" w:type="dxa"/>
            <w:vAlign w:val="bottom"/>
            <w:shd w:val="clear" w:color="auto" w:fill="E5F1F9"/>
          </w:tcPr>
          <w:p>
            <w:pPr>
              <w:jc w:val="center"/>
              <w:ind w:left="421"/>
              <w:spacing w:after="0"/>
              <w:rPr>
                <w:sz w:val="20"/>
                <w:szCs w:val="20"/>
                <w:color w:val="auto"/>
              </w:rPr>
            </w:pPr>
            <w:r>
              <w:rPr>
                <w:rFonts w:ascii="Arial" w:cs="Arial" w:eastAsia="Arial" w:hAnsi="Arial"/>
                <w:sz w:val="15"/>
                <w:szCs w:val="15"/>
                <w:color w:val="auto"/>
                <w:w w:val="73"/>
              </w:rPr>
              <w:t>— </w:t>
            </w:r>
          </w:p>
        </w:tc>
        <w:tc>
          <w:tcPr>
            <w:tcW w:w="480" w:type="dxa"/>
            <w:vAlign w:val="bottom"/>
            <w:shd w:val="clear" w:color="auto" w:fill="E5F1F9"/>
          </w:tcPr>
          <w:p>
            <w:pPr>
              <w:ind w:left="20"/>
              <w:spacing w:after="0"/>
              <w:rPr>
                <w:sz w:val="20"/>
                <w:szCs w:val="20"/>
                <w:color w:val="auto"/>
              </w:rPr>
            </w:pPr>
            <w:r>
              <w:rPr>
                <w:rFonts w:ascii="Arial" w:cs="Arial" w:eastAsia="Arial" w:hAnsi="Arial"/>
                <w:sz w:val="16"/>
                <w:szCs w:val="16"/>
                <w:color w:val="auto"/>
              </w:rPr>
              <w:t> </w:t>
            </w:r>
          </w:p>
        </w:tc>
      </w:tr>
      <w:tr>
        <w:trPr>
          <w:trHeight w:val="43"/>
        </w:trPr>
        <w:tc>
          <w:tcPr>
            <w:tcW w:w="2060" w:type="dxa"/>
            <w:vAlign w:val="bottom"/>
            <w:shd w:val="clear" w:color="auto" w:fill="E5F1F9"/>
          </w:tcPr>
          <w:p>
            <w:pPr>
              <w:spacing w:after="0"/>
              <w:rPr>
                <w:sz w:val="3"/>
                <w:szCs w:val="3"/>
                <w:color w:val="auto"/>
              </w:rPr>
            </w:pPr>
          </w:p>
        </w:tc>
        <w:tc>
          <w:tcPr>
            <w:tcW w:w="1280" w:type="dxa"/>
            <w:vAlign w:val="bottom"/>
            <w:shd w:val="clear" w:color="auto" w:fill="E5F1F9"/>
          </w:tcPr>
          <w:p>
            <w:pPr>
              <w:spacing w:after="0"/>
              <w:rPr>
                <w:sz w:val="3"/>
                <w:szCs w:val="3"/>
                <w:color w:val="auto"/>
              </w:rPr>
            </w:pPr>
          </w:p>
        </w:tc>
        <w:tc>
          <w:tcPr>
            <w:tcW w:w="360" w:type="dxa"/>
            <w:vAlign w:val="bottom"/>
            <w:shd w:val="clear" w:color="auto" w:fill="E5F1F9"/>
          </w:tcPr>
          <w:p>
            <w:pPr>
              <w:spacing w:after="0"/>
              <w:rPr>
                <w:sz w:val="3"/>
                <w:szCs w:val="3"/>
                <w:color w:val="auto"/>
              </w:rPr>
            </w:pPr>
          </w:p>
        </w:tc>
        <w:tc>
          <w:tcPr>
            <w:tcW w:w="1140" w:type="dxa"/>
            <w:vAlign w:val="bottom"/>
            <w:shd w:val="clear" w:color="auto" w:fill="E5F1F9"/>
          </w:tcPr>
          <w:p>
            <w:pPr>
              <w:spacing w:after="0"/>
              <w:rPr>
                <w:sz w:val="3"/>
                <w:szCs w:val="3"/>
                <w:color w:val="auto"/>
              </w:rPr>
            </w:pPr>
          </w:p>
        </w:tc>
        <w:tc>
          <w:tcPr>
            <w:tcW w:w="360" w:type="dxa"/>
            <w:vAlign w:val="bottom"/>
            <w:shd w:val="clear" w:color="auto" w:fill="E5F1F9"/>
          </w:tcPr>
          <w:p>
            <w:pPr>
              <w:spacing w:after="0"/>
              <w:rPr>
                <w:sz w:val="3"/>
                <w:szCs w:val="3"/>
                <w:color w:val="auto"/>
              </w:rPr>
            </w:pPr>
          </w:p>
        </w:tc>
        <w:tc>
          <w:tcPr>
            <w:tcW w:w="920" w:type="dxa"/>
            <w:vAlign w:val="bottom"/>
            <w:shd w:val="clear" w:color="auto" w:fill="E5F1F9"/>
          </w:tcPr>
          <w:p>
            <w:pPr>
              <w:spacing w:after="0"/>
              <w:rPr>
                <w:sz w:val="3"/>
                <w:szCs w:val="3"/>
                <w:color w:val="auto"/>
              </w:rPr>
            </w:pPr>
          </w:p>
        </w:tc>
        <w:tc>
          <w:tcPr>
            <w:tcW w:w="480" w:type="dxa"/>
            <w:vAlign w:val="bottom"/>
            <w:shd w:val="clear" w:color="auto" w:fill="E5F1F9"/>
          </w:tcPr>
          <w:p>
            <w:pPr>
              <w:spacing w:after="0"/>
              <w:rPr>
                <w:sz w:val="3"/>
                <w:szCs w:val="3"/>
                <w:color w:val="auto"/>
              </w:rPr>
            </w:pPr>
          </w:p>
        </w:tc>
      </w:tr>
    </w:tbl>
    <w:p>
      <w:pPr>
        <w:spacing w:after="0" w:line="99" w:lineRule="exact"/>
        <w:rPr>
          <w:sz w:val="20"/>
          <w:szCs w:val="20"/>
          <w:color w:val="auto"/>
        </w:rPr>
      </w:pPr>
    </w:p>
    <w:p>
      <w:pPr>
        <w:ind w:left="120" w:right="200" w:hanging="4"/>
        <w:spacing w:after="0" w:line="216" w:lineRule="auto"/>
        <w:tabs>
          <w:tab w:leader="none" w:pos="292" w:val="left"/>
        </w:tabs>
        <w:numPr>
          <w:ilvl w:val="0"/>
          <w:numId w:val="83"/>
        </w:numPr>
        <w:rPr>
          <w:rFonts w:ascii="Arial" w:cs="Arial" w:eastAsia="Arial" w:hAnsi="Arial"/>
          <w:sz w:val="20"/>
          <w:szCs w:val="20"/>
          <w:color w:val="auto"/>
          <w:vertAlign w:val="superscript"/>
        </w:rPr>
      </w:pPr>
      <w:r>
        <w:rPr>
          <w:rFonts w:ascii="Arial" w:cs="Arial" w:eastAsia="Arial" w:hAnsi="Arial"/>
          <w:sz w:val="14"/>
          <w:szCs w:val="14"/>
          <w:color w:val="auto"/>
        </w:rPr>
        <w:t>Percentage increase reflects the annual merit increase and, in the cases of Dr. Singhal and Ms. Murphy, also includes a salary market adjustment to better align to peer group and survey data. Ms. Kramer was promoted to CFO in 2025.</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2025 Performance-Based Programs and Goal Setting</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Performance Goals and Target Setting Process</w:t>
      </w:r>
    </w:p>
    <w:p>
      <w:pPr>
        <w:spacing w:after="0" w:line="108"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In the first quarter of each year, our CMDC reviews and establishes the pay levels of each element of total compensation for our executive officers. Total compensation is comprised of base salary, a cash award under our STI program and LTI awards granted under our LTI program.</w:t>
      </w:r>
    </w:p>
    <w:p>
      <w:pPr>
        <w:spacing w:after="0" w:line="48"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The total compensation opportunity and mix of compensation elements for our executive officers are evaluated based on various factors such as individual, strategic and leadership achievements. Our CMDC considers these elements carefully when designing our executive compensation programs and believes that the use and weighting of multiple metrics, both quantitative and qualitative, can mitigate excessive risk taking and create appropriate incentives to focus on achievement of the company’s overall performance goals.</w:t>
      </w:r>
    </w:p>
    <w:p>
      <w:pPr>
        <w:spacing w:after="0" w:line="70"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For 2025, STI awards granted to our NEOs were made under our 2025 Performance-Based Management Incentive Plan, and awards under our LTI program were granted under the 2024 Omnibus Equity Plan.</w:t>
      </w:r>
    </w:p>
    <w:p>
      <w:pPr>
        <w:spacing w:after="0" w:line="48"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Awards made under our STI program are directly tied to the achievement of our company performance goals, which are designed to be aligned with the company’s short- and long-term strategic plans, as well as individual performance goals. Further information on our 2025 company performance goals can be found below under “2025 STI Program Design”.</w:t>
      </w:r>
    </w:p>
    <w:p>
      <w:pPr>
        <w:spacing w:after="0" w:line="63"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In 2025, our CMDC determined that PSU awards made under our LTI program for NEOs would incorporate two equally weighted measurements: an EPS growth metric and a relative stockholder return performance metric, comparing performance relative to a group of comparator companies, as described below under “2025 LTI Program”. We also made RSU grants under our LTI program that vest in approximately equal installments over three years beginning on the first anniversary of the grant date and are settled in shares of our common stock. RSUs, like PSUs, provide executives with ongoing incentive to increase stockholder value, as the ultimate value of the award is tied directly to our stock price.</w:t>
      </w:r>
    </w:p>
    <w:p>
      <w:pPr>
        <w:spacing w:after="0" w:line="72"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In setting our goals under our short- and long-term incentive programs, in addition to our internal forecasts, we consider analysts’ projections for our performance and the performance of companies in our peer group as well as broad economic and industry trends. We strive to establish challenging targets that result in payouts at or above target levels only when company performance warrants it. Our CMDC reviews and approves our metrics, goals, targets and levels of payout (e.g., threshold, target and maximum) for our executive incentive compensation plans and awards and for reviewing and determining actual performance results at the end of the applicable performance period.</w:t>
      </w:r>
    </w:p>
    <w:p>
      <w:pPr>
        <w:spacing w:after="0" w:line="126"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-37-</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660"/>
        <w:spacing w:after="0"/>
        <w:rPr>
          <w:sz w:val="20"/>
          <w:szCs w:val="20"/>
          <w:color w:val="auto"/>
        </w:rPr>
      </w:pPr>
      <w:r>
        <w:rPr>
          <w:rFonts w:ascii="Arial" w:cs="Arial" w:eastAsia="Arial" w:hAnsi="Arial"/>
          <w:sz w:val="19"/>
          <w:szCs w:val="19"/>
          <w:color w:val="0075C9"/>
        </w:rPr>
        <w:t>Compensation Discussion and Analysis</w:t>
      </w:r>
    </w:p>
    <w:p>
      <w:pPr>
        <w:spacing w:after="0" w:line="15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In approving the performance goals for our executive officers and for the company under both the short- and long-term incentive programs, our CMDC also considers the alignment of such goals to our business, the degree of difficulty of attainment and the potential for the goals to encourage inappropriate risk-taking. Our CMDC has determined that the structures of our executive compensation programs do not put our patients, stockholders or the company at any material risk.</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Short Term Incentive Program</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Short Term Incentive Program</w:t>
      </w:r>
    </w:p>
    <w:p>
      <w:pPr>
        <w:spacing w:after="0" w:line="108"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Our STI program is a cash incentive program that rewards near-term financial, strategic and operational company performance, as well as individual performance. Our CMDC reviews the annual target bonus opportunities for executive officers each year to ensure such opportunities remain competitive.</w:t>
      </w:r>
    </w:p>
    <w:p>
      <w:pPr>
        <w:spacing w:after="0" w:line="48"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2025 target bonus opportunities for NEOs, except Ms. Kramer, were unchanged from their respective 2024 bonus targets. Ms. Kramer was promoted in 2025 and her target bonus was prorated based on time served in her current and former role.</w:t>
      </w:r>
    </w:p>
    <w:p>
      <w:pPr>
        <w:spacing w:after="0" w:line="48"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The target annual bonus opportunity as a percentage of year-end annual base salary for each of our currently employed NEOs in 2025, compared to 2024, was as follows:</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120" w:type="dxa"/>
            <w:vAlign w:val="bottom"/>
            <w:shd w:val="clear" w:color="auto" w:fill="0075C9"/>
          </w:tcPr>
          <w:p>
            <w:pPr>
              <w:spacing w:after="0"/>
              <w:rPr>
                <w:sz w:val="20"/>
                <w:szCs w:val="20"/>
                <w:color w:val="auto"/>
              </w:rPr>
            </w:pPr>
            <w:r>
              <w:rPr>
                <w:rFonts w:ascii="Arial" w:cs="Arial" w:eastAsia="Arial" w:hAnsi="Arial"/>
                <w:sz w:val="14"/>
                <w:szCs w:val="14"/>
                <w:color w:val="FFFFFF"/>
              </w:rPr>
              <w:t>   Name</w:t>
            </w:r>
          </w:p>
        </w:tc>
        <w:tc>
          <w:tcPr>
            <w:tcW w:w="2160" w:type="dxa"/>
            <w:vAlign w:val="bottom"/>
            <w:shd w:val="clear" w:color="auto" w:fill="0075C9"/>
          </w:tcPr>
          <w:p>
            <w:pPr>
              <w:ind w:left="780"/>
              <w:spacing w:after="0"/>
              <w:rPr>
                <w:sz w:val="20"/>
                <w:szCs w:val="20"/>
                <w:color w:val="auto"/>
              </w:rPr>
            </w:pPr>
            <w:r>
              <w:rPr>
                <w:rFonts w:ascii="Arial" w:cs="Arial" w:eastAsia="Arial" w:hAnsi="Arial"/>
                <w:sz w:val="14"/>
                <w:szCs w:val="14"/>
                <w:color w:val="FFFFFF"/>
              </w:rPr>
              <w:t>2025 Target</w:t>
            </w:r>
          </w:p>
        </w:tc>
        <w:tc>
          <w:tcPr>
            <w:tcW w:w="2320" w:type="dxa"/>
            <w:vAlign w:val="bottom"/>
            <w:shd w:val="clear" w:color="auto" w:fill="0075C9"/>
          </w:tcPr>
          <w:p>
            <w:pPr>
              <w:ind w:left="640"/>
              <w:spacing w:after="0"/>
              <w:rPr>
                <w:sz w:val="20"/>
                <w:szCs w:val="20"/>
                <w:color w:val="auto"/>
              </w:rPr>
            </w:pPr>
            <w:r>
              <w:rPr>
                <w:rFonts w:ascii="Arial" w:cs="Arial" w:eastAsia="Arial" w:hAnsi="Arial"/>
                <w:sz w:val="14"/>
                <w:szCs w:val="14"/>
                <w:color w:val="FFFFFF"/>
              </w:rPr>
              <w:t xml:space="preserve">     2024 Target   </w:t>
            </w:r>
          </w:p>
        </w:tc>
      </w:tr>
      <w:tr>
        <w:trPr>
          <w:trHeight w:val="331"/>
        </w:trPr>
        <w:tc>
          <w:tcPr>
            <w:tcW w:w="2120" w:type="dxa"/>
            <w:vAlign w:val="bottom"/>
            <w:tcBorders>
              <w:bottom w:val="single" w:sz="8" w:color="E5F1F9"/>
            </w:tcBorders>
            <w:shd w:val="clear" w:color="auto" w:fill="E5F1F9"/>
          </w:tcPr>
          <w:p>
            <w:pPr>
              <w:ind w:left="160"/>
              <w:spacing w:after="0"/>
              <w:rPr>
                <w:sz w:val="20"/>
                <w:szCs w:val="20"/>
                <w:color w:val="auto"/>
              </w:rPr>
            </w:pPr>
            <w:r>
              <w:rPr>
                <w:rFonts w:ascii="Arial" w:cs="Arial" w:eastAsia="Arial" w:hAnsi="Arial"/>
                <w:sz w:val="16"/>
                <w:szCs w:val="16"/>
                <w:color w:val="auto"/>
              </w:rPr>
              <w:t>C. Viehbacher</w:t>
            </w:r>
          </w:p>
        </w:tc>
        <w:tc>
          <w:tcPr>
            <w:tcW w:w="2160" w:type="dxa"/>
            <w:vAlign w:val="bottom"/>
            <w:tcBorders>
              <w:bottom w:val="single" w:sz="8" w:color="E5F1F9"/>
            </w:tcBorders>
            <w:shd w:val="clear" w:color="auto" w:fill="E5F1F9"/>
          </w:tcPr>
          <w:p>
            <w:pPr>
              <w:jc w:val="center"/>
              <w:ind w:left="61"/>
              <w:spacing w:after="0"/>
              <w:rPr>
                <w:sz w:val="20"/>
                <w:szCs w:val="20"/>
                <w:color w:val="auto"/>
              </w:rPr>
            </w:pPr>
            <w:r>
              <w:rPr>
                <w:rFonts w:ascii="Arial" w:cs="Arial" w:eastAsia="Arial" w:hAnsi="Arial"/>
                <w:sz w:val="16"/>
                <w:szCs w:val="16"/>
                <w:color w:val="auto"/>
              </w:rPr>
              <w:t>150%</w:t>
            </w:r>
          </w:p>
        </w:tc>
        <w:tc>
          <w:tcPr>
            <w:tcW w:w="2320" w:type="dxa"/>
            <w:vAlign w:val="bottom"/>
            <w:tcBorders>
              <w:bottom w:val="single" w:sz="8" w:color="E5F1F9"/>
            </w:tcBorders>
            <w:shd w:val="clear" w:color="auto" w:fill="E5F1F9"/>
          </w:tcPr>
          <w:p>
            <w:pPr>
              <w:jc w:val="center"/>
              <w:ind w:left="61"/>
              <w:spacing w:after="0"/>
              <w:rPr>
                <w:sz w:val="20"/>
                <w:szCs w:val="20"/>
                <w:color w:val="auto"/>
              </w:rPr>
            </w:pPr>
            <w:r>
              <w:rPr>
                <w:rFonts w:ascii="Arial" w:cs="Arial" w:eastAsia="Arial" w:hAnsi="Arial"/>
                <w:sz w:val="16"/>
                <w:szCs w:val="16"/>
                <w:color w:val="auto"/>
              </w:rPr>
              <w:t>150%</w:t>
            </w:r>
          </w:p>
        </w:tc>
      </w:tr>
      <w:tr>
        <w:trPr>
          <w:trHeight w:val="351"/>
        </w:trPr>
        <w:tc>
          <w:tcPr>
            <w:tcW w:w="2120" w:type="dxa"/>
            <w:vAlign w:val="bottom"/>
            <w:shd w:val="clear" w:color="auto" w:fill="B2D5EE"/>
          </w:tcPr>
          <w:p>
            <w:pPr>
              <w:ind w:left="160"/>
              <w:spacing w:after="0"/>
              <w:rPr>
                <w:sz w:val="20"/>
                <w:szCs w:val="20"/>
                <w:color w:val="auto"/>
              </w:rPr>
            </w:pPr>
            <w:r>
              <w:rPr>
                <w:rFonts w:ascii="Arial" w:cs="Arial" w:eastAsia="Arial" w:hAnsi="Arial"/>
                <w:sz w:val="16"/>
                <w:szCs w:val="16"/>
                <w:color w:val="auto"/>
              </w:rPr>
              <w:t>R. Kramer</w:t>
            </w:r>
            <w:r>
              <w:rPr>
                <w:rFonts w:ascii="Arial" w:cs="Arial" w:eastAsia="Arial" w:hAnsi="Arial"/>
                <w:sz w:val="24"/>
                <w:szCs w:val="24"/>
                <w:color w:val="auto"/>
                <w:vertAlign w:val="superscript"/>
              </w:rPr>
              <w:t>(1)</w:t>
            </w:r>
          </w:p>
        </w:tc>
        <w:tc>
          <w:tcPr>
            <w:tcW w:w="2160" w:type="dxa"/>
            <w:vAlign w:val="bottom"/>
            <w:shd w:val="clear" w:color="auto" w:fill="B2D5EE"/>
          </w:tcPr>
          <w:p>
            <w:pPr>
              <w:jc w:val="center"/>
              <w:ind w:left="81"/>
              <w:spacing w:after="0"/>
              <w:rPr>
                <w:sz w:val="20"/>
                <w:szCs w:val="20"/>
                <w:color w:val="auto"/>
              </w:rPr>
            </w:pPr>
            <w:r>
              <w:rPr>
                <w:rFonts w:ascii="Arial" w:cs="Arial" w:eastAsia="Arial" w:hAnsi="Arial"/>
                <w:sz w:val="16"/>
                <w:szCs w:val="16"/>
                <w:color w:val="auto"/>
                <w:w w:val="99"/>
              </w:rPr>
              <w:t>80%</w:t>
            </w:r>
          </w:p>
        </w:tc>
        <w:tc>
          <w:tcPr>
            <w:tcW w:w="2320" w:type="dxa"/>
            <w:vAlign w:val="bottom"/>
            <w:shd w:val="clear" w:color="auto" w:fill="B2D5EE"/>
          </w:tcPr>
          <w:p>
            <w:pPr>
              <w:jc w:val="center"/>
              <w:ind w:left="61"/>
              <w:spacing w:after="0"/>
              <w:rPr>
                <w:sz w:val="20"/>
                <w:szCs w:val="20"/>
                <w:color w:val="auto"/>
              </w:rPr>
            </w:pPr>
            <w:r>
              <w:rPr>
                <w:rFonts w:ascii="Arial" w:cs="Arial" w:eastAsia="Arial" w:hAnsi="Arial"/>
                <w:sz w:val="16"/>
                <w:szCs w:val="16"/>
                <w:color w:val="auto"/>
              </w:rPr>
              <w:t>—</w:t>
            </w:r>
          </w:p>
        </w:tc>
      </w:tr>
      <w:tr>
        <w:trPr>
          <w:trHeight w:val="331"/>
        </w:trPr>
        <w:tc>
          <w:tcPr>
            <w:tcW w:w="2120" w:type="dxa"/>
            <w:vAlign w:val="bottom"/>
            <w:tcBorders>
              <w:bottom w:val="single" w:sz="8" w:color="E5F1F9"/>
            </w:tcBorders>
            <w:shd w:val="clear" w:color="auto" w:fill="E5F1F9"/>
          </w:tcPr>
          <w:p>
            <w:pPr>
              <w:ind w:left="160"/>
              <w:spacing w:after="0"/>
              <w:rPr>
                <w:sz w:val="20"/>
                <w:szCs w:val="20"/>
                <w:color w:val="auto"/>
              </w:rPr>
            </w:pPr>
            <w:r>
              <w:rPr>
                <w:rFonts w:ascii="Arial" w:cs="Arial" w:eastAsia="Arial" w:hAnsi="Arial"/>
                <w:sz w:val="16"/>
                <w:szCs w:val="16"/>
                <w:color w:val="auto"/>
              </w:rPr>
              <w:t>S. Alexander</w:t>
            </w:r>
          </w:p>
        </w:tc>
        <w:tc>
          <w:tcPr>
            <w:tcW w:w="2160" w:type="dxa"/>
            <w:vAlign w:val="bottom"/>
            <w:tcBorders>
              <w:bottom w:val="single" w:sz="8" w:color="E5F1F9"/>
            </w:tcBorders>
            <w:shd w:val="clear" w:color="auto" w:fill="E5F1F9"/>
          </w:tcPr>
          <w:p>
            <w:pPr>
              <w:jc w:val="center"/>
              <w:ind w:left="81"/>
              <w:spacing w:after="0"/>
              <w:rPr>
                <w:sz w:val="20"/>
                <w:szCs w:val="20"/>
                <w:color w:val="auto"/>
              </w:rPr>
            </w:pPr>
            <w:r>
              <w:rPr>
                <w:rFonts w:ascii="Arial" w:cs="Arial" w:eastAsia="Arial" w:hAnsi="Arial"/>
                <w:sz w:val="16"/>
                <w:szCs w:val="16"/>
                <w:color w:val="auto"/>
                <w:w w:val="99"/>
              </w:rPr>
              <w:t>80%</w:t>
            </w:r>
          </w:p>
        </w:tc>
        <w:tc>
          <w:tcPr>
            <w:tcW w:w="2320" w:type="dxa"/>
            <w:vAlign w:val="bottom"/>
            <w:tcBorders>
              <w:bottom w:val="single" w:sz="8" w:color="E5F1F9"/>
            </w:tcBorders>
            <w:shd w:val="clear" w:color="auto" w:fill="E5F1F9"/>
          </w:tcPr>
          <w:p>
            <w:pPr>
              <w:jc w:val="center"/>
              <w:ind w:left="61"/>
              <w:spacing w:after="0"/>
              <w:rPr>
                <w:sz w:val="20"/>
                <w:szCs w:val="20"/>
                <w:color w:val="auto"/>
              </w:rPr>
            </w:pPr>
            <w:r>
              <w:rPr>
                <w:rFonts w:ascii="Arial" w:cs="Arial" w:eastAsia="Arial" w:hAnsi="Arial"/>
                <w:sz w:val="16"/>
                <w:szCs w:val="16"/>
                <w:color w:val="auto"/>
              </w:rPr>
              <w:t>80%</w:t>
            </w:r>
          </w:p>
        </w:tc>
      </w:tr>
      <w:tr>
        <w:trPr>
          <w:trHeight w:val="331"/>
        </w:trPr>
        <w:tc>
          <w:tcPr>
            <w:tcW w:w="2120" w:type="dxa"/>
            <w:vAlign w:val="bottom"/>
            <w:tcBorders>
              <w:bottom w:val="single" w:sz="8" w:color="B2D5EE"/>
            </w:tcBorders>
            <w:shd w:val="clear" w:color="auto" w:fill="B2D5EE"/>
          </w:tcPr>
          <w:p>
            <w:pPr>
              <w:ind w:left="160"/>
              <w:spacing w:after="0"/>
              <w:rPr>
                <w:sz w:val="20"/>
                <w:szCs w:val="20"/>
                <w:color w:val="auto"/>
              </w:rPr>
            </w:pPr>
            <w:r>
              <w:rPr>
                <w:rFonts w:ascii="Arial" w:cs="Arial" w:eastAsia="Arial" w:hAnsi="Arial"/>
                <w:sz w:val="16"/>
                <w:szCs w:val="16"/>
                <w:color w:val="auto"/>
              </w:rPr>
              <w:t>P. Singhal</w:t>
            </w:r>
          </w:p>
        </w:tc>
        <w:tc>
          <w:tcPr>
            <w:tcW w:w="2160" w:type="dxa"/>
            <w:vAlign w:val="bottom"/>
            <w:tcBorders>
              <w:bottom w:val="single" w:sz="8" w:color="B2D5EE"/>
            </w:tcBorders>
            <w:shd w:val="clear" w:color="auto" w:fill="B2D5EE"/>
          </w:tcPr>
          <w:p>
            <w:pPr>
              <w:jc w:val="center"/>
              <w:ind w:left="81"/>
              <w:spacing w:after="0"/>
              <w:rPr>
                <w:sz w:val="20"/>
                <w:szCs w:val="20"/>
                <w:color w:val="auto"/>
              </w:rPr>
            </w:pPr>
            <w:r>
              <w:rPr>
                <w:rFonts w:ascii="Arial" w:cs="Arial" w:eastAsia="Arial" w:hAnsi="Arial"/>
                <w:sz w:val="16"/>
                <w:szCs w:val="16"/>
                <w:color w:val="auto"/>
                <w:w w:val="99"/>
              </w:rPr>
              <w:t>75%</w:t>
            </w:r>
          </w:p>
        </w:tc>
        <w:tc>
          <w:tcPr>
            <w:tcW w:w="2320" w:type="dxa"/>
            <w:vAlign w:val="bottom"/>
            <w:tcBorders>
              <w:bottom w:val="single" w:sz="8" w:color="B2D5EE"/>
            </w:tcBorders>
            <w:shd w:val="clear" w:color="auto" w:fill="B2D5EE"/>
          </w:tcPr>
          <w:p>
            <w:pPr>
              <w:jc w:val="center"/>
              <w:ind w:left="61"/>
              <w:spacing w:after="0"/>
              <w:rPr>
                <w:sz w:val="20"/>
                <w:szCs w:val="20"/>
                <w:color w:val="auto"/>
              </w:rPr>
            </w:pPr>
            <w:r>
              <w:rPr>
                <w:rFonts w:ascii="Arial" w:cs="Arial" w:eastAsia="Arial" w:hAnsi="Arial"/>
                <w:sz w:val="16"/>
                <w:szCs w:val="16"/>
                <w:color w:val="auto"/>
              </w:rPr>
              <w:t>75%</w:t>
            </w:r>
          </w:p>
        </w:tc>
      </w:tr>
      <w:tr>
        <w:trPr>
          <w:trHeight w:val="308"/>
        </w:trPr>
        <w:tc>
          <w:tcPr>
            <w:tcW w:w="2120" w:type="dxa"/>
            <w:vAlign w:val="bottom"/>
            <w:shd w:val="clear" w:color="auto" w:fill="E5F1F9"/>
          </w:tcPr>
          <w:p>
            <w:pPr>
              <w:ind w:left="160"/>
              <w:spacing w:after="0"/>
              <w:rPr>
                <w:sz w:val="20"/>
                <w:szCs w:val="20"/>
                <w:color w:val="auto"/>
              </w:rPr>
            </w:pPr>
            <w:r>
              <w:rPr>
                <w:rFonts w:ascii="Arial" w:cs="Arial" w:eastAsia="Arial" w:hAnsi="Arial"/>
                <w:sz w:val="16"/>
                <w:szCs w:val="16"/>
                <w:color w:val="auto"/>
              </w:rPr>
              <w:t>N. Murphy</w:t>
            </w:r>
          </w:p>
        </w:tc>
        <w:tc>
          <w:tcPr>
            <w:tcW w:w="2160" w:type="dxa"/>
            <w:vAlign w:val="bottom"/>
            <w:shd w:val="clear" w:color="auto" w:fill="E5F1F9"/>
          </w:tcPr>
          <w:p>
            <w:pPr>
              <w:jc w:val="center"/>
              <w:ind w:left="81"/>
              <w:spacing w:after="0"/>
              <w:rPr>
                <w:sz w:val="20"/>
                <w:szCs w:val="20"/>
                <w:color w:val="auto"/>
              </w:rPr>
            </w:pPr>
            <w:r>
              <w:rPr>
                <w:rFonts w:ascii="Arial" w:cs="Arial" w:eastAsia="Arial" w:hAnsi="Arial"/>
                <w:sz w:val="16"/>
                <w:szCs w:val="16"/>
                <w:color w:val="auto"/>
                <w:w w:val="99"/>
              </w:rPr>
              <w:t>75%</w:t>
            </w:r>
          </w:p>
        </w:tc>
        <w:tc>
          <w:tcPr>
            <w:tcW w:w="2320" w:type="dxa"/>
            <w:vAlign w:val="bottom"/>
            <w:shd w:val="clear" w:color="auto" w:fill="E5F1F9"/>
          </w:tcPr>
          <w:p>
            <w:pPr>
              <w:jc w:val="center"/>
              <w:ind w:left="61"/>
              <w:spacing w:after="0"/>
              <w:rPr>
                <w:sz w:val="20"/>
                <w:szCs w:val="20"/>
                <w:color w:val="auto"/>
              </w:rPr>
            </w:pPr>
            <w:r>
              <w:rPr>
                <w:rFonts w:ascii="Arial" w:cs="Arial" w:eastAsia="Arial" w:hAnsi="Arial"/>
                <w:sz w:val="16"/>
                <w:szCs w:val="16"/>
                <w:color w:val="auto"/>
              </w:rPr>
              <w:t>75%</w:t>
            </w:r>
          </w:p>
        </w:tc>
      </w:tr>
      <w:tr>
        <w:trPr>
          <w:trHeight w:val="43"/>
        </w:trPr>
        <w:tc>
          <w:tcPr>
            <w:tcW w:w="2120" w:type="dxa"/>
            <w:vAlign w:val="bottom"/>
            <w:shd w:val="clear" w:color="auto" w:fill="E5F1F9"/>
          </w:tcPr>
          <w:p>
            <w:pPr>
              <w:spacing w:after="0"/>
              <w:rPr>
                <w:sz w:val="3"/>
                <w:szCs w:val="3"/>
                <w:color w:val="auto"/>
              </w:rPr>
            </w:pPr>
          </w:p>
        </w:tc>
        <w:tc>
          <w:tcPr>
            <w:tcW w:w="2160" w:type="dxa"/>
            <w:vAlign w:val="bottom"/>
            <w:shd w:val="clear" w:color="auto" w:fill="E5F1F9"/>
          </w:tcPr>
          <w:p>
            <w:pPr>
              <w:spacing w:after="0"/>
              <w:rPr>
                <w:sz w:val="3"/>
                <w:szCs w:val="3"/>
                <w:color w:val="auto"/>
              </w:rPr>
            </w:pPr>
          </w:p>
        </w:tc>
        <w:tc>
          <w:tcPr>
            <w:tcW w:w="2320" w:type="dxa"/>
            <w:vAlign w:val="bottom"/>
            <w:shd w:val="clear" w:color="auto" w:fill="E5F1F9"/>
          </w:tcPr>
          <w:p>
            <w:pPr>
              <w:spacing w:after="0"/>
              <w:rPr>
                <w:sz w:val="3"/>
                <w:szCs w:val="3"/>
                <w:color w:val="auto"/>
              </w:rPr>
            </w:pPr>
          </w:p>
        </w:tc>
      </w:tr>
    </w:tbl>
    <w:p>
      <w:pPr>
        <w:spacing w:after="0" w:line="59" w:lineRule="exact"/>
        <w:rPr>
          <w:sz w:val="20"/>
          <w:szCs w:val="20"/>
          <w:color w:val="auto"/>
        </w:rPr>
      </w:pPr>
    </w:p>
    <w:p>
      <w:pPr>
        <w:ind w:left="280" w:hanging="164"/>
        <w:spacing w:after="0"/>
        <w:tabs>
          <w:tab w:leader="none" w:pos="280" w:val="left"/>
        </w:tabs>
        <w:numPr>
          <w:ilvl w:val="0"/>
          <w:numId w:val="84"/>
        </w:numPr>
        <w:rPr>
          <w:rFonts w:ascii="Arial" w:cs="Arial" w:eastAsia="Arial" w:hAnsi="Arial"/>
          <w:sz w:val="20"/>
          <w:szCs w:val="20"/>
          <w:color w:val="auto"/>
          <w:vertAlign w:val="superscript"/>
        </w:rPr>
      </w:pPr>
      <w:r>
        <w:rPr>
          <w:rFonts w:ascii="Arial" w:cs="Arial" w:eastAsia="Arial" w:hAnsi="Arial"/>
          <w:sz w:val="14"/>
          <w:szCs w:val="14"/>
          <w:color w:val="auto"/>
        </w:rPr>
        <w:t>Ms. Kramer’s awarded bonus was prorated for her time spent in her previous role and the CFO role.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Short Term Incentive Program Design</w:t>
      </w:r>
    </w:p>
    <w:p>
      <w:pPr>
        <w:spacing w:after="0" w:line="108"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Awards for our NEOs under our 2025 STI program were based on the achievement of company performance goals and individual performance goals. At the beginning of 2025 our CMDC set multiple company performance goals for our 2025 STI program and a payout multiplier, which we refer to as the Company Multiplier, ranging from 0% to 150%. The CMDC determined the Company Multiplier based on a pre-established scorecard for financial and strategic targets and its rigorous evaluation of the level of achievement and the weighting assigned to each goal and applied in the bonus calculation shown below.</w:t>
      </w:r>
    </w:p>
    <w:p>
      <w:pPr>
        <w:spacing w:after="0" w:line="7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In addition, our 2025 STI program payouts were based on an assessment of each NEO’s individual performance, considering their achievement of pre-determined individual performance goals. Evaluating individual performance allows our CMDC (or our Board, in the case of our CEO) to increase or decrease each NEO’s bonus amount based on the NEO’s performance by applying an individual performance multiplier, ranging from 0% to 150%, which we refer to as the Individual Multiplier.</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determined the individual annual bonus payments for 2025 using the following calculation:</w:t>
      </w:r>
    </w:p>
    <w:p>
      <w:pPr>
        <w:spacing w:after="0" w:line="242" w:lineRule="exact"/>
        <w:rPr>
          <w:sz w:val="20"/>
          <w:szCs w:val="20"/>
          <w:color w:val="auto"/>
        </w:rPr>
      </w:pPr>
    </w:p>
    <w:tbl>
      <w:tblPr>
        <w:tblLayout w:type="fixed"/>
        <w:tblInd w:w="3430" w:type="dxa"/>
        <w:tblCellMar>
          <w:top w:w="0" w:type="dxa"/>
          <w:left w:w="0" w:type="dxa"/>
          <w:bottom w:w="0" w:type="dxa"/>
          <w:right w:w="0" w:type="dxa"/>
        </w:tblCellMar>
      </w:tblPr>
      <w:tr>
        <w:trPr>
          <w:trHeight w:val="188"/>
        </w:trPr>
        <w:tc>
          <w:tcPr>
            <w:tcW w:w="1160" w:type="dxa"/>
            <w:vAlign w:val="bottom"/>
            <w:tcBorders>
              <w:top w:val="single" w:sz="8" w:color="auto"/>
              <w:left w:val="single" w:sz="8" w:color="auto"/>
              <w:right w:val="single" w:sz="8" w:color="auto"/>
            </w:tcBorders>
            <w:vMerge w:val="restart"/>
            <w:shd w:val="clear" w:color="auto" w:fill="B2D5EE"/>
          </w:tcPr>
          <w:p>
            <w:pPr>
              <w:jc w:val="center"/>
              <w:ind w:left="59"/>
              <w:spacing w:after="0"/>
              <w:rPr>
                <w:sz w:val="20"/>
                <w:szCs w:val="20"/>
                <w:color w:val="auto"/>
              </w:rPr>
            </w:pPr>
            <w:r>
              <w:rPr>
                <w:rFonts w:ascii="Arial" w:cs="Arial" w:eastAsia="Arial" w:hAnsi="Arial"/>
                <w:sz w:val="16"/>
                <w:szCs w:val="16"/>
                <w:color w:val="auto"/>
              </w:rPr>
              <w:t>Base</w:t>
            </w:r>
          </w:p>
        </w:tc>
        <w:tc>
          <w:tcPr>
            <w:tcW w:w="180" w:type="dxa"/>
            <w:vAlign w:val="bottom"/>
            <w:tcBorders>
              <w:right w:val="single" w:sz="8" w:color="auto"/>
            </w:tcBorders>
          </w:tcPr>
          <w:p>
            <w:pPr>
              <w:spacing w:after="0"/>
              <w:rPr>
                <w:sz w:val="16"/>
                <w:szCs w:val="16"/>
                <w:color w:val="auto"/>
              </w:rPr>
            </w:pPr>
          </w:p>
        </w:tc>
        <w:tc>
          <w:tcPr>
            <w:tcW w:w="920" w:type="dxa"/>
            <w:vAlign w:val="bottom"/>
            <w:tcBorders>
              <w:top w:val="single" w:sz="8" w:color="auto"/>
              <w:right w:val="single" w:sz="8" w:color="auto"/>
            </w:tcBorders>
            <w:shd w:val="clear" w:color="auto" w:fill="B2D5EE"/>
          </w:tcPr>
          <w:p>
            <w:pPr>
              <w:jc w:val="center"/>
              <w:spacing w:after="0"/>
              <w:rPr>
                <w:sz w:val="20"/>
                <w:szCs w:val="20"/>
                <w:color w:val="auto"/>
              </w:rPr>
            </w:pPr>
            <w:r>
              <w:rPr>
                <w:rFonts w:ascii="Arial" w:cs="Arial" w:eastAsia="Arial" w:hAnsi="Arial"/>
                <w:sz w:val="16"/>
                <w:szCs w:val="16"/>
                <w:color w:val="auto"/>
                <w:w w:val="95"/>
              </w:rPr>
              <w:t>Target</w:t>
            </w:r>
          </w:p>
        </w:tc>
        <w:tc>
          <w:tcPr>
            <w:tcW w:w="200" w:type="dxa"/>
            <w:vAlign w:val="bottom"/>
            <w:tcBorders>
              <w:right w:val="single" w:sz="8" w:color="auto"/>
            </w:tcBorders>
          </w:tcPr>
          <w:p>
            <w:pPr>
              <w:spacing w:after="0"/>
              <w:rPr>
                <w:sz w:val="16"/>
                <w:szCs w:val="16"/>
                <w:color w:val="auto"/>
              </w:rPr>
            </w:pPr>
          </w:p>
        </w:tc>
        <w:tc>
          <w:tcPr>
            <w:tcW w:w="880" w:type="dxa"/>
            <w:vAlign w:val="bottom"/>
            <w:tcBorders>
              <w:top w:val="single" w:sz="8" w:color="auto"/>
              <w:right w:val="single" w:sz="8" w:color="auto"/>
            </w:tcBorders>
            <w:vMerge w:val="restart"/>
            <w:shd w:val="clear" w:color="auto" w:fill="B2D5EE"/>
          </w:tcPr>
          <w:p>
            <w:pPr>
              <w:ind w:left="100"/>
              <w:spacing w:after="0"/>
              <w:rPr>
                <w:sz w:val="20"/>
                <w:szCs w:val="20"/>
                <w:color w:val="auto"/>
              </w:rPr>
            </w:pPr>
            <w:r>
              <w:rPr>
                <w:rFonts w:ascii="Arial" w:cs="Arial" w:eastAsia="Arial" w:hAnsi="Arial"/>
                <w:sz w:val="16"/>
                <w:szCs w:val="16"/>
                <w:color w:val="auto"/>
              </w:rPr>
              <w:t>Company</w:t>
            </w:r>
          </w:p>
        </w:tc>
        <w:tc>
          <w:tcPr>
            <w:tcW w:w="200" w:type="dxa"/>
            <w:vAlign w:val="bottom"/>
            <w:tcBorders>
              <w:right w:val="single" w:sz="8" w:color="auto"/>
            </w:tcBorders>
          </w:tcPr>
          <w:p>
            <w:pPr>
              <w:spacing w:after="0"/>
              <w:rPr>
                <w:sz w:val="16"/>
                <w:szCs w:val="16"/>
                <w:color w:val="auto"/>
              </w:rPr>
            </w:pPr>
          </w:p>
        </w:tc>
        <w:tc>
          <w:tcPr>
            <w:tcW w:w="880" w:type="dxa"/>
            <w:vAlign w:val="bottom"/>
            <w:tcBorders>
              <w:top w:val="single" w:sz="8" w:color="auto"/>
              <w:right w:val="single" w:sz="8" w:color="auto"/>
            </w:tcBorders>
            <w:vMerge w:val="restart"/>
            <w:shd w:val="clear" w:color="auto" w:fill="B2D5EE"/>
          </w:tcPr>
          <w:p>
            <w:pPr>
              <w:ind w:left="100"/>
              <w:spacing w:after="0"/>
              <w:rPr>
                <w:sz w:val="20"/>
                <w:szCs w:val="20"/>
                <w:color w:val="auto"/>
              </w:rPr>
            </w:pPr>
            <w:r>
              <w:rPr>
                <w:rFonts w:ascii="Arial" w:cs="Arial" w:eastAsia="Arial" w:hAnsi="Arial"/>
                <w:sz w:val="16"/>
                <w:szCs w:val="16"/>
                <w:color w:val="auto"/>
              </w:rPr>
              <w:t>Individual</w:t>
            </w:r>
          </w:p>
        </w:tc>
        <w:tc>
          <w:tcPr>
            <w:tcW w:w="0" w:type="dxa"/>
            <w:vAlign w:val="bottom"/>
          </w:tcPr>
          <w:p>
            <w:pPr>
              <w:spacing w:after="0"/>
              <w:rPr>
                <w:sz w:val="1"/>
                <w:szCs w:val="1"/>
                <w:color w:val="auto"/>
              </w:rPr>
            </w:pPr>
          </w:p>
        </w:tc>
      </w:tr>
      <w:tr>
        <w:trPr>
          <w:trHeight w:val="95"/>
        </w:trPr>
        <w:tc>
          <w:tcPr>
            <w:tcW w:w="1160" w:type="dxa"/>
            <w:vAlign w:val="bottom"/>
            <w:tcBorders>
              <w:left w:val="single" w:sz="8" w:color="auto"/>
              <w:right w:val="single" w:sz="8" w:color="auto"/>
            </w:tcBorders>
            <w:vMerge w:val="continue"/>
            <w:shd w:val="clear" w:color="auto" w:fill="B2D5EE"/>
          </w:tcPr>
          <w:p>
            <w:pPr>
              <w:spacing w:after="0"/>
              <w:rPr>
                <w:sz w:val="8"/>
                <w:szCs w:val="8"/>
                <w:color w:val="auto"/>
              </w:rPr>
            </w:pPr>
          </w:p>
        </w:tc>
        <w:tc>
          <w:tcPr>
            <w:tcW w:w="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x</w:t>
            </w:r>
          </w:p>
        </w:tc>
        <w:tc>
          <w:tcPr>
            <w:tcW w:w="920" w:type="dxa"/>
            <w:vAlign w:val="bottom"/>
            <w:tcBorders>
              <w:right w:val="single" w:sz="8" w:color="auto"/>
            </w:tcBorders>
            <w:vMerge w:val="restart"/>
            <w:shd w:val="clear" w:color="auto" w:fill="B2D5EE"/>
          </w:tcPr>
          <w:p>
            <w:pPr>
              <w:jc w:val="center"/>
              <w:spacing w:after="0"/>
              <w:rPr>
                <w:sz w:val="20"/>
                <w:szCs w:val="20"/>
                <w:color w:val="auto"/>
              </w:rPr>
            </w:pPr>
            <w:r>
              <w:rPr>
                <w:rFonts w:ascii="Arial" w:cs="Arial" w:eastAsia="Arial" w:hAnsi="Arial"/>
                <w:sz w:val="16"/>
                <w:szCs w:val="16"/>
                <w:color w:val="auto"/>
              </w:rPr>
              <w:t>Bonus</w:t>
            </w:r>
          </w:p>
        </w:tc>
        <w:tc>
          <w:tcPr>
            <w:tcW w:w="2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x</w:t>
            </w:r>
          </w:p>
        </w:tc>
        <w:tc>
          <w:tcPr>
            <w:tcW w:w="880" w:type="dxa"/>
            <w:vAlign w:val="bottom"/>
            <w:tcBorders>
              <w:right w:val="single" w:sz="8" w:color="auto"/>
            </w:tcBorders>
            <w:vMerge w:val="continue"/>
            <w:shd w:val="clear" w:color="auto" w:fill="B2D5EE"/>
          </w:tcPr>
          <w:p>
            <w:pPr>
              <w:spacing w:after="0"/>
              <w:rPr>
                <w:sz w:val="8"/>
                <w:szCs w:val="8"/>
                <w:color w:val="auto"/>
              </w:rPr>
            </w:pPr>
          </w:p>
        </w:tc>
        <w:tc>
          <w:tcPr>
            <w:tcW w:w="2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x</w:t>
            </w:r>
          </w:p>
        </w:tc>
        <w:tc>
          <w:tcPr>
            <w:tcW w:w="880" w:type="dxa"/>
            <w:vAlign w:val="bottom"/>
            <w:tcBorders>
              <w:right w:val="single" w:sz="8" w:color="auto"/>
            </w:tcBorders>
            <w:vMerge w:val="continue"/>
            <w:shd w:val="clear" w:color="auto" w:fill="B2D5E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160" w:type="dxa"/>
            <w:vAlign w:val="bottom"/>
            <w:tcBorders>
              <w:left w:val="single" w:sz="8" w:color="auto"/>
              <w:right w:val="single" w:sz="8" w:color="auto"/>
            </w:tcBorders>
            <w:shd w:val="clear" w:color="auto" w:fill="B2D5EE"/>
          </w:tcPr>
          <w:p>
            <w:pPr>
              <w:jc w:val="center"/>
              <w:ind w:left="59"/>
              <w:spacing w:after="0" w:line="163" w:lineRule="exact"/>
              <w:rPr>
                <w:sz w:val="20"/>
                <w:szCs w:val="20"/>
                <w:color w:val="auto"/>
              </w:rPr>
            </w:pPr>
            <w:r>
              <w:rPr>
                <w:rFonts w:ascii="Arial" w:cs="Arial" w:eastAsia="Arial" w:hAnsi="Arial"/>
                <w:sz w:val="16"/>
                <w:szCs w:val="16"/>
                <w:color w:val="auto"/>
              </w:rPr>
              <w:t>Salary</w:t>
            </w:r>
          </w:p>
        </w:tc>
        <w:tc>
          <w:tcPr>
            <w:tcW w:w="18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shd w:val="clear" w:color="auto" w:fill="B2D5EE"/>
          </w:tcPr>
          <w:p>
            <w:pPr>
              <w:spacing w:after="0"/>
              <w:rPr>
                <w:sz w:val="14"/>
                <w:szCs w:val="14"/>
                <w:color w:val="auto"/>
              </w:rPr>
            </w:pPr>
          </w:p>
        </w:tc>
        <w:tc>
          <w:tcPr>
            <w:tcW w:w="200" w:type="dxa"/>
            <w:vAlign w:val="bottom"/>
            <w:tcBorders>
              <w:right w:val="single" w:sz="8" w:color="auto"/>
            </w:tcBorders>
            <w:vMerge w:val="continue"/>
          </w:tcPr>
          <w:p>
            <w:pPr>
              <w:spacing w:after="0"/>
              <w:rPr>
                <w:sz w:val="14"/>
                <w:szCs w:val="14"/>
                <w:color w:val="auto"/>
              </w:rPr>
            </w:pPr>
          </w:p>
        </w:tc>
        <w:tc>
          <w:tcPr>
            <w:tcW w:w="880" w:type="dxa"/>
            <w:vAlign w:val="bottom"/>
            <w:tcBorders>
              <w:right w:val="single" w:sz="8" w:color="auto"/>
            </w:tcBorders>
            <w:shd w:val="clear" w:color="auto" w:fill="B2D5EE"/>
          </w:tcPr>
          <w:p>
            <w:pPr>
              <w:ind w:left="120"/>
              <w:spacing w:after="0" w:line="163" w:lineRule="exact"/>
              <w:rPr>
                <w:sz w:val="20"/>
                <w:szCs w:val="20"/>
                <w:color w:val="auto"/>
              </w:rPr>
            </w:pPr>
            <w:r>
              <w:rPr>
                <w:rFonts w:ascii="Arial" w:cs="Arial" w:eastAsia="Arial" w:hAnsi="Arial"/>
                <w:sz w:val="16"/>
                <w:szCs w:val="16"/>
                <w:color w:val="auto"/>
              </w:rPr>
              <w:t>Multiplier</w:t>
            </w:r>
          </w:p>
        </w:tc>
        <w:tc>
          <w:tcPr>
            <w:tcW w:w="200" w:type="dxa"/>
            <w:vAlign w:val="bottom"/>
            <w:tcBorders>
              <w:right w:val="single" w:sz="8" w:color="auto"/>
            </w:tcBorders>
            <w:vMerge w:val="continue"/>
          </w:tcPr>
          <w:p>
            <w:pPr>
              <w:spacing w:after="0"/>
              <w:rPr>
                <w:sz w:val="14"/>
                <w:szCs w:val="14"/>
                <w:color w:val="auto"/>
              </w:rPr>
            </w:pPr>
          </w:p>
        </w:tc>
        <w:tc>
          <w:tcPr>
            <w:tcW w:w="880" w:type="dxa"/>
            <w:vAlign w:val="bottom"/>
            <w:tcBorders>
              <w:right w:val="single" w:sz="8" w:color="auto"/>
            </w:tcBorders>
            <w:shd w:val="clear" w:color="auto" w:fill="B2D5EE"/>
          </w:tcPr>
          <w:p>
            <w:pPr>
              <w:ind w:left="120"/>
              <w:spacing w:after="0" w:line="163" w:lineRule="exact"/>
              <w:rPr>
                <w:sz w:val="20"/>
                <w:szCs w:val="20"/>
                <w:color w:val="auto"/>
              </w:rPr>
            </w:pPr>
            <w:r>
              <w:rPr>
                <w:rFonts w:ascii="Arial" w:cs="Arial" w:eastAsia="Arial" w:hAnsi="Arial"/>
                <w:sz w:val="16"/>
                <w:szCs w:val="16"/>
                <w:color w:val="auto"/>
              </w:rPr>
              <w:t>Multiplier</w:t>
            </w:r>
          </w:p>
        </w:tc>
        <w:tc>
          <w:tcPr>
            <w:tcW w:w="0" w:type="dxa"/>
            <w:vAlign w:val="bottom"/>
          </w:tcPr>
          <w:p>
            <w:pPr>
              <w:spacing w:after="0"/>
              <w:rPr>
                <w:sz w:val="1"/>
                <w:szCs w:val="1"/>
                <w:color w:val="auto"/>
              </w:rPr>
            </w:pPr>
          </w:p>
        </w:tc>
      </w:tr>
      <w:tr>
        <w:trPr>
          <w:trHeight w:val="148"/>
        </w:trPr>
        <w:tc>
          <w:tcPr>
            <w:tcW w:w="1160" w:type="dxa"/>
            <w:vAlign w:val="bottom"/>
            <w:tcBorders>
              <w:left w:val="single" w:sz="8" w:color="auto"/>
              <w:bottom w:val="single" w:sz="8" w:color="auto"/>
              <w:right w:val="single" w:sz="8" w:color="auto"/>
            </w:tcBorders>
            <w:shd w:val="clear" w:color="auto" w:fill="B2D5E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shd w:val="clear" w:color="auto" w:fill="B2D5EE"/>
          </w:tcPr>
          <w:p>
            <w:pPr>
              <w:jc w:val="center"/>
              <w:spacing w:after="0" w:line="148" w:lineRule="exact"/>
              <w:rPr>
                <w:sz w:val="20"/>
                <w:szCs w:val="20"/>
                <w:color w:val="auto"/>
              </w:rPr>
            </w:pPr>
            <w:r>
              <w:rPr>
                <w:rFonts w:ascii="Arial" w:cs="Arial" w:eastAsia="Arial" w:hAnsi="Arial"/>
                <w:sz w:val="16"/>
                <w:szCs w:val="16"/>
                <w:color w:val="auto"/>
                <w:w w:val="96"/>
              </w:rPr>
              <w:t>(%)</w:t>
            </w:r>
          </w:p>
        </w:tc>
        <w:tc>
          <w:tcPr>
            <w:tcW w:w="200" w:type="dxa"/>
            <w:vAlign w:val="bottom"/>
            <w:tcBorders>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shd w:val="clear" w:color="auto" w:fill="B2D5E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shd w:val="clear" w:color="auto" w:fill="B2D5EE"/>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Consistent with our pay-for-performance philosophy, our 2025 STI program provided that if the Company Multiplier was less than 50%, there would be no payout, regardless of individual performance. Further, because the Individual Multiplier and the Company Multiplier each have a maximum of 150%, the combined multiplier result for each NEO is capped at 225% of target.</w:t>
      </w:r>
    </w:p>
    <w:p>
      <w:pPr>
        <w:spacing w:after="0" w:line="63"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auto"/>
        </w:rPr>
        <w:t>In response to stockholder feedback requesting greater emphasis on linking payouts to long-term value creation opportunities, the CMDC elected to calculate the CEO individual bonus multiplier component of the STI program solely based on company results, and incentivize superior individual performance through LTI awards, shifting short-term cash compensation to directly align with long-term company performance.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Goal Setting Process and Company Performance Results</w:t>
      </w:r>
    </w:p>
    <w:p>
      <w:pPr>
        <w:spacing w:after="0" w:line="108" w:lineRule="exact"/>
        <w:rPr>
          <w:sz w:val="20"/>
          <w:szCs w:val="20"/>
          <w:color w:val="auto"/>
        </w:rPr>
      </w:pPr>
    </w:p>
    <w:p>
      <w:pPr>
        <w:jc w:val="both"/>
        <w:ind w:left="120" w:right="200"/>
        <w:spacing w:after="0" w:line="266" w:lineRule="auto"/>
        <w:rPr>
          <w:sz w:val="20"/>
          <w:szCs w:val="20"/>
          <w:color w:val="auto"/>
        </w:rPr>
      </w:pPr>
      <w:r>
        <w:rPr>
          <w:rFonts w:ascii="Arial" w:cs="Arial" w:eastAsia="Arial" w:hAnsi="Arial"/>
          <w:sz w:val="16"/>
          <w:szCs w:val="16"/>
          <w:color w:val="auto"/>
        </w:rPr>
        <w:t>The CMDC continues to utilize a rigorous goal setting process, tying each goal to strategic and financial priorities and setting measurable targets based on realistic assumptions. Company performance goals were established in the early part of 2025 with assigned weightings that reflected the company’s focus on attaining both financial and strategic goals. The 2025 goals included</w:t>
      </w:r>
    </w:p>
    <w:p>
      <w:pPr>
        <w:spacing w:after="0" w:line="11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-38-</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660"/>
        <w:spacing w:after="0"/>
        <w:rPr>
          <w:sz w:val="20"/>
          <w:szCs w:val="20"/>
          <w:color w:val="auto"/>
        </w:rPr>
      </w:pPr>
      <w:r>
        <w:rPr>
          <w:rFonts w:ascii="Arial" w:cs="Arial" w:eastAsia="Arial" w:hAnsi="Arial"/>
          <w:sz w:val="19"/>
          <w:szCs w:val="19"/>
          <w:color w:val="0075C9"/>
        </w:rPr>
        <w:t>Compensation Discussion and Analysis</w:t>
      </w:r>
    </w:p>
    <w:p>
      <w:pPr>
        <w:spacing w:after="0" w:line="154" w:lineRule="exact"/>
        <w:rPr>
          <w:sz w:val="20"/>
          <w:szCs w:val="20"/>
          <w:color w:val="auto"/>
        </w:rPr>
      </w:pPr>
    </w:p>
    <w:p>
      <w:pPr>
        <w:ind w:left="120" w:right="800"/>
        <w:spacing w:after="0" w:line="286" w:lineRule="auto"/>
        <w:rPr>
          <w:sz w:val="20"/>
          <w:szCs w:val="20"/>
          <w:color w:val="auto"/>
        </w:rPr>
      </w:pPr>
      <w:r>
        <w:rPr>
          <w:rFonts w:ascii="Arial" w:cs="Arial" w:eastAsia="Arial" w:hAnsi="Arial"/>
          <w:sz w:val="16"/>
          <w:szCs w:val="16"/>
          <w:color w:val="auto"/>
        </w:rPr>
        <w:t>financial performance, pipeline development and corporate responsibility objectives, and the weightings reflect the importance of linking reward opportunities to both near-term results and progress in achieving longer-term goals.</w:t>
      </w:r>
    </w:p>
    <w:p>
      <w:pPr>
        <w:spacing w:after="0" w:line="4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Stockholders requested that we explain our goal setting process. The CMDC employed a thorough approach in establishing 2025 financial goals. This approach included (1) assessing an array of business risks and opportunities, (2) reviewing analyst projections, (3) considering alignment with public guidance, and (4) acknowledging the significant achievements that would be required of the executive team to deliver results. The goal was to ensure that financial targets are aligned with our publicly disclosed outlook for the year.</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principles and assumptions below are reflected in our 2025 STI program goals:</w:t>
      </w:r>
    </w:p>
    <w:p>
      <w:pPr>
        <w:spacing w:after="0" w:line="127" w:lineRule="exact"/>
        <w:rPr>
          <w:sz w:val="20"/>
          <w:szCs w:val="20"/>
          <w:color w:val="auto"/>
        </w:rPr>
      </w:pPr>
    </w:p>
    <w:p>
      <w:pPr>
        <w:ind w:left="440" w:right="260" w:hanging="324"/>
        <w:spacing w:after="0" w:line="286" w:lineRule="auto"/>
        <w:tabs>
          <w:tab w:leader="none" w:pos="440" w:val="left"/>
        </w:tabs>
        <w:numPr>
          <w:ilvl w:val="0"/>
          <w:numId w:val="85"/>
        </w:numPr>
        <w:rPr>
          <w:rFonts w:ascii="Arial" w:cs="Arial" w:eastAsia="Arial" w:hAnsi="Arial"/>
          <w:sz w:val="16"/>
          <w:szCs w:val="16"/>
          <w:color w:val="0075C9"/>
        </w:rPr>
      </w:pPr>
      <w:r>
        <w:rPr>
          <w:rFonts w:ascii="Arial" w:cs="Arial" w:eastAsia="Arial" w:hAnsi="Arial"/>
          <w:sz w:val="16"/>
          <w:szCs w:val="16"/>
          <w:b w:val="1"/>
          <w:bCs w:val="1"/>
          <w:color w:val="auto"/>
        </w:rPr>
        <w:t xml:space="preserve">Total Revenue: </w:t>
      </w:r>
      <w:r>
        <w:rPr>
          <w:rFonts w:ascii="Arial" w:cs="Arial" w:eastAsia="Arial" w:hAnsi="Arial"/>
          <w:sz w:val="16"/>
          <w:szCs w:val="16"/>
          <w:color w:val="auto"/>
        </w:rPr>
        <w:t>This target, which declined compared to 2024, reflects continued erosion of MS revenues due to TECFIDERA generics in Europe</w:t>
      </w:r>
      <w:r>
        <w:rPr>
          <w:rFonts w:ascii="Arial" w:cs="Arial" w:eastAsia="Arial" w:hAnsi="Arial"/>
          <w:sz w:val="16"/>
          <w:szCs w:val="16"/>
          <w:b w:val="1"/>
          <w:bCs w:val="1"/>
          <w:color w:val="auto"/>
        </w:rPr>
        <w:t xml:space="preserve"> </w:t>
      </w:r>
      <w:r>
        <w:rPr>
          <w:rFonts w:ascii="Arial" w:cs="Arial" w:eastAsia="Arial" w:hAnsi="Arial"/>
          <w:sz w:val="16"/>
          <w:szCs w:val="16"/>
          <w:color w:val="auto"/>
        </w:rPr>
        <w:t>and TYSABRI biosimilar entry timing and erosion. These headwinds, along with geopolitical risks, outpace growth from new products.</w:t>
      </w:r>
    </w:p>
    <w:p>
      <w:pPr>
        <w:spacing w:after="0" w:line="61" w:lineRule="exact"/>
        <w:rPr>
          <w:rFonts w:ascii="Arial" w:cs="Arial" w:eastAsia="Arial" w:hAnsi="Arial"/>
          <w:sz w:val="16"/>
          <w:szCs w:val="16"/>
          <w:color w:val="0075C9"/>
        </w:rPr>
      </w:pPr>
    </w:p>
    <w:p>
      <w:pPr>
        <w:ind w:left="440" w:right="60" w:hanging="324"/>
        <w:spacing w:after="0" w:line="258" w:lineRule="auto"/>
        <w:tabs>
          <w:tab w:leader="none" w:pos="440" w:val="left"/>
        </w:tabs>
        <w:numPr>
          <w:ilvl w:val="0"/>
          <w:numId w:val="85"/>
        </w:numPr>
        <w:rPr>
          <w:rFonts w:ascii="Arial" w:cs="Arial" w:eastAsia="Arial" w:hAnsi="Arial"/>
          <w:sz w:val="16"/>
          <w:szCs w:val="16"/>
          <w:color w:val="0075C9"/>
        </w:rPr>
      </w:pPr>
      <w:r>
        <w:rPr>
          <w:rFonts w:ascii="Arial" w:cs="Arial" w:eastAsia="Arial" w:hAnsi="Arial"/>
          <w:sz w:val="16"/>
          <w:szCs w:val="16"/>
          <w:b w:val="1"/>
          <w:bCs w:val="1"/>
          <w:color w:val="auto"/>
        </w:rPr>
        <w:t xml:space="preserve">Growth Product Revenue: </w:t>
      </w:r>
      <w:r>
        <w:rPr>
          <w:rFonts w:ascii="Arial" w:cs="Arial" w:eastAsia="Arial" w:hAnsi="Arial"/>
          <w:sz w:val="16"/>
          <w:szCs w:val="16"/>
          <w:color w:val="auto"/>
        </w:rPr>
        <w:t>New in 2025, this metric is weighted 2.5 times more than total revenue performance, recognizing the outsized</w:t>
      </w:r>
      <w:r>
        <w:rPr>
          <w:rFonts w:ascii="Arial" w:cs="Arial" w:eastAsia="Arial" w:hAnsi="Arial"/>
          <w:sz w:val="16"/>
          <w:szCs w:val="16"/>
          <w:b w:val="1"/>
          <w:bCs w:val="1"/>
          <w:color w:val="auto"/>
        </w:rPr>
        <w:t xml:space="preserve"> </w:t>
      </w:r>
      <w:r>
        <w:rPr>
          <w:rFonts w:ascii="Arial" w:cs="Arial" w:eastAsia="Arial" w:hAnsi="Arial"/>
          <w:sz w:val="16"/>
          <w:szCs w:val="16"/>
          <w:color w:val="auto"/>
        </w:rPr>
        <w:t>importance these products have on achieving the goals of our business transformation. Emphasis was placed here to underscore the need for newer products to replace mature franchises, with ambitious assumptions for SKYCLARYS, SPINRAZA, ZURZUVAE and LEQEMBI launches and a normalization of the global SPINRAZA trajectory</w:t>
      </w:r>
      <w:r>
        <w:rPr>
          <w:rFonts w:ascii="Arial" w:cs="Arial" w:eastAsia="Arial" w:hAnsi="Arial"/>
          <w:sz w:val="24"/>
          <w:szCs w:val="24"/>
          <w:color w:val="auto"/>
          <w:vertAlign w:val="superscript"/>
        </w:rPr>
        <w:t>5</w:t>
      </w:r>
      <w:r>
        <w:rPr>
          <w:rFonts w:ascii="Arial" w:cs="Arial" w:eastAsia="Arial" w:hAnsi="Arial"/>
          <w:sz w:val="16"/>
          <w:szCs w:val="16"/>
          <w:color w:val="auto"/>
        </w:rPr>
        <w:t>.</w:t>
      </w:r>
    </w:p>
    <w:p>
      <w:pPr>
        <w:spacing w:after="0" w:line="2" w:lineRule="exact"/>
        <w:rPr>
          <w:rFonts w:ascii="Arial" w:cs="Arial" w:eastAsia="Arial" w:hAnsi="Arial"/>
          <w:sz w:val="16"/>
          <w:szCs w:val="16"/>
          <w:color w:val="0075C9"/>
        </w:rPr>
      </w:pPr>
    </w:p>
    <w:p>
      <w:pPr>
        <w:ind w:left="440" w:right="440" w:hanging="324"/>
        <w:spacing w:after="0" w:line="267" w:lineRule="auto"/>
        <w:tabs>
          <w:tab w:leader="none" w:pos="440" w:val="left"/>
        </w:tabs>
        <w:numPr>
          <w:ilvl w:val="0"/>
          <w:numId w:val="85"/>
        </w:numPr>
        <w:rPr>
          <w:rFonts w:ascii="Arial" w:cs="Arial" w:eastAsia="Arial" w:hAnsi="Arial"/>
          <w:sz w:val="16"/>
          <w:szCs w:val="16"/>
          <w:color w:val="0075C9"/>
        </w:rPr>
      </w:pPr>
      <w:r>
        <w:rPr>
          <w:rFonts w:ascii="Arial" w:cs="Arial" w:eastAsia="Arial" w:hAnsi="Arial"/>
          <w:sz w:val="16"/>
          <w:szCs w:val="16"/>
          <w:b w:val="1"/>
          <w:bCs w:val="1"/>
          <w:color w:val="auto"/>
        </w:rPr>
        <w:t>Non GAAP Diluted Earnings Per Share</w:t>
      </w:r>
      <w:r>
        <w:rPr>
          <w:rFonts w:ascii="Arial" w:cs="Arial" w:eastAsia="Arial" w:hAnsi="Arial"/>
          <w:sz w:val="16"/>
          <w:szCs w:val="16"/>
          <w:color w:val="auto"/>
        </w:rPr>
        <w:t>: Declined compared to 2024, which reflects the impact of expected total revenue decline coupled with</w:t>
      </w:r>
      <w:r>
        <w:rPr>
          <w:rFonts w:ascii="Arial" w:cs="Arial" w:eastAsia="Arial" w:hAnsi="Arial"/>
          <w:sz w:val="16"/>
          <w:szCs w:val="16"/>
          <w:b w:val="1"/>
          <w:bCs w:val="1"/>
          <w:color w:val="auto"/>
        </w:rPr>
        <w:t xml:space="preserve"> </w:t>
      </w:r>
      <w:r>
        <w:rPr>
          <w:rFonts w:ascii="Arial" w:cs="Arial" w:eastAsia="Arial" w:hAnsi="Arial"/>
          <w:sz w:val="16"/>
          <w:szCs w:val="16"/>
          <w:color w:val="auto"/>
        </w:rPr>
        <w:t>planned investments to grow the pipeline and potential launches while also requiring the full realization of in-flight cost savings initiatives.</w:t>
      </w:r>
    </w:p>
    <w:p>
      <w:pPr>
        <w:spacing w:after="0" w:line="75" w:lineRule="exact"/>
        <w:rPr>
          <w:rFonts w:ascii="Arial" w:cs="Arial" w:eastAsia="Arial" w:hAnsi="Arial"/>
          <w:sz w:val="16"/>
          <w:szCs w:val="16"/>
          <w:color w:val="0075C9"/>
        </w:rPr>
      </w:pPr>
    </w:p>
    <w:p>
      <w:pPr>
        <w:ind w:left="440" w:right="200" w:hanging="324"/>
        <w:spacing w:after="0" w:line="266" w:lineRule="auto"/>
        <w:tabs>
          <w:tab w:leader="none" w:pos="440" w:val="left"/>
        </w:tabs>
        <w:numPr>
          <w:ilvl w:val="0"/>
          <w:numId w:val="85"/>
        </w:numPr>
        <w:rPr>
          <w:rFonts w:ascii="Arial" w:cs="Arial" w:eastAsia="Arial" w:hAnsi="Arial"/>
          <w:sz w:val="16"/>
          <w:szCs w:val="16"/>
          <w:color w:val="0075C9"/>
        </w:rPr>
      </w:pPr>
      <w:r>
        <w:rPr>
          <w:rFonts w:ascii="Arial" w:cs="Arial" w:eastAsia="Arial" w:hAnsi="Arial"/>
          <w:sz w:val="16"/>
          <w:szCs w:val="16"/>
          <w:b w:val="1"/>
          <w:bCs w:val="1"/>
          <w:color w:val="auto"/>
        </w:rPr>
        <w:t xml:space="preserve">Pipeline Development: </w:t>
      </w:r>
      <w:r>
        <w:rPr>
          <w:rFonts w:ascii="Arial" w:cs="Arial" w:eastAsia="Arial" w:hAnsi="Arial"/>
          <w:sz w:val="16"/>
          <w:szCs w:val="16"/>
          <w:color w:val="auto"/>
        </w:rPr>
        <w:t>Pipeline targets emphasize value-driving milestones, with heavier weighting towards growth product pipeline milestone</w:t>
      </w:r>
      <w:r>
        <w:rPr>
          <w:rFonts w:ascii="Arial" w:cs="Arial" w:eastAsia="Arial" w:hAnsi="Arial"/>
          <w:sz w:val="16"/>
          <w:szCs w:val="16"/>
          <w:b w:val="1"/>
          <w:bCs w:val="1"/>
          <w:color w:val="auto"/>
        </w:rPr>
        <w:t xml:space="preserve"> </w:t>
      </w:r>
      <w:r>
        <w:rPr>
          <w:rFonts w:ascii="Arial" w:cs="Arial" w:eastAsia="Arial" w:hAnsi="Arial"/>
          <w:sz w:val="16"/>
          <w:szCs w:val="16"/>
          <w:color w:val="auto"/>
        </w:rPr>
        <w:t>achievements, along with external collaboration achievements to accelerate portfolio value generation, a key part of our pipeline evolution strategy. These short-term pipeline achievements are integral to the advancement of our long-term growth strategy.</w:t>
      </w:r>
    </w:p>
    <w:p>
      <w:pPr>
        <w:spacing w:after="0" w:line="76" w:lineRule="exact"/>
        <w:rPr>
          <w:rFonts w:ascii="Arial" w:cs="Arial" w:eastAsia="Arial" w:hAnsi="Arial"/>
          <w:sz w:val="16"/>
          <w:szCs w:val="16"/>
          <w:color w:val="0075C9"/>
        </w:rPr>
      </w:pPr>
    </w:p>
    <w:p>
      <w:pPr>
        <w:ind w:left="440" w:right="120" w:hanging="324"/>
        <w:spacing w:after="0" w:line="286" w:lineRule="auto"/>
        <w:tabs>
          <w:tab w:leader="none" w:pos="440" w:val="left"/>
        </w:tabs>
        <w:numPr>
          <w:ilvl w:val="0"/>
          <w:numId w:val="85"/>
        </w:numPr>
        <w:rPr>
          <w:rFonts w:ascii="Arial" w:cs="Arial" w:eastAsia="Arial" w:hAnsi="Arial"/>
          <w:sz w:val="16"/>
          <w:szCs w:val="16"/>
          <w:color w:val="0075C9"/>
        </w:rPr>
      </w:pPr>
      <w:r>
        <w:rPr>
          <w:rFonts w:ascii="Arial" w:cs="Arial" w:eastAsia="Arial" w:hAnsi="Arial"/>
          <w:sz w:val="16"/>
          <w:szCs w:val="16"/>
          <w:b w:val="1"/>
          <w:bCs w:val="1"/>
          <w:color w:val="auto"/>
        </w:rPr>
        <w:t xml:space="preserve">Corporate Responsibility: </w:t>
      </w:r>
      <w:r>
        <w:rPr>
          <w:rFonts w:ascii="Arial" w:cs="Arial" w:eastAsia="Arial" w:hAnsi="Arial"/>
          <w:sz w:val="16"/>
          <w:szCs w:val="16"/>
          <w:color w:val="auto"/>
        </w:rPr>
        <w:t>These goals drive initiatives like representative patient population enrollment in clinical trials and increased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clinical therapies. It also encompasses fostering staff engagement and talent development to enable a culture of excellence and inclusion.</w:t>
      </w:r>
    </w:p>
    <w:p>
      <w:pPr>
        <w:spacing w:after="0" w:line="48"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Chair of the Board and CGC, along with the Chair of the CMDC and/or Audit Committee, spoke with stockholders about headwinds related to MS revenue erosion and geopolitical risks and explained why we might set declining financial targets year-over-year for some of our metrics. Many stockholders understood the need to set realistic goals to incentivize our executive officers to achieve superior financial performance in a challenging business environment. Some stockholders expressed the desire for more disclosure surrounding how the CMDC is incentivizing our executive officers to execute on the transformation of our business from a company reliant on MS revenues to one focusing on our growth products and pipeline. We reflected this request by focusing on our growth products in both our financial and pipeline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22371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40" w:lineRule="exact"/>
        <w:rPr>
          <w:sz w:val="20"/>
          <w:szCs w:val="20"/>
          <w:color w:val="auto"/>
        </w:rPr>
      </w:pPr>
    </w:p>
    <w:p>
      <w:pPr>
        <w:ind w:left="540" w:right="520" w:hanging="424"/>
        <w:spacing w:after="0" w:line="204" w:lineRule="auto"/>
        <w:tabs>
          <w:tab w:leader="none" w:pos="540" w:val="left"/>
        </w:tabs>
        <w:numPr>
          <w:ilvl w:val="0"/>
          <w:numId w:val="86"/>
        </w:numPr>
        <w:rPr>
          <w:rFonts w:ascii="Arial" w:cs="Arial" w:eastAsia="Arial" w:hAnsi="Arial"/>
          <w:sz w:val="22"/>
          <w:szCs w:val="22"/>
          <w:color w:val="auto"/>
          <w:vertAlign w:val="superscript"/>
        </w:rPr>
      </w:pPr>
      <w:r>
        <w:rPr>
          <w:rFonts w:ascii="Arial" w:cs="Arial" w:eastAsia="Arial" w:hAnsi="Arial"/>
          <w:sz w:val="14"/>
          <w:szCs w:val="14"/>
          <w:color w:val="auto"/>
        </w:rPr>
        <w:t>VUMERITY was added to the “Growth Product” category after the CMDC set 2025 company performance targets. Therefore, it was excluded from calculations regarding 2025 target achievement.</w:t>
      </w:r>
    </w:p>
    <w:p>
      <w:pPr>
        <w:spacing w:after="0" w:line="130"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-39-</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660"/>
        <w:spacing w:after="0"/>
        <w:rPr>
          <w:sz w:val="20"/>
          <w:szCs w:val="20"/>
          <w:color w:val="auto"/>
        </w:rPr>
      </w:pPr>
      <w:r>
        <w:rPr>
          <w:rFonts w:ascii="Arial" w:cs="Arial" w:eastAsia="Arial" w:hAnsi="Arial"/>
          <w:sz w:val="19"/>
          <w:szCs w:val="19"/>
          <w:color w:val="0075C9"/>
        </w:rPr>
        <w:t>Compensation Discussion and Analysis</w:t>
      </w:r>
    </w:p>
    <w:p>
      <w:pPr>
        <w:spacing w:after="0" w:line="154"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color w:val="auto"/>
        </w:rPr>
        <w:t>We believe the CMDC designed 2025 performance targets to be appropriately rigorous considering the company’s progress against its multi-year transformation goals, with exceptional execution required for our executive officers to receive an above target payout.</w:t>
      </w:r>
    </w:p>
    <w:p>
      <w:pPr>
        <w:spacing w:after="0" w:line="55" w:lineRule="exact"/>
        <w:rPr>
          <w:sz w:val="20"/>
          <w:szCs w:val="20"/>
          <w:color w:val="auto"/>
        </w:rPr>
      </w:pPr>
    </w:p>
    <w:tbl>
      <w:tblPr>
        <w:tblLayout w:type="fixed"/>
        <w:tblInd w:w="130" w:type="dxa"/>
        <w:tblCellMar>
          <w:top w:w="0" w:type="dxa"/>
          <w:left w:w="0" w:type="dxa"/>
          <w:bottom w:w="0" w:type="dxa"/>
          <w:right w:w="0" w:type="dxa"/>
        </w:tblCellMar>
      </w:tblPr>
      <w:tr>
        <w:trPr>
          <w:trHeight w:val="188"/>
        </w:trPr>
        <w:tc>
          <w:tcPr>
            <w:tcW w:w="5300" w:type="dxa"/>
            <w:vAlign w:val="bottom"/>
            <w:tcBorders>
              <w:top w:val="single" w:sz="8" w:color="auto"/>
              <w:left w:val="single" w:sz="8" w:color="auto"/>
              <w:right w:val="single" w:sz="8" w:color="auto"/>
            </w:tcBorders>
            <w:vMerge w:val="restart"/>
            <w:shd w:val="clear" w:color="auto" w:fill="0075C9"/>
          </w:tcPr>
          <w:p>
            <w:pPr>
              <w:ind w:left="160"/>
              <w:spacing w:after="0"/>
              <w:rPr>
                <w:sz w:val="20"/>
                <w:szCs w:val="20"/>
                <w:color w:val="auto"/>
              </w:rPr>
            </w:pPr>
            <w:r>
              <w:rPr>
                <w:rFonts w:ascii="Arial" w:cs="Arial" w:eastAsia="Arial" w:hAnsi="Arial"/>
                <w:sz w:val="16"/>
                <w:szCs w:val="16"/>
                <w:color w:val="FFFFFF"/>
              </w:rPr>
              <w:t>Metric</w:t>
            </w:r>
          </w:p>
        </w:tc>
        <w:tc>
          <w:tcPr>
            <w:tcW w:w="80" w:type="dxa"/>
            <w:vAlign w:val="bottom"/>
            <w:tcBorders>
              <w:top w:val="single" w:sz="8" w:color="auto"/>
            </w:tcBorders>
            <w:shd w:val="clear" w:color="auto" w:fill="0075C9"/>
          </w:tcPr>
          <w:p>
            <w:pPr>
              <w:spacing w:after="0"/>
              <w:rPr>
                <w:sz w:val="16"/>
                <w:szCs w:val="16"/>
                <w:color w:val="auto"/>
              </w:rPr>
            </w:pPr>
          </w:p>
        </w:tc>
        <w:tc>
          <w:tcPr>
            <w:tcW w:w="580" w:type="dxa"/>
            <w:vAlign w:val="bottom"/>
            <w:tcBorders>
              <w:top w:val="single" w:sz="8" w:color="auto"/>
              <w:right w:val="single" w:sz="8" w:color="auto"/>
            </w:tcBorders>
            <w:vMerge w:val="restart"/>
            <w:shd w:val="clear" w:color="auto" w:fill="0075C9"/>
          </w:tcPr>
          <w:p>
            <w:pPr>
              <w:ind w:left="40"/>
              <w:spacing w:after="0"/>
              <w:rPr>
                <w:sz w:val="20"/>
                <w:szCs w:val="20"/>
                <w:color w:val="auto"/>
              </w:rPr>
            </w:pPr>
            <w:r>
              <w:rPr>
                <w:rFonts w:ascii="Arial" w:cs="Arial" w:eastAsia="Arial" w:hAnsi="Arial"/>
                <w:sz w:val="16"/>
                <w:szCs w:val="16"/>
                <w:color w:val="FFFFFF"/>
              </w:rPr>
              <w:t>Weight</w:t>
            </w:r>
          </w:p>
        </w:tc>
        <w:tc>
          <w:tcPr>
            <w:tcW w:w="940" w:type="dxa"/>
            <w:vAlign w:val="bottom"/>
            <w:tcBorders>
              <w:top w:val="single" w:sz="8" w:color="auto"/>
              <w:right w:val="single" w:sz="8" w:color="auto"/>
            </w:tcBorders>
            <w:vMerge w:val="restart"/>
            <w:shd w:val="clear" w:color="auto" w:fill="0075C9"/>
          </w:tcPr>
          <w:p>
            <w:pPr>
              <w:ind w:left="140"/>
              <w:spacing w:after="0"/>
              <w:rPr>
                <w:sz w:val="20"/>
                <w:szCs w:val="20"/>
                <w:color w:val="auto"/>
              </w:rPr>
            </w:pPr>
            <w:r>
              <w:rPr>
                <w:rFonts w:ascii="Arial" w:cs="Arial" w:eastAsia="Arial" w:hAnsi="Arial"/>
                <w:sz w:val="16"/>
                <w:szCs w:val="16"/>
                <w:color w:val="FFFFFF"/>
              </w:rPr>
              <w:t>Threshold</w:t>
            </w:r>
          </w:p>
        </w:tc>
        <w:tc>
          <w:tcPr>
            <w:tcW w:w="120" w:type="dxa"/>
            <w:vAlign w:val="bottom"/>
            <w:tcBorders>
              <w:top w:val="single" w:sz="8" w:color="auto"/>
            </w:tcBorders>
            <w:shd w:val="clear" w:color="auto" w:fill="0075C9"/>
          </w:tcPr>
          <w:p>
            <w:pPr>
              <w:spacing w:after="0"/>
              <w:rPr>
                <w:sz w:val="16"/>
                <w:szCs w:val="16"/>
                <w:color w:val="auto"/>
              </w:rPr>
            </w:pPr>
          </w:p>
        </w:tc>
        <w:tc>
          <w:tcPr>
            <w:tcW w:w="720" w:type="dxa"/>
            <w:vAlign w:val="bottom"/>
            <w:tcBorders>
              <w:top w:val="single" w:sz="8" w:color="auto"/>
              <w:right w:val="single" w:sz="8" w:color="auto"/>
            </w:tcBorders>
            <w:vMerge w:val="restart"/>
            <w:shd w:val="clear" w:color="auto" w:fill="0075C9"/>
          </w:tcPr>
          <w:p>
            <w:pPr>
              <w:ind w:left="100"/>
              <w:spacing w:after="0"/>
              <w:rPr>
                <w:sz w:val="20"/>
                <w:szCs w:val="20"/>
                <w:color w:val="auto"/>
              </w:rPr>
            </w:pPr>
            <w:r>
              <w:rPr>
                <w:rFonts w:ascii="Arial" w:cs="Arial" w:eastAsia="Arial" w:hAnsi="Arial"/>
                <w:sz w:val="16"/>
                <w:szCs w:val="16"/>
                <w:color w:val="FFFFFF"/>
              </w:rPr>
              <w:t>Target</w:t>
            </w:r>
          </w:p>
        </w:tc>
        <w:tc>
          <w:tcPr>
            <w:tcW w:w="800" w:type="dxa"/>
            <w:vAlign w:val="bottom"/>
            <w:tcBorders>
              <w:top w:val="single" w:sz="8" w:color="auto"/>
              <w:right w:val="single" w:sz="8" w:color="auto"/>
            </w:tcBorders>
            <w:vMerge w:val="restart"/>
            <w:shd w:val="clear" w:color="auto" w:fill="0075C9"/>
          </w:tcPr>
          <w:p>
            <w:pPr>
              <w:ind w:left="280"/>
              <w:spacing w:after="0"/>
              <w:rPr>
                <w:sz w:val="20"/>
                <w:szCs w:val="20"/>
                <w:color w:val="auto"/>
              </w:rPr>
            </w:pPr>
            <w:r>
              <w:rPr>
                <w:rFonts w:ascii="Arial" w:cs="Arial" w:eastAsia="Arial" w:hAnsi="Arial"/>
                <w:sz w:val="16"/>
                <w:szCs w:val="16"/>
                <w:color w:val="FFFFFF"/>
              </w:rPr>
              <w:t>Max</w:t>
            </w:r>
          </w:p>
        </w:tc>
        <w:tc>
          <w:tcPr>
            <w:tcW w:w="1560" w:type="dxa"/>
            <w:vAlign w:val="bottom"/>
            <w:tcBorders>
              <w:top w:val="single" w:sz="8" w:color="auto"/>
              <w:right w:val="single" w:sz="8" w:color="auto"/>
            </w:tcBorders>
            <w:vMerge w:val="restart"/>
            <w:shd w:val="clear" w:color="auto" w:fill="0075C9"/>
          </w:tcPr>
          <w:p>
            <w:pPr>
              <w:ind w:left="520"/>
              <w:spacing w:after="0"/>
              <w:rPr>
                <w:sz w:val="20"/>
                <w:szCs w:val="20"/>
                <w:color w:val="auto"/>
              </w:rPr>
            </w:pPr>
            <w:r>
              <w:rPr>
                <w:rFonts w:ascii="Arial" w:cs="Arial" w:eastAsia="Arial" w:hAnsi="Arial"/>
                <w:sz w:val="16"/>
                <w:szCs w:val="16"/>
                <w:color w:val="FFFFFF"/>
              </w:rPr>
              <w:t>Achieved</w:t>
            </w:r>
          </w:p>
        </w:tc>
        <w:tc>
          <w:tcPr>
            <w:tcW w:w="940" w:type="dxa"/>
            <w:vAlign w:val="bottom"/>
            <w:tcBorders>
              <w:top w:val="single" w:sz="8" w:color="auto"/>
              <w:right w:val="single" w:sz="8" w:color="auto"/>
            </w:tcBorders>
            <w:shd w:val="clear" w:color="auto" w:fill="0075C9"/>
          </w:tcPr>
          <w:p>
            <w:pPr>
              <w:ind w:left="120"/>
              <w:spacing w:after="0"/>
              <w:rPr>
                <w:sz w:val="20"/>
                <w:szCs w:val="20"/>
                <w:color w:val="auto"/>
              </w:rPr>
            </w:pPr>
            <w:r>
              <w:rPr>
                <w:rFonts w:ascii="Arial" w:cs="Arial" w:eastAsia="Arial" w:hAnsi="Arial"/>
                <w:sz w:val="16"/>
                <w:szCs w:val="16"/>
                <w:color w:val="FFFFFF"/>
              </w:rPr>
              <w:t>Company</w:t>
            </w:r>
          </w:p>
        </w:tc>
        <w:tc>
          <w:tcPr>
            <w:tcW w:w="0" w:type="dxa"/>
            <w:vAlign w:val="bottom"/>
          </w:tcPr>
          <w:p>
            <w:pPr>
              <w:spacing w:after="0"/>
              <w:rPr>
                <w:sz w:val="1"/>
                <w:szCs w:val="1"/>
                <w:color w:val="auto"/>
              </w:rPr>
            </w:pPr>
          </w:p>
        </w:tc>
      </w:tr>
      <w:tr>
        <w:trPr>
          <w:trHeight w:val="120"/>
        </w:trPr>
        <w:tc>
          <w:tcPr>
            <w:tcW w:w="5300" w:type="dxa"/>
            <w:vAlign w:val="bottom"/>
            <w:tcBorders>
              <w:left w:val="single" w:sz="8" w:color="auto"/>
              <w:right w:val="single" w:sz="8" w:color="auto"/>
            </w:tcBorders>
            <w:vMerge w:val="continue"/>
            <w:shd w:val="clear" w:color="auto" w:fill="0075C9"/>
          </w:tcPr>
          <w:p>
            <w:pPr>
              <w:spacing w:after="0"/>
              <w:rPr>
                <w:sz w:val="10"/>
                <w:szCs w:val="10"/>
                <w:color w:val="auto"/>
              </w:rPr>
            </w:pPr>
          </w:p>
        </w:tc>
        <w:tc>
          <w:tcPr>
            <w:tcW w:w="80" w:type="dxa"/>
            <w:vAlign w:val="bottom"/>
            <w:shd w:val="clear" w:color="auto" w:fill="0075C9"/>
          </w:tcPr>
          <w:p>
            <w:pPr>
              <w:spacing w:after="0"/>
              <w:rPr>
                <w:sz w:val="10"/>
                <w:szCs w:val="10"/>
                <w:color w:val="auto"/>
              </w:rPr>
            </w:pPr>
          </w:p>
        </w:tc>
        <w:tc>
          <w:tcPr>
            <w:tcW w:w="580" w:type="dxa"/>
            <w:vAlign w:val="bottom"/>
            <w:tcBorders>
              <w:right w:val="single" w:sz="8" w:color="auto"/>
            </w:tcBorders>
            <w:vMerge w:val="continue"/>
            <w:shd w:val="clear" w:color="auto" w:fill="0075C9"/>
          </w:tcPr>
          <w:p>
            <w:pPr>
              <w:spacing w:after="0"/>
              <w:rPr>
                <w:sz w:val="10"/>
                <w:szCs w:val="10"/>
                <w:color w:val="auto"/>
              </w:rPr>
            </w:pPr>
          </w:p>
        </w:tc>
        <w:tc>
          <w:tcPr>
            <w:tcW w:w="940" w:type="dxa"/>
            <w:vAlign w:val="bottom"/>
            <w:tcBorders>
              <w:right w:val="single" w:sz="8" w:color="auto"/>
            </w:tcBorders>
            <w:vMerge w:val="continue"/>
            <w:shd w:val="clear" w:color="auto" w:fill="0075C9"/>
          </w:tcPr>
          <w:p>
            <w:pPr>
              <w:spacing w:after="0"/>
              <w:rPr>
                <w:sz w:val="10"/>
                <w:szCs w:val="10"/>
                <w:color w:val="auto"/>
              </w:rPr>
            </w:pPr>
          </w:p>
        </w:tc>
        <w:tc>
          <w:tcPr>
            <w:tcW w:w="120" w:type="dxa"/>
            <w:vAlign w:val="bottom"/>
            <w:shd w:val="clear" w:color="auto" w:fill="0075C9"/>
          </w:tcPr>
          <w:p>
            <w:pPr>
              <w:spacing w:after="0"/>
              <w:rPr>
                <w:sz w:val="10"/>
                <w:szCs w:val="10"/>
                <w:color w:val="auto"/>
              </w:rPr>
            </w:pPr>
          </w:p>
        </w:tc>
        <w:tc>
          <w:tcPr>
            <w:tcW w:w="720" w:type="dxa"/>
            <w:vAlign w:val="bottom"/>
            <w:tcBorders>
              <w:right w:val="single" w:sz="8" w:color="auto"/>
            </w:tcBorders>
            <w:vMerge w:val="continue"/>
            <w:shd w:val="clear" w:color="auto" w:fill="0075C9"/>
          </w:tcPr>
          <w:p>
            <w:pPr>
              <w:spacing w:after="0"/>
              <w:rPr>
                <w:sz w:val="10"/>
                <w:szCs w:val="10"/>
                <w:color w:val="auto"/>
              </w:rPr>
            </w:pPr>
          </w:p>
        </w:tc>
        <w:tc>
          <w:tcPr>
            <w:tcW w:w="800" w:type="dxa"/>
            <w:vAlign w:val="bottom"/>
            <w:tcBorders>
              <w:right w:val="single" w:sz="8" w:color="auto"/>
            </w:tcBorders>
            <w:vMerge w:val="continue"/>
            <w:shd w:val="clear" w:color="auto" w:fill="0075C9"/>
          </w:tcPr>
          <w:p>
            <w:pPr>
              <w:spacing w:after="0"/>
              <w:rPr>
                <w:sz w:val="10"/>
                <w:szCs w:val="10"/>
                <w:color w:val="auto"/>
              </w:rPr>
            </w:pPr>
          </w:p>
        </w:tc>
        <w:tc>
          <w:tcPr>
            <w:tcW w:w="1560" w:type="dxa"/>
            <w:vAlign w:val="bottom"/>
            <w:tcBorders>
              <w:right w:val="single" w:sz="8" w:color="auto"/>
            </w:tcBorders>
            <w:vMerge w:val="continue"/>
            <w:shd w:val="clear" w:color="auto" w:fill="0075C9"/>
          </w:tcPr>
          <w:p>
            <w:pPr>
              <w:spacing w:after="0"/>
              <w:rPr>
                <w:sz w:val="10"/>
                <w:szCs w:val="10"/>
                <w:color w:val="auto"/>
              </w:rPr>
            </w:pPr>
          </w:p>
        </w:tc>
        <w:tc>
          <w:tcPr>
            <w:tcW w:w="940" w:type="dxa"/>
            <w:vAlign w:val="bottom"/>
            <w:tcBorders>
              <w:right w:val="single" w:sz="8" w:color="auto"/>
            </w:tcBorders>
            <w:vMerge w:val="restart"/>
            <w:shd w:val="clear" w:color="auto" w:fill="0075C9"/>
          </w:tcPr>
          <w:p>
            <w:pPr>
              <w:ind w:left="140"/>
              <w:spacing w:after="0"/>
              <w:rPr>
                <w:sz w:val="20"/>
                <w:szCs w:val="20"/>
                <w:color w:val="auto"/>
              </w:rPr>
            </w:pPr>
            <w:r>
              <w:rPr>
                <w:rFonts w:ascii="Arial" w:cs="Arial" w:eastAsia="Arial" w:hAnsi="Arial"/>
                <w:sz w:val="16"/>
                <w:szCs w:val="16"/>
                <w:color w:val="FFFFFF"/>
              </w:rPr>
              <w:t>Multiplier</w:t>
            </w:r>
          </w:p>
        </w:tc>
        <w:tc>
          <w:tcPr>
            <w:tcW w:w="0" w:type="dxa"/>
            <w:vAlign w:val="bottom"/>
          </w:tcPr>
          <w:p>
            <w:pPr>
              <w:spacing w:after="0"/>
              <w:rPr>
                <w:sz w:val="1"/>
                <w:szCs w:val="1"/>
                <w:color w:val="auto"/>
              </w:rPr>
            </w:pPr>
          </w:p>
        </w:tc>
      </w:tr>
      <w:tr>
        <w:trPr>
          <w:trHeight w:val="95"/>
        </w:trPr>
        <w:tc>
          <w:tcPr>
            <w:tcW w:w="5300" w:type="dxa"/>
            <w:vAlign w:val="bottom"/>
            <w:tcBorders>
              <w:left w:val="single" w:sz="8" w:color="auto"/>
              <w:right w:val="single" w:sz="8" w:color="auto"/>
            </w:tcBorders>
            <w:shd w:val="clear" w:color="auto" w:fill="0075C9"/>
          </w:tcPr>
          <w:p>
            <w:pPr>
              <w:spacing w:after="0"/>
              <w:rPr>
                <w:sz w:val="8"/>
                <w:szCs w:val="8"/>
                <w:color w:val="auto"/>
              </w:rPr>
            </w:pPr>
          </w:p>
        </w:tc>
        <w:tc>
          <w:tcPr>
            <w:tcW w:w="80" w:type="dxa"/>
            <w:vAlign w:val="bottom"/>
            <w:shd w:val="clear" w:color="auto" w:fill="0075C9"/>
          </w:tcPr>
          <w:p>
            <w:pPr>
              <w:spacing w:after="0"/>
              <w:rPr>
                <w:sz w:val="8"/>
                <w:szCs w:val="8"/>
                <w:color w:val="auto"/>
              </w:rPr>
            </w:pPr>
          </w:p>
        </w:tc>
        <w:tc>
          <w:tcPr>
            <w:tcW w:w="580" w:type="dxa"/>
            <w:vAlign w:val="bottom"/>
            <w:tcBorders>
              <w:right w:val="single" w:sz="8" w:color="auto"/>
            </w:tcBorders>
            <w:shd w:val="clear" w:color="auto" w:fill="0075C9"/>
          </w:tcPr>
          <w:p>
            <w:pPr>
              <w:spacing w:after="0"/>
              <w:rPr>
                <w:sz w:val="8"/>
                <w:szCs w:val="8"/>
                <w:color w:val="auto"/>
              </w:rPr>
            </w:pPr>
          </w:p>
        </w:tc>
        <w:tc>
          <w:tcPr>
            <w:tcW w:w="940" w:type="dxa"/>
            <w:vAlign w:val="bottom"/>
            <w:tcBorders>
              <w:right w:val="single" w:sz="8" w:color="auto"/>
            </w:tcBorders>
            <w:shd w:val="clear" w:color="auto" w:fill="0075C9"/>
          </w:tcPr>
          <w:p>
            <w:pPr>
              <w:spacing w:after="0"/>
              <w:rPr>
                <w:sz w:val="8"/>
                <w:szCs w:val="8"/>
                <w:color w:val="auto"/>
              </w:rPr>
            </w:pPr>
          </w:p>
        </w:tc>
        <w:tc>
          <w:tcPr>
            <w:tcW w:w="120" w:type="dxa"/>
            <w:vAlign w:val="bottom"/>
            <w:shd w:val="clear" w:color="auto" w:fill="0075C9"/>
          </w:tcPr>
          <w:p>
            <w:pPr>
              <w:spacing w:after="0"/>
              <w:rPr>
                <w:sz w:val="8"/>
                <w:szCs w:val="8"/>
                <w:color w:val="auto"/>
              </w:rPr>
            </w:pPr>
          </w:p>
        </w:tc>
        <w:tc>
          <w:tcPr>
            <w:tcW w:w="720" w:type="dxa"/>
            <w:vAlign w:val="bottom"/>
            <w:tcBorders>
              <w:right w:val="single" w:sz="8" w:color="auto"/>
            </w:tcBorders>
            <w:shd w:val="clear" w:color="auto" w:fill="0075C9"/>
          </w:tcPr>
          <w:p>
            <w:pPr>
              <w:spacing w:after="0"/>
              <w:rPr>
                <w:sz w:val="8"/>
                <w:szCs w:val="8"/>
                <w:color w:val="auto"/>
              </w:rPr>
            </w:pPr>
          </w:p>
        </w:tc>
        <w:tc>
          <w:tcPr>
            <w:tcW w:w="800" w:type="dxa"/>
            <w:vAlign w:val="bottom"/>
            <w:tcBorders>
              <w:right w:val="single" w:sz="8" w:color="auto"/>
            </w:tcBorders>
            <w:shd w:val="clear" w:color="auto" w:fill="0075C9"/>
          </w:tcPr>
          <w:p>
            <w:pPr>
              <w:spacing w:after="0"/>
              <w:rPr>
                <w:sz w:val="8"/>
                <w:szCs w:val="8"/>
                <w:color w:val="auto"/>
              </w:rPr>
            </w:pPr>
          </w:p>
        </w:tc>
        <w:tc>
          <w:tcPr>
            <w:tcW w:w="1560" w:type="dxa"/>
            <w:vAlign w:val="bottom"/>
            <w:tcBorders>
              <w:right w:val="single" w:sz="8" w:color="auto"/>
            </w:tcBorders>
            <w:shd w:val="clear" w:color="auto" w:fill="0075C9"/>
          </w:tcPr>
          <w:p>
            <w:pPr>
              <w:spacing w:after="0"/>
              <w:rPr>
                <w:sz w:val="8"/>
                <w:szCs w:val="8"/>
                <w:color w:val="auto"/>
              </w:rPr>
            </w:pPr>
          </w:p>
        </w:tc>
        <w:tc>
          <w:tcPr>
            <w:tcW w:w="940" w:type="dxa"/>
            <w:vAlign w:val="bottom"/>
            <w:tcBorders>
              <w:right w:val="single" w:sz="8" w:color="auto"/>
            </w:tcBorders>
            <w:vMerge w:val="continue"/>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5300" w:type="dxa"/>
            <w:vAlign w:val="bottom"/>
            <w:tcBorders>
              <w:left w:val="single" w:sz="8" w:color="auto"/>
              <w:bottom w:val="single" w:sz="8" w:color="auto"/>
              <w:right w:val="single" w:sz="8" w:color="auto"/>
            </w:tcBorders>
            <w:shd w:val="clear" w:color="auto" w:fill="0075C9"/>
          </w:tcPr>
          <w:p>
            <w:pPr>
              <w:spacing w:after="0"/>
              <w:rPr>
                <w:sz w:val="6"/>
                <w:szCs w:val="6"/>
                <w:color w:val="auto"/>
              </w:rPr>
            </w:pPr>
          </w:p>
        </w:tc>
        <w:tc>
          <w:tcPr>
            <w:tcW w:w="80" w:type="dxa"/>
            <w:vAlign w:val="bottom"/>
            <w:tcBorders>
              <w:bottom w:val="single" w:sz="8" w:color="auto"/>
            </w:tcBorders>
            <w:shd w:val="clear" w:color="auto" w:fill="0075C9"/>
          </w:tcPr>
          <w:p>
            <w:pPr>
              <w:spacing w:after="0"/>
              <w:rPr>
                <w:sz w:val="6"/>
                <w:szCs w:val="6"/>
                <w:color w:val="auto"/>
              </w:rPr>
            </w:pPr>
          </w:p>
        </w:tc>
        <w:tc>
          <w:tcPr>
            <w:tcW w:w="580" w:type="dxa"/>
            <w:vAlign w:val="bottom"/>
            <w:tcBorders>
              <w:bottom w:val="single" w:sz="8" w:color="auto"/>
              <w:right w:val="single" w:sz="8" w:color="auto"/>
            </w:tcBorders>
            <w:shd w:val="clear" w:color="auto" w:fill="0075C9"/>
          </w:tcPr>
          <w:p>
            <w:pPr>
              <w:spacing w:after="0"/>
              <w:rPr>
                <w:sz w:val="6"/>
                <w:szCs w:val="6"/>
                <w:color w:val="auto"/>
              </w:rPr>
            </w:pPr>
          </w:p>
        </w:tc>
        <w:tc>
          <w:tcPr>
            <w:tcW w:w="940" w:type="dxa"/>
            <w:vAlign w:val="bottom"/>
            <w:tcBorders>
              <w:bottom w:val="single" w:sz="8" w:color="auto"/>
              <w:right w:val="single" w:sz="8" w:color="auto"/>
            </w:tcBorders>
            <w:shd w:val="clear" w:color="auto" w:fill="0075C9"/>
          </w:tcPr>
          <w:p>
            <w:pPr>
              <w:spacing w:after="0"/>
              <w:rPr>
                <w:sz w:val="6"/>
                <w:szCs w:val="6"/>
                <w:color w:val="auto"/>
              </w:rPr>
            </w:pPr>
          </w:p>
        </w:tc>
        <w:tc>
          <w:tcPr>
            <w:tcW w:w="120" w:type="dxa"/>
            <w:vAlign w:val="bottom"/>
            <w:tcBorders>
              <w:bottom w:val="single" w:sz="8" w:color="auto"/>
            </w:tcBorders>
            <w:shd w:val="clear" w:color="auto" w:fill="0075C9"/>
          </w:tcPr>
          <w:p>
            <w:pPr>
              <w:spacing w:after="0"/>
              <w:rPr>
                <w:sz w:val="6"/>
                <w:szCs w:val="6"/>
                <w:color w:val="auto"/>
              </w:rPr>
            </w:pPr>
          </w:p>
        </w:tc>
        <w:tc>
          <w:tcPr>
            <w:tcW w:w="720" w:type="dxa"/>
            <w:vAlign w:val="bottom"/>
            <w:tcBorders>
              <w:bottom w:val="single" w:sz="8" w:color="auto"/>
              <w:right w:val="single" w:sz="8" w:color="auto"/>
            </w:tcBorders>
            <w:shd w:val="clear" w:color="auto" w:fill="0075C9"/>
          </w:tcPr>
          <w:p>
            <w:pPr>
              <w:spacing w:after="0"/>
              <w:rPr>
                <w:sz w:val="6"/>
                <w:szCs w:val="6"/>
                <w:color w:val="auto"/>
              </w:rPr>
            </w:pPr>
          </w:p>
        </w:tc>
        <w:tc>
          <w:tcPr>
            <w:tcW w:w="800" w:type="dxa"/>
            <w:vAlign w:val="bottom"/>
            <w:tcBorders>
              <w:bottom w:val="single" w:sz="8" w:color="auto"/>
              <w:right w:val="single" w:sz="8" w:color="auto"/>
            </w:tcBorders>
            <w:shd w:val="clear" w:color="auto" w:fill="0075C9"/>
          </w:tcPr>
          <w:p>
            <w:pPr>
              <w:spacing w:after="0"/>
              <w:rPr>
                <w:sz w:val="6"/>
                <w:szCs w:val="6"/>
                <w:color w:val="auto"/>
              </w:rPr>
            </w:pPr>
          </w:p>
        </w:tc>
        <w:tc>
          <w:tcPr>
            <w:tcW w:w="1560" w:type="dxa"/>
            <w:vAlign w:val="bottom"/>
            <w:tcBorders>
              <w:bottom w:val="single" w:sz="8" w:color="auto"/>
              <w:right w:val="single" w:sz="8" w:color="auto"/>
            </w:tcBorders>
            <w:shd w:val="clear" w:color="auto" w:fill="0075C9"/>
          </w:tcPr>
          <w:p>
            <w:pPr>
              <w:spacing w:after="0"/>
              <w:rPr>
                <w:sz w:val="6"/>
                <w:szCs w:val="6"/>
                <w:color w:val="auto"/>
              </w:rPr>
            </w:pPr>
          </w:p>
        </w:tc>
        <w:tc>
          <w:tcPr>
            <w:tcW w:w="940" w:type="dxa"/>
            <w:vAlign w:val="bottom"/>
            <w:tcBorders>
              <w:bottom w:val="single" w:sz="8" w:color="auto"/>
              <w:right w:val="single" w:sz="8" w:color="auto"/>
            </w:tcBorders>
            <w:shd w:val="clear" w:color="auto" w:fill="0075C9"/>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300" w:type="dxa"/>
            <w:vAlign w:val="bottom"/>
            <w:tcBorders>
              <w:left w:val="single" w:sz="8" w:color="auto"/>
              <w:bottom w:val="single" w:sz="8" w:color="auto"/>
              <w:right w:val="single" w:sz="8" w:color="B2D5EE"/>
            </w:tcBorders>
            <w:shd w:val="clear" w:color="auto" w:fill="B2D5EE"/>
          </w:tcPr>
          <w:p>
            <w:pPr>
              <w:ind w:left="160"/>
              <w:spacing w:after="0" w:line="183" w:lineRule="exact"/>
              <w:rPr>
                <w:sz w:val="20"/>
                <w:szCs w:val="20"/>
                <w:color w:val="auto"/>
              </w:rPr>
            </w:pPr>
            <w:r>
              <w:rPr>
                <w:rFonts w:ascii="Arial" w:cs="Arial" w:eastAsia="Arial" w:hAnsi="Arial"/>
                <w:sz w:val="16"/>
                <w:szCs w:val="16"/>
                <w:b w:val="1"/>
                <w:bCs w:val="1"/>
                <w:color w:val="auto"/>
              </w:rPr>
              <w:t>Financial Performance</w:t>
            </w:r>
          </w:p>
        </w:tc>
        <w:tc>
          <w:tcPr>
            <w:tcW w:w="80" w:type="dxa"/>
            <w:vAlign w:val="bottom"/>
            <w:tcBorders>
              <w:bottom w:val="single" w:sz="8" w:color="auto"/>
            </w:tcBorders>
            <w:shd w:val="clear" w:color="auto" w:fill="B2D5EE"/>
          </w:tcPr>
          <w:p>
            <w:pPr>
              <w:spacing w:after="0"/>
              <w:rPr>
                <w:sz w:val="15"/>
                <w:szCs w:val="15"/>
                <w:color w:val="auto"/>
              </w:rPr>
            </w:pPr>
          </w:p>
        </w:tc>
        <w:tc>
          <w:tcPr>
            <w:tcW w:w="580" w:type="dxa"/>
            <w:vAlign w:val="bottom"/>
            <w:tcBorders>
              <w:bottom w:val="single" w:sz="8" w:color="auto"/>
              <w:right w:val="single" w:sz="8" w:color="B2D5EE"/>
            </w:tcBorders>
            <w:shd w:val="clear" w:color="auto" w:fill="B2D5EE"/>
          </w:tcPr>
          <w:p>
            <w:pPr>
              <w:spacing w:after="0"/>
              <w:rPr>
                <w:sz w:val="15"/>
                <w:szCs w:val="15"/>
                <w:color w:val="auto"/>
              </w:rPr>
            </w:pPr>
          </w:p>
        </w:tc>
        <w:tc>
          <w:tcPr>
            <w:tcW w:w="940" w:type="dxa"/>
            <w:vAlign w:val="bottom"/>
            <w:tcBorders>
              <w:bottom w:val="single" w:sz="8" w:color="auto"/>
              <w:right w:val="single" w:sz="8" w:color="B2D5EE"/>
            </w:tcBorders>
            <w:shd w:val="clear" w:color="auto" w:fill="B2D5EE"/>
          </w:tcPr>
          <w:p>
            <w:pPr>
              <w:spacing w:after="0"/>
              <w:rPr>
                <w:sz w:val="15"/>
                <w:szCs w:val="15"/>
                <w:color w:val="auto"/>
              </w:rPr>
            </w:pPr>
          </w:p>
        </w:tc>
        <w:tc>
          <w:tcPr>
            <w:tcW w:w="120" w:type="dxa"/>
            <w:vAlign w:val="bottom"/>
            <w:tcBorders>
              <w:bottom w:val="single" w:sz="8" w:color="auto"/>
            </w:tcBorders>
            <w:shd w:val="clear" w:color="auto" w:fill="B2D5EE"/>
          </w:tcPr>
          <w:p>
            <w:pPr>
              <w:spacing w:after="0"/>
              <w:rPr>
                <w:sz w:val="15"/>
                <w:szCs w:val="15"/>
                <w:color w:val="auto"/>
              </w:rPr>
            </w:pPr>
          </w:p>
        </w:tc>
        <w:tc>
          <w:tcPr>
            <w:tcW w:w="720" w:type="dxa"/>
            <w:vAlign w:val="bottom"/>
            <w:tcBorders>
              <w:bottom w:val="single" w:sz="8" w:color="auto"/>
              <w:right w:val="single" w:sz="8" w:color="B2D5EE"/>
            </w:tcBorders>
            <w:shd w:val="clear" w:color="auto" w:fill="B2D5EE"/>
          </w:tcPr>
          <w:p>
            <w:pPr>
              <w:spacing w:after="0"/>
              <w:rPr>
                <w:sz w:val="15"/>
                <w:szCs w:val="15"/>
                <w:color w:val="auto"/>
              </w:rPr>
            </w:pPr>
          </w:p>
        </w:tc>
        <w:tc>
          <w:tcPr>
            <w:tcW w:w="800" w:type="dxa"/>
            <w:vAlign w:val="bottom"/>
            <w:tcBorders>
              <w:bottom w:val="single" w:sz="8" w:color="auto"/>
              <w:right w:val="single" w:sz="8" w:color="B2D5EE"/>
            </w:tcBorders>
            <w:shd w:val="clear" w:color="auto" w:fill="B2D5EE"/>
          </w:tcPr>
          <w:p>
            <w:pPr>
              <w:spacing w:after="0"/>
              <w:rPr>
                <w:sz w:val="15"/>
                <w:szCs w:val="15"/>
                <w:color w:val="auto"/>
              </w:rPr>
            </w:pPr>
          </w:p>
        </w:tc>
        <w:tc>
          <w:tcPr>
            <w:tcW w:w="1560" w:type="dxa"/>
            <w:vAlign w:val="bottom"/>
            <w:tcBorders>
              <w:bottom w:val="single" w:sz="8" w:color="auto"/>
              <w:right w:val="single" w:sz="8" w:color="B2D5EE"/>
            </w:tcBorders>
            <w:shd w:val="clear" w:color="auto" w:fill="B2D5EE"/>
          </w:tcPr>
          <w:p>
            <w:pPr>
              <w:spacing w:after="0"/>
              <w:rPr>
                <w:sz w:val="15"/>
                <w:szCs w:val="15"/>
                <w:color w:val="auto"/>
              </w:rPr>
            </w:pPr>
          </w:p>
        </w:tc>
        <w:tc>
          <w:tcPr>
            <w:tcW w:w="940" w:type="dxa"/>
            <w:vAlign w:val="bottom"/>
            <w:tcBorders>
              <w:bottom w:val="single" w:sz="8" w:color="auto"/>
              <w:right w:val="single" w:sz="8" w:color="auto"/>
            </w:tcBorders>
            <w:shd w:val="clear" w:color="auto" w:fill="B2D5E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left w:val="single" w:sz="8" w:color="auto"/>
              <w:bottom w:val="single" w:sz="8" w:color="auto"/>
              <w:right w:val="single" w:sz="8" w:color="auto"/>
            </w:tcBorders>
            <w:shd w:val="clear" w:color="auto" w:fill="E5F1F9"/>
          </w:tcPr>
          <w:p>
            <w:pPr>
              <w:ind w:left="160"/>
              <w:spacing w:after="0" w:line="183" w:lineRule="exact"/>
              <w:rPr>
                <w:sz w:val="20"/>
                <w:szCs w:val="20"/>
                <w:color w:val="auto"/>
              </w:rPr>
            </w:pPr>
            <w:r>
              <w:rPr>
                <w:rFonts w:ascii="Arial" w:cs="Arial" w:eastAsia="Arial" w:hAnsi="Arial"/>
                <w:sz w:val="16"/>
                <w:szCs w:val="16"/>
                <w:color w:val="auto"/>
              </w:rPr>
              <w:t>Revenue</w:t>
            </w:r>
          </w:p>
        </w:tc>
        <w:tc>
          <w:tcPr>
            <w:tcW w:w="660" w:type="dxa"/>
            <w:vAlign w:val="bottom"/>
            <w:tcBorders>
              <w:bottom w:val="single" w:sz="8" w:color="auto"/>
              <w:right w:val="single" w:sz="8" w:color="auto"/>
            </w:tcBorders>
            <w:gridSpan w:val="2"/>
            <w:shd w:val="clear" w:color="auto" w:fill="E5F1F9"/>
          </w:tcPr>
          <w:p>
            <w:pPr>
              <w:jc w:val="center"/>
              <w:spacing w:after="0" w:line="183" w:lineRule="exact"/>
              <w:rPr>
                <w:sz w:val="20"/>
                <w:szCs w:val="20"/>
                <w:color w:val="auto"/>
              </w:rPr>
            </w:pPr>
            <w:r>
              <w:rPr>
                <w:rFonts w:ascii="Arial" w:cs="Arial" w:eastAsia="Arial" w:hAnsi="Arial"/>
                <w:sz w:val="16"/>
                <w:szCs w:val="16"/>
                <w:color w:val="auto"/>
                <w:w w:val="99"/>
              </w:rPr>
              <w:t>10%</w:t>
            </w:r>
          </w:p>
        </w:tc>
        <w:tc>
          <w:tcPr>
            <w:tcW w:w="94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w w:val="99"/>
              </w:rPr>
              <w:t>$8,637M</w:t>
            </w:r>
          </w:p>
        </w:tc>
        <w:tc>
          <w:tcPr>
            <w:tcW w:w="120" w:type="dxa"/>
            <w:vAlign w:val="bottom"/>
            <w:tcBorders>
              <w:bottom w:val="single" w:sz="8" w:color="auto"/>
            </w:tcBorders>
            <w:shd w:val="clear" w:color="auto" w:fill="E5F1F9"/>
          </w:tcPr>
          <w:p>
            <w:pPr>
              <w:spacing w:after="0"/>
              <w:rPr>
                <w:sz w:val="15"/>
                <w:szCs w:val="15"/>
                <w:color w:val="auto"/>
              </w:rPr>
            </w:pPr>
          </w:p>
        </w:tc>
        <w:tc>
          <w:tcPr>
            <w:tcW w:w="72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w w:val="99"/>
              </w:rPr>
              <w:t>$9,188M</w:t>
            </w:r>
          </w:p>
        </w:tc>
        <w:tc>
          <w:tcPr>
            <w:tcW w:w="80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w w:val="99"/>
              </w:rPr>
              <w:t>$9,647M</w:t>
            </w:r>
          </w:p>
        </w:tc>
        <w:tc>
          <w:tcPr>
            <w:tcW w:w="1560" w:type="dxa"/>
            <w:vAlign w:val="bottom"/>
            <w:tcBorders>
              <w:bottom w:val="single" w:sz="8" w:color="auto"/>
              <w:right w:val="single" w:sz="8" w:color="auto"/>
            </w:tcBorders>
            <w:shd w:val="clear" w:color="auto" w:fill="E5F1F9"/>
          </w:tcPr>
          <w:p>
            <w:pPr>
              <w:jc w:val="center"/>
              <w:ind w:left="62"/>
              <w:spacing w:after="0" w:line="183" w:lineRule="exact"/>
              <w:rPr>
                <w:sz w:val="20"/>
                <w:szCs w:val="20"/>
                <w:color w:val="auto"/>
              </w:rPr>
            </w:pPr>
            <w:r>
              <w:rPr>
                <w:rFonts w:ascii="Arial" w:cs="Arial" w:eastAsia="Arial" w:hAnsi="Arial"/>
                <w:sz w:val="14"/>
                <w:szCs w:val="14"/>
                <w:color w:val="auto"/>
              </w:rPr>
              <w:t>$9,775M</w:t>
            </w:r>
            <w:r>
              <w:rPr>
                <w:rFonts w:ascii="Arial" w:cs="Arial" w:eastAsia="Arial" w:hAnsi="Arial"/>
                <w:sz w:val="21"/>
                <w:szCs w:val="21"/>
                <w:color w:val="auto"/>
                <w:vertAlign w:val="superscript"/>
              </w:rPr>
              <w:t>(1)</w:t>
            </w:r>
          </w:p>
        </w:tc>
        <w:tc>
          <w:tcPr>
            <w:tcW w:w="94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3"/>
        </w:trPr>
        <w:tc>
          <w:tcPr>
            <w:tcW w:w="5300" w:type="dxa"/>
            <w:vAlign w:val="bottom"/>
            <w:tcBorders>
              <w:left w:val="single" w:sz="8" w:color="auto"/>
              <w:bottom w:val="single" w:sz="8" w:color="auto"/>
              <w:right w:val="single" w:sz="8" w:color="auto"/>
            </w:tcBorders>
            <w:shd w:val="clear" w:color="auto" w:fill="E5F1F9"/>
          </w:tcPr>
          <w:p>
            <w:pPr>
              <w:ind w:left="160"/>
              <w:spacing w:after="0" w:line="183" w:lineRule="exact"/>
              <w:rPr>
                <w:sz w:val="20"/>
                <w:szCs w:val="20"/>
                <w:color w:val="auto"/>
              </w:rPr>
            </w:pPr>
            <w:r>
              <w:rPr>
                <w:rFonts w:ascii="Arial" w:cs="Arial" w:eastAsia="Arial" w:hAnsi="Arial"/>
                <w:sz w:val="16"/>
                <w:szCs w:val="16"/>
                <w:color w:val="auto"/>
              </w:rPr>
              <w:t>Growth Revenue</w:t>
            </w:r>
          </w:p>
        </w:tc>
        <w:tc>
          <w:tcPr>
            <w:tcW w:w="80" w:type="dxa"/>
            <w:vAlign w:val="bottom"/>
            <w:tcBorders>
              <w:bottom w:val="single" w:sz="8" w:color="auto"/>
            </w:tcBorders>
            <w:shd w:val="clear" w:color="auto" w:fill="E5F1F9"/>
          </w:tcPr>
          <w:p>
            <w:pPr>
              <w:spacing w:after="0"/>
              <w:rPr>
                <w:sz w:val="15"/>
                <w:szCs w:val="15"/>
                <w:color w:val="auto"/>
              </w:rPr>
            </w:pPr>
          </w:p>
        </w:tc>
        <w:tc>
          <w:tcPr>
            <w:tcW w:w="58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w w:val="99"/>
              </w:rPr>
              <w:t>25%</w:t>
            </w:r>
          </w:p>
        </w:tc>
        <w:tc>
          <w:tcPr>
            <w:tcW w:w="94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w w:val="99"/>
              </w:rPr>
              <w:t>$2,347M</w:t>
            </w:r>
          </w:p>
        </w:tc>
        <w:tc>
          <w:tcPr>
            <w:tcW w:w="120" w:type="dxa"/>
            <w:vAlign w:val="bottom"/>
            <w:tcBorders>
              <w:bottom w:val="single" w:sz="8" w:color="auto"/>
            </w:tcBorders>
            <w:shd w:val="clear" w:color="auto" w:fill="E5F1F9"/>
          </w:tcPr>
          <w:p>
            <w:pPr>
              <w:spacing w:after="0"/>
              <w:rPr>
                <w:sz w:val="15"/>
                <w:szCs w:val="15"/>
                <w:color w:val="auto"/>
              </w:rPr>
            </w:pPr>
          </w:p>
        </w:tc>
        <w:tc>
          <w:tcPr>
            <w:tcW w:w="72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w w:val="99"/>
              </w:rPr>
              <w:t>$2,551M</w:t>
            </w:r>
          </w:p>
        </w:tc>
        <w:tc>
          <w:tcPr>
            <w:tcW w:w="80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w w:val="99"/>
              </w:rPr>
              <w:t>$2,653M</w:t>
            </w:r>
          </w:p>
        </w:tc>
        <w:tc>
          <w:tcPr>
            <w:tcW w:w="1560" w:type="dxa"/>
            <w:vAlign w:val="bottom"/>
            <w:tcBorders>
              <w:bottom w:val="single" w:sz="8" w:color="auto"/>
              <w:right w:val="single" w:sz="8" w:color="auto"/>
            </w:tcBorders>
            <w:shd w:val="clear" w:color="auto" w:fill="E5F1F9"/>
          </w:tcPr>
          <w:p>
            <w:pPr>
              <w:jc w:val="center"/>
              <w:ind w:left="62"/>
              <w:spacing w:after="0" w:line="183" w:lineRule="exact"/>
              <w:rPr>
                <w:sz w:val="20"/>
                <w:szCs w:val="20"/>
                <w:color w:val="auto"/>
              </w:rPr>
            </w:pPr>
            <w:r>
              <w:rPr>
                <w:rFonts w:ascii="Arial" w:cs="Arial" w:eastAsia="Arial" w:hAnsi="Arial"/>
                <w:sz w:val="16"/>
                <w:szCs w:val="16"/>
                <w:color w:val="auto"/>
                <w:w w:val="99"/>
              </w:rPr>
              <w:t>$2,411M</w:t>
            </w:r>
          </w:p>
        </w:tc>
        <w:tc>
          <w:tcPr>
            <w:tcW w:w="94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w w:val="99"/>
              </w:rPr>
              <w:t>75%</w:t>
            </w:r>
          </w:p>
        </w:tc>
        <w:tc>
          <w:tcPr>
            <w:tcW w:w="0" w:type="dxa"/>
            <w:vAlign w:val="bottom"/>
          </w:tcPr>
          <w:p>
            <w:pPr>
              <w:spacing w:after="0"/>
              <w:rPr>
                <w:sz w:val="1"/>
                <w:szCs w:val="1"/>
                <w:color w:val="auto"/>
              </w:rPr>
            </w:pPr>
          </w:p>
        </w:tc>
      </w:tr>
      <w:tr>
        <w:trPr>
          <w:trHeight w:val="183"/>
        </w:trPr>
        <w:tc>
          <w:tcPr>
            <w:tcW w:w="5300" w:type="dxa"/>
            <w:vAlign w:val="bottom"/>
            <w:tcBorders>
              <w:left w:val="single" w:sz="8" w:color="auto"/>
              <w:bottom w:val="single" w:sz="8" w:color="auto"/>
              <w:right w:val="single" w:sz="8" w:color="auto"/>
            </w:tcBorders>
            <w:shd w:val="clear" w:color="auto" w:fill="E5F1F9"/>
          </w:tcPr>
          <w:p>
            <w:pPr>
              <w:ind w:left="160"/>
              <w:spacing w:after="0" w:line="183" w:lineRule="exact"/>
              <w:rPr>
                <w:sz w:val="20"/>
                <w:szCs w:val="20"/>
                <w:color w:val="auto"/>
              </w:rPr>
            </w:pPr>
            <w:r>
              <w:rPr>
                <w:rFonts w:ascii="Arial" w:cs="Arial" w:eastAsia="Arial" w:hAnsi="Arial"/>
                <w:sz w:val="16"/>
                <w:szCs w:val="16"/>
                <w:color w:val="auto"/>
              </w:rPr>
              <w:t>Non-GAAP Diluted Earnings Per Share**</w:t>
            </w:r>
          </w:p>
        </w:tc>
        <w:tc>
          <w:tcPr>
            <w:tcW w:w="80" w:type="dxa"/>
            <w:vAlign w:val="bottom"/>
            <w:tcBorders>
              <w:bottom w:val="single" w:sz="8" w:color="auto"/>
            </w:tcBorders>
            <w:shd w:val="clear" w:color="auto" w:fill="E5F1F9"/>
          </w:tcPr>
          <w:p>
            <w:pPr>
              <w:spacing w:after="0"/>
              <w:rPr>
                <w:sz w:val="15"/>
                <w:szCs w:val="15"/>
                <w:color w:val="auto"/>
              </w:rPr>
            </w:pPr>
          </w:p>
        </w:tc>
        <w:tc>
          <w:tcPr>
            <w:tcW w:w="58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w w:val="99"/>
              </w:rPr>
              <w:t>35%</w:t>
            </w:r>
          </w:p>
        </w:tc>
        <w:tc>
          <w:tcPr>
            <w:tcW w:w="94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rPr>
              <w:t>$13.75</w:t>
            </w:r>
          </w:p>
        </w:tc>
        <w:tc>
          <w:tcPr>
            <w:tcW w:w="120" w:type="dxa"/>
            <w:vAlign w:val="bottom"/>
            <w:tcBorders>
              <w:bottom w:val="single" w:sz="8" w:color="auto"/>
            </w:tcBorders>
            <w:shd w:val="clear" w:color="auto" w:fill="E5F1F9"/>
          </w:tcPr>
          <w:p>
            <w:pPr>
              <w:spacing w:after="0"/>
              <w:rPr>
                <w:sz w:val="15"/>
                <w:szCs w:val="15"/>
                <w:color w:val="auto"/>
              </w:rPr>
            </w:pPr>
          </w:p>
        </w:tc>
        <w:tc>
          <w:tcPr>
            <w:tcW w:w="72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rPr>
              <w:t>$15.75</w:t>
            </w:r>
          </w:p>
        </w:tc>
        <w:tc>
          <w:tcPr>
            <w:tcW w:w="80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rPr>
              <w:t>$17.04</w:t>
            </w:r>
          </w:p>
        </w:tc>
        <w:tc>
          <w:tcPr>
            <w:tcW w:w="1560" w:type="dxa"/>
            <w:vAlign w:val="bottom"/>
            <w:tcBorders>
              <w:bottom w:val="single" w:sz="8" w:color="auto"/>
              <w:right w:val="single" w:sz="8" w:color="auto"/>
            </w:tcBorders>
            <w:shd w:val="clear" w:color="auto" w:fill="E5F1F9"/>
          </w:tcPr>
          <w:p>
            <w:pPr>
              <w:jc w:val="center"/>
              <w:ind w:left="82"/>
              <w:spacing w:after="0" w:line="183" w:lineRule="exact"/>
              <w:rPr>
                <w:sz w:val="20"/>
                <w:szCs w:val="20"/>
                <w:color w:val="auto"/>
              </w:rPr>
            </w:pPr>
            <w:r>
              <w:rPr>
                <w:rFonts w:ascii="Arial" w:cs="Arial" w:eastAsia="Arial" w:hAnsi="Arial"/>
                <w:sz w:val="14"/>
                <w:szCs w:val="14"/>
                <w:color w:val="auto"/>
              </w:rPr>
              <w:t>$17.41</w:t>
            </w:r>
            <w:r>
              <w:rPr>
                <w:rFonts w:ascii="Arial" w:cs="Arial" w:eastAsia="Arial" w:hAnsi="Arial"/>
                <w:sz w:val="21"/>
                <w:szCs w:val="21"/>
                <w:color w:val="auto"/>
                <w:vertAlign w:val="superscript"/>
              </w:rPr>
              <w:t>(1)</w:t>
            </w:r>
          </w:p>
        </w:tc>
        <w:tc>
          <w:tcPr>
            <w:tcW w:w="940" w:type="dxa"/>
            <w:vAlign w:val="bottom"/>
            <w:tcBorders>
              <w:bottom w:val="single" w:sz="8" w:color="auto"/>
              <w:right w:val="single" w:sz="8" w:color="auto"/>
            </w:tcBorders>
            <w:shd w:val="clear" w:color="auto" w:fill="E5F1F9"/>
          </w:tcPr>
          <w:p>
            <w:pPr>
              <w:jc w:val="center"/>
              <w:spacing w:after="0" w:line="183"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3"/>
        </w:trPr>
        <w:tc>
          <w:tcPr>
            <w:tcW w:w="5300" w:type="dxa"/>
            <w:vAlign w:val="bottom"/>
            <w:tcBorders>
              <w:left w:val="single" w:sz="8" w:color="auto"/>
              <w:bottom w:val="single" w:sz="8" w:color="auto"/>
              <w:right w:val="single" w:sz="8" w:color="B2D5EE"/>
            </w:tcBorders>
            <w:shd w:val="clear" w:color="auto" w:fill="B2D5EE"/>
          </w:tcPr>
          <w:p>
            <w:pPr>
              <w:ind w:left="160"/>
              <w:spacing w:after="0" w:line="183" w:lineRule="exact"/>
              <w:rPr>
                <w:sz w:val="20"/>
                <w:szCs w:val="20"/>
                <w:color w:val="auto"/>
              </w:rPr>
            </w:pPr>
            <w:r>
              <w:rPr>
                <w:rFonts w:ascii="Arial" w:cs="Arial" w:eastAsia="Arial" w:hAnsi="Arial"/>
                <w:sz w:val="16"/>
                <w:szCs w:val="16"/>
                <w:b w:val="1"/>
                <w:bCs w:val="1"/>
                <w:color w:val="auto"/>
              </w:rPr>
              <w:t>Pipeline Development</w:t>
            </w:r>
          </w:p>
        </w:tc>
        <w:tc>
          <w:tcPr>
            <w:tcW w:w="80" w:type="dxa"/>
            <w:vAlign w:val="bottom"/>
            <w:tcBorders>
              <w:bottom w:val="single" w:sz="8" w:color="auto"/>
            </w:tcBorders>
            <w:shd w:val="clear" w:color="auto" w:fill="B2D5EE"/>
          </w:tcPr>
          <w:p>
            <w:pPr>
              <w:spacing w:after="0"/>
              <w:rPr>
                <w:sz w:val="15"/>
                <w:szCs w:val="15"/>
                <w:color w:val="auto"/>
              </w:rPr>
            </w:pPr>
          </w:p>
        </w:tc>
        <w:tc>
          <w:tcPr>
            <w:tcW w:w="580" w:type="dxa"/>
            <w:vAlign w:val="bottom"/>
            <w:tcBorders>
              <w:bottom w:val="single" w:sz="8" w:color="auto"/>
              <w:right w:val="single" w:sz="8" w:color="B2D5EE"/>
            </w:tcBorders>
            <w:shd w:val="clear" w:color="auto" w:fill="B2D5EE"/>
          </w:tcPr>
          <w:p>
            <w:pPr>
              <w:spacing w:after="0"/>
              <w:rPr>
                <w:sz w:val="15"/>
                <w:szCs w:val="15"/>
                <w:color w:val="auto"/>
              </w:rPr>
            </w:pPr>
          </w:p>
        </w:tc>
        <w:tc>
          <w:tcPr>
            <w:tcW w:w="940" w:type="dxa"/>
            <w:vAlign w:val="bottom"/>
            <w:tcBorders>
              <w:bottom w:val="single" w:sz="8" w:color="auto"/>
              <w:right w:val="single" w:sz="8" w:color="B2D5EE"/>
            </w:tcBorders>
            <w:shd w:val="clear" w:color="auto" w:fill="B2D5EE"/>
          </w:tcPr>
          <w:p>
            <w:pPr>
              <w:spacing w:after="0"/>
              <w:rPr>
                <w:sz w:val="15"/>
                <w:szCs w:val="15"/>
                <w:color w:val="auto"/>
              </w:rPr>
            </w:pPr>
          </w:p>
        </w:tc>
        <w:tc>
          <w:tcPr>
            <w:tcW w:w="120" w:type="dxa"/>
            <w:vAlign w:val="bottom"/>
            <w:tcBorders>
              <w:bottom w:val="single" w:sz="8" w:color="auto"/>
            </w:tcBorders>
            <w:shd w:val="clear" w:color="auto" w:fill="B2D5EE"/>
          </w:tcPr>
          <w:p>
            <w:pPr>
              <w:spacing w:after="0"/>
              <w:rPr>
                <w:sz w:val="15"/>
                <w:szCs w:val="15"/>
                <w:color w:val="auto"/>
              </w:rPr>
            </w:pPr>
          </w:p>
        </w:tc>
        <w:tc>
          <w:tcPr>
            <w:tcW w:w="720" w:type="dxa"/>
            <w:vAlign w:val="bottom"/>
            <w:tcBorders>
              <w:bottom w:val="single" w:sz="8" w:color="auto"/>
              <w:right w:val="single" w:sz="8" w:color="B2D5EE"/>
            </w:tcBorders>
            <w:shd w:val="clear" w:color="auto" w:fill="B2D5EE"/>
          </w:tcPr>
          <w:p>
            <w:pPr>
              <w:spacing w:after="0"/>
              <w:rPr>
                <w:sz w:val="15"/>
                <w:szCs w:val="15"/>
                <w:color w:val="auto"/>
              </w:rPr>
            </w:pPr>
          </w:p>
        </w:tc>
        <w:tc>
          <w:tcPr>
            <w:tcW w:w="800" w:type="dxa"/>
            <w:vAlign w:val="bottom"/>
            <w:tcBorders>
              <w:bottom w:val="single" w:sz="8" w:color="auto"/>
              <w:right w:val="single" w:sz="8" w:color="B2D5EE"/>
            </w:tcBorders>
            <w:shd w:val="clear" w:color="auto" w:fill="B2D5EE"/>
          </w:tcPr>
          <w:p>
            <w:pPr>
              <w:spacing w:after="0"/>
              <w:rPr>
                <w:sz w:val="15"/>
                <w:szCs w:val="15"/>
                <w:color w:val="auto"/>
              </w:rPr>
            </w:pPr>
          </w:p>
        </w:tc>
        <w:tc>
          <w:tcPr>
            <w:tcW w:w="1560" w:type="dxa"/>
            <w:vAlign w:val="bottom"/>
            <w:tcBorders>
              <w:bottom w:val="single" w:sz="8" w:color="auto"/>
              <w:right w:val="single" w:sz="8" w:color="B2D5EE"/>
            </w:tcBorders>
            <w:shd w:val="clear" w:color="auto" w:fill="B2D5EE"/>
          </w:tcPr>
          <w:p>
            <w:pPr>
              <w:spacing w:after="0"/>
              <w:rPr>
                <w:sz w:val="15"/>
                <w:szCs w:val="15"/>
                <w:color w:val="auto"/>
              </w:rPr>
            </w:pPr>
          </w:p>
        </w:tc>
        <w:tc>
          <w:tcPr>
            <w:tcW w:w="940" w:type="dxa"/>
            <w:vAlign w:val="bottom"/>
            <w:tcBorders>
              <w:bottom w:val="single" w:sz="8" w:color="auto"/>
              <w:right w:val="single" w:sz="8" w:color="auto"/>
            </w:tcBorders>
            <w:shd w:val="clear" w:color="auto" w:fill="B2D5E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00" w:type="dxa"/>
            <w:vAlign w:val="bottom"/>
            <w:tcBorders>
              <w:left w:val="single" w:sz="8" w:color="auto"/>
              <w:right w:val="single" w:sz="8" w:color="auto"/>
            </w:tcBorders>
            <w:shd w:val="clear" w:color="auto" w:fill="E5F1F9"/>
          </w:tcPr>
          <w:p>
            <w:pPr>
              <w:ind w:left="160"/>
              <w:spacing w:after="0" w:line="178" w:lineRule="exact"/>
              <w:rPr>
                <w:sz w:val="20"/>
                <w:szCs w:val="20"/>
                <w:color w:val="auto"/>
              </w:rPr>
            </w:pPr>
            <w:r>
              <w:rPr>
                <w:rFonts w:ascii="Arial" w:cs="Arial" w:eastAsia="Arial" w:hAnsi="Arial"/>
                <w:sz w:val="16"/>
                <w:szCs w:val="16"/>
                <w:color w:val="auto"/>
              </w:rPr>
              <w:t>Build and Advance Total Pipeline:</w:t>
            </w:r>
          </w:p>
        </w:tc>
        <w:tc>
          <w:tcPr>
            <w:tcW w:w="80" w:type="dxa"/>
            <w:vAlign w:val="bottom"/>
            <w:shd w:val="clear" w:color="auto" w:fill="E5F1F9"/>
          </w:tcPr>
          <w:p>
            <w:pPr>
              <w:spacing w:after="0"/>
              <w:rPr>
                <w:sz w:val="15"/>
                <w:szCs w:val="15"/>
                <w:color w:val="auto"/>
              </w:rPr>
            </w:pPr>
          </w:p>
        </w:tc>
        <w:tc>
          <w:tcPr>
            <w:tcW w:w="580" w:type="dxa"/>
            <w:vAlign w:val="bottom"/>
            <w:tcBorders>
              <w:right w:val="single" w:sz="8" w:color="auto"/>
            </w:tcBorders>
            <w:shd w:val="clear" w:color="auto" w:fill="E5F1F9"/>
          </w:tcPr>
          <w:p>
            <w:pPr>
              <w:spacing w:after="0"/>
              <w:rPr>
                <w:sz w:val="15"/>
                <w:szCs w:val="15"/>
                <w:color w:val="auto"/>
              </w:rPr>
            </w:pPr>
          </w:p>
        </w:tc>
        <w:tc>
          <w:tcPr>
            <w:tcW w:w="940" w:type="dxa"/>
            <w:vAlign w:val="bottom"/>
            <w:tcBorders>
              <w:right w:val="single" w:sz="8" w:color="E5F1F9"/>
            </w:tcBorders>
            <w:shd w:val="clear" w:color="auto" w:fill="E5F1F9"/>
          </w:tcPr>
          <w:p>
            <w:pPr>
              <w:spacing w:after="0"/>
              <w:rPr>
                <w:sz w:val="15"/>
                <w:szCs w:val="15"/>
                <w:color w:val="auto"/>
              </w:rPr>
            </w:pPr>
          </w:p>
        </w:tc>
        <w:tc>
          <w:tcPr>
            <w:tcW w:w="120" w:type="dxa"/>
            <w:vAlign w:val="bottom"/>
            <w:shd w:val="clear" w:color="auto" w:fill="E5F1F9"/>
          </w:tcPr>
          <w:p>
            <w:pPr>
              <w:spacing w:after="0"/>
              <w:rPr>
                <w:sz w:val="15"/>
                <w:szCs w:val="15"/>
                <w:color w:val="auto"/>
              </w:rPr>
            </w:pPr>
          </w:p>
        </w:tc>
        <w:tc>
          <w:tcPr>
            <w:tcW w:w="720" w:type="dxa"/>
            <w:vAlign w:val="bottom"/>
            <w:tcBorders>
              <w:right w:val="single" w:sz="8" w:color="E5F1F9"/>
            </w:tcBorders>
            <w:shd w:val="clear" w:color="auto" w:fill="E5F1F9"/>
          </w:tcPr>
          <w:p>
            <w:pPr>
              <w:spacing w:after="0"/>
              <w:rPr>
                <w:sz w:val="15"/>
                <w:szCs w:val="15"/>
                <w:color w:val="auto"/>
              </w:rPr>
            </w:pPr>
          </w:p>
        </w:tc>
        <w:tc>
          <w:tcPr>
            <w:tcW w:w="800" w:type="dxa"/>
            <w:vAlign w:val="bottom"/>
            <w:tcBorders>
              <w:right w:val="single" w:sz="8" w:color="auto"/>
            </w:tcBorders>
            <w:shd w:val="clear" w:color="auto" w:fill="E5F1F9"/>
          </w:tcPr>
          <w:p>
            <w:pPr>
              <w:spacing w:after="0"/>
              <w:rPr>
                <w:sz w:val="15"/>
                <w:szCs w:val="15"/>
                <w:color w:val="auto"/>
              </w:rPr>
            </w:pPr>
          </w:p>
        </w:tc>
        <w:tc>
          <w:tcPr>
            <w:tcW w:w="1560" w:type="dxa"/>
            <w:vAlign w:val="bottom"/>
            <w:tcBorders>
              <w:right w:val="single" w:sz="8" w:color="auto"/>
            </w:tcBorders>
            <w:shd w:val="clear" w:color="auto" w:fill="E5F1F9"/>
          </w:tcPr>
          <w:p>
            <w:pPr>
              <w:spacing w:after="0"/>
              <w:rPr>
                <w:sz w:val="15"/>
                <w:szCs w:val="15"/>
                <w:color w:val="auto"/>
              </w:rPr>
            </w:pPr>
          </w:p>
        </w:tc>
        <w:tc>
          <w:tcPr>
            <w:tcW w:w="940" w:type="dxa"/>
            <w:vAlign w:val="bottom"/>
            <w:tcBorders>
              <w:right w:val="single" w:sz="8" w:color="auto"/>
            </w:tcBorders>
            <w:shd w:val="clear" w:color="auto" w:fill="E5F1F9"/>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00" w:type="dxa"/>
            <w:vAlign w:val="bottom"/>
            <w:tcBorders>
              <w:left w:val="single" w:sz="8" w:color="auto"/>
              <w:right w:val="single" w:sz="8" w:color="auto"/>
            </w:tcBorders>
            <w:shd w:val="clear" w:color="auto" w:fill="E5F1F9"/>
          </w:tcPr>
          <w:p>
            <w:pPr>
              <w:ind w:left="160"/>
              <w:spacing w:after="0"/>
              <w:rPr>
                <w:sz w:val="20"/>
                <w:szCs w:val="20"/>
                <w:color w:val="auto"/>
              </w:rPr>
            </w:pPr>
            <w:r>
              <w:rPr>
                <w:rFonts w:ascii="Arial" w:cs="Arial" w:eastAsia="Arial" w:hAnsi="Arial"/>
                <w:sz w:val="14"/>
                <w:szCs w:val="14"/>
                <w:color w:val="auto"/>
              </w:rPr>
              <w:t>  Improve pipeline value creation while maximizing the potential to deliver</w:t>
            </w:r>
          </w:p>
        </w:tc>
        <w:tc>
          <w:tcPr>
            <w:tcW w:w="660" w:type="dxa"/>
            <w:vAlign w:val="bottom"/>
            <w:tcBorders>
              <w:right w:val="single" w:sz="8" w:color="auto"/>
            </w:tcBorders>
            <w:gridSpan w:val="2"/>
            <w:shd w:val="clear" w:color="auto" w:fill="E5F1F9"/>
          </w:tcPr>
          <w:p>
            <w:pPr>
              <w:jc w:val="center"/>
              <w:spacing w:after="0"/>
              <w:rPr>
                <w:sz w:val="20"/>
                <w:szCs w:val="20"/>
                <w:color w:val="auto"/>
              </w:rPr>
            </w:pPr>
            <w:r>
              <w:rPr>
                <w:rFonts w:ascii="Arial" w:cs="Arial" w:eastAsia="Arial" w:hAnsi="Arial"/>
                <w:sz w:val="16"/>
                <w:szCs w:val="16"/>
                <w:color w:val="auto"/>
                <w:w w:val="99"/>
              </w:rPr>
              <w:t>25%</w:t>
            </w:r>
          </w:p>
        </w:tc>
        <w:tc>
          <w:tcPr>
            <w:tcW w:w="1060" w:type="dxa"/>
            <w:vAlign w:val="bottom"/>
            <w:gridSpan w:val="2"/>
            <w:shd w:val="clear" w:color="auto" w:fill="E5F1F9"/>
          </w:tcPr>
          <w:p>
            <w:pPr>
              <w:ind w:left="100"/>
              <w:spacing w:after="0"/>
              <w:rPr>
                <w:sz w:val="20"/>
                <w:szCs w:val="20"/>
                <w:color w:val="auto"/>
              </w:rPr>
            </w:pPr>
            <w:r>
              <w:rPr>
                <w:rFonts w:ascii="Arial" w:cs="Arial" w:eastAsia="Arial" w:hAnsi="Arial"/>
                <w:sz w:val="16"/>
                <w:szCs w:val="16"/>
                <w:color w:val="auto"/>
              </w:rPr>
              <w:t>Achievement</w:t>
            </w:r>
          </w:p>
        </w:tc>
        <w:tc>
          <w:tcPr>
            <w:tcW w:w="720" w:type="dxa"/>
            <w:vAlign w:val="bottom"/>
            <w:tcBorders>
              <w:right w:val="single" w:sz="8" w:color="E5F1F9"/>
            </w:tcBorders>
            <w:shd w:val="clear" w:color="auto" w:fill="E5F1F9"/>
          </w:tcPr>
          <w:p>
            <w:pPr>
              <w:spacing w:after="0"/>
              <w:rPr>
                <w:sz w:val="20"/>
                <w:szCs w:val="20"/>
                <w:color w:val="auto"/>
              </w:rPr>
            </w:pPr>
          </w:p>
        </w:tc>
        <w:tc>
          <w:tcPr>
            <w:tcW w:w="800" w:type="dxa"/>
            <w:vAlign w:val="bottom"/>
            <w:tcBorders>
              <w:right w:val="single" w:sz="8" w:color="auto"/>
            </w:tcBorders>
            <w:shd w:val="clear" w:color="auto" w:fill="E5F1F9"/>
          </w:tcPr>
          <w:p>
            <w:pPr>
              <w:spacing w:after="0"/>
              <w:rPr>
                <w:sz w:val="20"/>
                <w:szCs w:val="20"/>
                <w:color w:val="auto"/>
              </w:rPr>
            </w:pPr>
          </w:p>
        </w:tc>
        <w:tc>
          <w:tcPr>
            <w:tcW w:w="1560" w:type="dxa"/>
            <w:vAlign w:val="bottom"/>
            <w:tcBorders>
              <w:right w:val="single" w:sz="8" w:color="auto"/>
            </w:tcBorders>
            <w:shd w:val="clear" w:color="auto" w:fill="E5F1F9"/>
          </w:tcPr>
          <w:p>
            <w:pPr>
              <w:ind w:left="200"/>
              <w:spacing w:after="0" w:line="239" w:lineRule="exact"/>
              <w:rPr>
                <w:sz w:val="20"/>
                <w:szCs w:val="20"/>
                <w:color w:val="auto"/>
              </w:rPr>
            </w:pPr>
            <w:r>
              <w:rPr>
                <w:rFonts w:ascii="Arial" w:cs="Arial" w:eastAsia="Arial" w:hAnsi="Arial"/>
                <w:sz w:val="16"/>
                <w:szCs w:val="16"/>
                <w:color w:val="auto"/>
              </w:rPr>
              <w:t>Above Target</w:t>
            </w:r>
            <w:r>
              <w:rPr>
                <w:rFonts w:ascii="Arial" w:cs="Arial" w:eastAsia="Arial" w:hAnsi="Arial"/>
                <w:sz w:val="24"/>
                <w:szCs w:val="24"/>
                <w:color w:val="auto"/>
                <w:vertAlign w:val="superscript"/>
              </w:rPr>
              <w:t>(2)</w:t>
            </w:r>
          </w:p>
        </w:tc>
        <w:tc>
          <w:tcPr>
            <w:tcW w:w="94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5"/>
        </w:trPr>
        <w:tc>
          <w:tcPr>
            <w:tcW w:w="5300" w:type="dxa"/>
            <w:vAlign w:val="bottom"/>
            <w:tcBorders>
              <w:left w:val="single" w:sz="8" w:color="auto"/>
              <w:bottom w:val="single" w:sz="8" w:color="auto"/>
              <w:right w:val="single" w:sz="8" w:color="auto"/>
            </w:tcBorders>
            <w:shd w:val="clear" w:color="auto" w:fill="E5F1F9"/>
          </w:tcPr>
          <w:p>
            <w:pPr>
              <w:ind w:left="300"/>
              <w:spacing w:after="0"/>
              <w:rPr>
                <w:sz w:val="20"/>
                <w:szCs w:val="20"/>
                <w:color w:val="auto"/>
              </w:rPr>
            </w:pPr>
            <w:r>
              <w:rPr>
                <w:rFonts w:ascii="Arial" w:cs="Arial" w:eastAsia="Arial" w:hAnsi="Arial"/>
                <w:sz w:val="14"/>
                <w:szCs w:val="14"/>
                <w:color w:val="auto"/>
              </w:rPr>
              <w:t>meaningful medicines for patients</w:t>
            </w:r>
          </w:p>
        </w:tc>
        <w:tc>
          <w:tcPr>
            <w:tcW w:w="80" w:type="dxa"/>
            <w:vAlign w:val="bottom"/>
            <w:tcBorders>
              <w:bottom w:val="single" w:sz="8" w:color="auto"/>
            </w:tcBorders>
            <w:shd w:val="clear" w:color="auto" w:fill="E5F1F9"/>
          </w:tcPr>
          <w:p>
            <w:pPr>
              <w:spacing w:after="0"/>
              <w:rPr>
                <w:sz w:val="16"/>
                <w:szCs w:val="16"/>
                <w:color w:val="auto"/>
              </w:rPr>
            </w:pPr>
          </w:p>
        </w:tc>
        <w:tc>
          <w:tcPr>
            <w:tcW w:w="580" w:type="dxa"/>
            <w:vAlign w:val="bottom"/>
            <w:tcBorders>
              <w:bottom w:val="single" w:sz="8" w:color="auto"/>
              <w:right w:val="single" w:sz="8" w:color="auto"/>
            </w:tcBorders>
            <w:shd w:val="clear" w:color="auto" w:fill="E5F1F9"/>
          </w:tcPr>
          <w:p>
            <w:pPr>
              <w:spacing w:after="0"/>
              <w:rPr>
                <w:sz w:val="16"/>
                <w:szCs w:val="16"/>
                <w:color w:val="auto"/>
              </w:rPr>
            </w:pPr>
          </w:p>
        </w:tc>
        <w:tc>
          <w:tcPr>
            <w:tcW w:w="940" w:type="dxa"/>
            <w:vAlign w:val="bottom"/>
            <w:tcBorders>
              <w:bottom w:val="single" w:sz="8" w:color="auto"/>
              <w:right w:val="single" w:sz="8" w:color="E5F1F9"/>
            </w:tcBorders>
            <w:shd w:val="clear" w:color="auto" w:fill="E5F1F9"/>
          </w:tcPr>
          <w:p>
            <w:pPr>
              <w:spacing w:after="0"/>
              <w:rPr>
                <w:sz w:val="16"/>
                <w:szCs w:val="16"/>
                <w:color w:val="auto"/>
              </w:rPr>
            </w:pPr>
          </w:p>
        </w:tc>
        <w:tc>
          <w:tcPr>
            <w:tcW w:w="120" w:type="dxa"/>
            <w:vAlign w:val="bottom"/>
            <w:tcBorders>
              <w:bottom w:val="single" w:sz="8" w:color="auto"/>
            </w:tcBorders>
            <w:shd w:val="clear" w:color="auto" w:fill="E5F1F9"/>
          </w:tcPr>
          <w:p>
            <w:pPr>
              <w:spacing w:after="0"/>
              <w:rPr>
                <w:sz w:val="16"/>
                <w:szCs w:val="16"/>
                <w:color w:val="auto"/>
              </w:rPr>
            </w:pPr>
          </w:p>
        </w:tc>
        <w:tc>
          <w:tcPr>
            <w:tcW w:w="720" w:type="dxa"/>
            <w:vAlign w:val="bottom"/>
            <w:tcBorders>
              <w:bottom w:val="single" w:sz="8" w:color="auto"/>
              <w:right w:val="single" w:sz="8" w:color="E5F1F9"/>
            </w:tcBorders>
            <w:shd w:val="clear" w:color="auto" w:fill="E5F1F9"/>
          </w:tcPr>
          <w:p>
            <w:pPr>
              <w:spacing w:after="0"/>
              <w:rPr>
                <w:sz w:val="16"/>
                <w:szCs w:val="16"/>
                <w:color w:val="auto"/>
              </w:rPr>
            </w:pPr>
          </w:p>
        </w:tc>
        <w:tc>
          <w:tcPr>
            <w:tcW w:w="800" w:type="dxa"/>
            <w:vAlign w:val="bottom"/>
            <w:tcBorders>
              <w:bottom w:val="single" w:sz="8" w:color="auto"/>
              <w:right w:val="single" w:sz="8" w:color="auto"/>
            </w:tcBorders>
            <w:shd w:val="clear" w:color="auto" w:fill="E5F1F9"/>
          </w:tcPr>
          <w:p>
            <w:pPr>
              <w:spacing w:after="0"/>
              <w:rPr>
                <w:sz w:val="16"/>
                <w:szCs w:val="16"/>
                <w:color w:val="auto"/>
              </w:rPr>
            </w:pPr>
          </w:p>
        </w:tc>
        <w:tc>
          <w:tcPr>
            <w:tcW w:w="1560" w:type="dxa"/>
            <w:vAlign w:val="bottom"/>
            <w:tcBorders>
              <w:bottom w:val="single" w:sz="8" w:color="auto"/>
              <w:right w:val="single" w:sz="8" w:color="auto"/>
            </w:tcBorders>
            <w:shd w:val="clear" w:color="auto" w:fill="E5F1F9"/>
          </w:tcPr>
          <w:p>
            <w:pPr>
              <w:spacing w:after="0"/>
              <w:rPr>
                <w:sz w:val="16"/>
                <w:szCs w:val="16"/>
                <w:color w:val="auto"/>
              </w:rPr>
            </w:pPr>
          </w:p>
        </w:tc>
        <w:tc>
          <w:tcPr>
            <w:tcW w:w="940" w:type="dxa"/>
            <w:vAlign w:val="bottom"/>
            <w:tcBorders>
              <w:bottom w:val="single" w:sz="8" w:color="auto"/>
              <w:right w:val="single" w:sz="8" w:color="auto"/>
            </w:tcBorders>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00" w:type="dxa"/>
            <w:vAlign w:val="bottom"/>
            <w:tcBorders>
              <w:left w:val="single" w:sz="8" w:color="auto"/>
              <w:bottom w:val="single" w:sz="8" w:color="auto"/>
              <w:right w:val="single" w:sz="8" w:color="B2D5EE"/>
            </w:tcBorders>
            <w:shd w:val="clear" w:color="auto" w:fill="B2D5EE"/>
          </w:tcPr>
          <w:p>
            <w:pPr>
              <w:ind w:left="160"/>
              <w:spacing w:after="0" w:line="183" w:lineRule="exact"/>
              <w:rPr>
                <w:sz w:val="20"/>
                <w:szCs w:val="20"/>
                <w:color w:val="auto"/>
              </w:rPr>
            </w:pPr>
            <w:r>
              <w:rPr>
                <w:rFonts w:ascii="Arial" w:cs="Arial" w:eastAsia="Arial" w:hAnsi="Arial"/>
                <w:sz w:val="16"/>
                <w:szCs w:val="16"/>
                <w:b w:val="1"/>
                <w:bCs w:val="1"/>
                <w:color w:val="auto"/>
              </w:rPr>
              <w:t>Corporate Responsibility</w:t>
            </w:r>
          </w:p>
        </w:tc>
        <w:tc>
          <w:tcPr>
            <w:tcW w:w="80" w:type="dxa"/>
            <w:vAlign w:val="bottom"/>
            <w:tcBorders>
              <w:bottom w:val="single" w:sz="8" w:color="auto"/>
            </w:tcBorders>
            <w:shd w:val="clear" w:color="auto" w:fill="B2D5EE"/>
          </w:tcPr>
          <w:p>
            <w:pPr>
              <w:spacing w:after="0"/>
              <w:rPr>
                <w:sz w:val="15"/>
                <w:szCs w:val="15"/>
                <w:color w:val="auto"/>
              </w:rPr>
            </w:pPr>
          </w:p>
        </w:tc>
        <w:tc>
          <w:tcPr>
            <w:tcW w:w="580" w:type="dxa"/>
            <w:vAlign w:val="bottom"/>
            <w:tcBorders>
              <w:bottom w:val="single" w:sz="8" w:color="auto"/>
              <w:right w:val="single" w:sz="8" w:color="B2D5EE"/>
            </w:tcBorders>
            <w:shd w:val="clear" w:color="auto" w:fill="B2D5EE"/>
          </w:tcPr>
          <w:p>
            <w:pPr>
              <w:spacing w:after="0"/>
              <w:rPr>
                <w:sz w:val="15"/>
                <w:szCs w:val="15"/>
                <w:color w:val="auto"/>
              </w:rPr>
            </w:pPr>
          </w:p>
        </w:tc>
        <w:tc>
          <w:tcPr>
            <w:tcW w:w="940" w:type="dxa"/>
            <w:vAlign w:val="bottom"/>
            <w:tcBorders>
              <w:bottom w:val="single" w:sz="8" w:color="auto"/>
              <w:right w:val="single" w:sz="8" w:color="B2D5EE"/>
            </w:tcBorders>
            <w:shd w:val="clear" w:color="auto" w:fill="B2D5EE"/>
          </w:tcPr>
          <w:p>
            <w:pPr>
              <w:spacing w:after="0"/>
              <w:rPr>
                <w:sz w:val="15"/>
                <w:szCs w:val="15"/>
                <w:color w:val="auto"/>
              </w:rPr>
            </w:pPr>
          </w:p>
        </w:tc>
        <w:tc>
          <w:tcPr>
            <w:tcW w:w="120" w:type="dxa"/>
            <w:vAlign w:val="bottom"/>
            <w:tcBorders>
              <w:bottom w:val="single" w:sz="8" w:color="auto"/>
            </w:tcBorders>
            <w:shd w:val="clear" w:color="auto" w:fill="B2D5EE"/>
          </w:tcPr>
          <w:p>
            <w:pPr>
              <w:spacing w:after="0"/>
              <w:rPr>
                <w:sz w:val="15"/>
                <w:szCs w:val="15"/>
                <w:color w:val="auto"/>
              </w:rPr>
            </w:pPr>
          </w:p>
        </w:tc>
        <w:tc>
          <w:tcPr>
            <w:tcW w:w="720" w:type="dxa"/>
            <w:vAlign w:val="bottom"/>
            <w:tcBorders>
              <w:bottom w:val="single" w:sz="8" w:color="auto"/>
              <w:right w:val="single" w:sz="8" w:color="B2D5EE"/>
            </w:tcBorders>
            <w:shd w:val="clear" w:color="auto" w:fill="B2D5EE"/>
          </w:tcPr>
          <w:p>
            <w:pPr>
              <w:spacing w:after="0"/>
              <w:rPr>
                <w:sz w:val="15"/>
                <w:szCs w:val="15"/>
                <w:color w:val="auto"/>
              </w:rPr>
            </w:pPr>
          </w:p>
        </w:tc>
        <w:tc>
          <w:tcPr>
            <w:tcW w:w="800" w:type="dxa"/>
            <w:vAlign w:val="bottom"/>
            <w:tcBorders>
              <w:bottom w:val="single" w:sz="8" w:color="auto"/>
              <w:right w:val="single" w:sz="8" w:color="B2D5EE"/>
            </w:tcBorders>
            <w:shd w:val="clear" w:color="auto" w:fill="B2D5EE"/>
          </w:tcPr>
          <w:p>
            <w:pPr>
              <w:spacing w:after="0"/>
              <w:rPr>
                <w:sz w:val="15"/>
                <w:szCs w:val="15"/>
                <w:color w:val="auto"/>
              </w:rPr>
            </w:pPr>
          </w:p>
        </w:tc>
        <w:tc>
          <w:tcPr>
            <w:tcW w:w="1560" w:type="dxa"/>
            <w:vAlign w:val="bottom"/>
            <w:tcBorders>
              <w:bottom w:val="single" w:sz="8" w:color="auto"/>
              <w:right w:val="single" w:sz="8" w:color="B2D5EE"/>
            </w:tcBorders>
            <w:shd w:val="clear" w:color="auto" w:fill="B2D5EE"/>
          </w:tcPr>
          <w:p>
            <w:pPr>
              <w:spacing w:after="0"/>
              <w:rPr>
                <w:sz w:val="15"/>
                <w:szCs w:val="15"/>
                <w:color w:val="auto"/>
              </w:rPr>
            </w:pPr>
          </w:p>
        </w:tc>
        <w:tc>
          <w:tcPr>
            <w:tcW w:w="940" w:type="dxa"/>
            <w:vAlign w:val="bottom"/>
            <w:tcBorders>
              <w:bottom w:val="single" w:sz="8" w:color="auto"/>
              <w:right w:val="single" w:sz="8" w:color="auto"/>
            </w:tcBorders>
            <w:shd w:val="clear" w:color="auto" w:fill="B2D5E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00" w:type="dxa"/>
            <w:vAlign w:val="bottom"/>
            <w:tcBorders>
              <w:left w:val="single" w:sz="8" w:color="auto"/>
              <w:right w:val="single" w:sz="8" w:color="auto"/>
            </w:tcBorders>
            <w:shd w:val="clear" w:color="auto" w:fill="E5F1F9"/>
          </w:tcPr>
          <w:p>
            <w:pPr>
              <w:ind w:left="160"/>
              <w:spacing w:after="0" w:line="178" w:lineRule="exact"/>
              <w:rPr>
                <w:sz w:val="20"/>
                <w:szCs w:val="20"/>
                <w:color w:val="auto"/>
              </w:rPr>
            </w:pPr>
            <w:r>
              <w:rPr>
                <w:rFonts w:ascii="Arial" w:cs="Arial" w:eastAsia="Arial" w:hAnsi="Arial"/>
                <w:sz w:val="16"/>
                <w:szCs w:val="16"/>
                <w:color w:val="auto"/>
              </w:rPr>
              <w:t>Execute Corporate Responsibility strategy:</w:t>
            </w:r>
          </w:p>
        </w:tc>
        <w:tc>
          <w:tcPr>
            <w:tcW w:w="80" w:type="dxa"/>
            <w:vAlign w:val="bottom"/>
            <w:shd w:val="clear" w:color="auto" w:fill="E5F1F9"/>
          </w:tcPr>
          <w:p>
            <w:pPr>
              <w:spacing w:after="0"/>
              <w:rPr>
                <w:sz w:val="15"/>
                <w:szCs w:val="15"/>
                <w:color w:val="auto"/>
              </w:rPr>
            </w:pPr>
          </w:p>
        </w:tc>
        <w:tc>
          <w:tcPr>
            <w:tcW w:w="580" w:type="dxa"/>
            <w:vAlign w:val="bottom"/>
            <w:tcBorders>
              <w:right w:val="single" w:sz="8" w:color="auto"/>
            </w:tcBorders>
            <w:shd w:val="clear" w:color="auto" w:fill="E5F1F9"/>
          </w:tcPr>
          <w:p>
            <w:pPr>
              <w:spacing w:after="0"/>
              <w:rPr>
                <w:sz w:val="15"/>
                <w:szCs w:val="15"/>
                <w:color w:val="auto"/>
              </w:rPr>
            </w:pPr>
          </w:p>
        </w:tc>
        <w:tc>
          <w:tcPr>
            <w:tcW w:w="940" w:type="dxa"/>
            <w:vAlign w:val="bottom"/>
            <w:tcBorders>
              <w:right w:val="single" w:sz="8" w:color="E5F1F9"/>
            </w:tcBorders>
            <w:shd w:val="clear" w:color="auto" w:fill="E5F1F9"/>
          </w:tcPr>
          <w:p>
            <w:pPr>
              <w:spacing w:after="0"/>
              <w:rPr>
                <w:sz w:val="15"/>
                <w:szCs w:val="15"/>
                <w:color w:val="auto"/>
              </w:rPr>
            </w:pPr>
          </w:p>
        </w:tc>
        <w:tc>
          <w:tcPr>
            <w:tcW w:w="120" w:type="dxa"/>
            <w:vAlign w:val="bottom"/>
            <w:shd w:val="clear" w:color="auto" w:fill="E5F1F9"/>
          </w:tcPr>
          <w:p>
            <w:pPr>
              <w:spacing w:after="0"/>
              <w:rPr>
                <w:sz w:val="15"/>
                <w:szCs w:val="15"/>
                <w:color w:val="auto"/>
              </w:rPr>
            </w:pPr>
          </w:p>
        </w:tc>
        <w:tc>
          <w:tcPr>
            <w:tcW w:w="720" w:type="dxa"/>
            <w:vAlign w:val="bottom"/>
            <w:tcBorders>
              <w:right w:val="single" w:sz="8" w:color="E5F1F9"/>
            </w:tcBorders>
            <w:shd w:val="clear" w:color="auto" w:fill="E5F1F9"/>
          </w:tcPr>
          <w:p>
            <w:pPr>
              <w:spacing w:after="0"/>
              <w:rPr>
                <w:sz w:val="15"/>
                <w:szCs w:val="15"/>
                <w:color w:val="auto"/>
              </w:rPr>
            </w:pPr>
          </w:p>
        </w:tc>
        <w:tc>
          <w:tcPr>
            <w:tcW w:w="800" w:type="dxa"/>
            <w:vAlign w:val="bottom"/>
            <w:tcBorders>
              <w:right w:val="single" w:sz="8" w:color="auto"/>
            </w:tcBorders>
            <w:shd w:val="clear" w:color="auto" w:fill="E5F1F9"/>
          </w:tcPr>
          <w:p>
            <w:pPr>
              <w:spacing w:after="0"/>
              <w:rPr>
                <w:sz w:val="15"/>
                <w:szCs w:val="15"/>
                <w:color w:val="auto"/>
              </w:rPr>
            </w:pPr>
          </w:p>
        </w:tc>
        <w:tc>
          <w:tcPr>
            <w:tcW w:w="1560" w:type="dxa"/>
            <w:vAlign w:val="bottom"/>
            <w:tcBorders>
              <w:right w:val="single" w:sz="8" w:color="auto"/>
            </w:tcBorders>
            <w:shd w:val="clear" w:color="auto" w:fill="E5F1F9"/>
          </w:tcPr>
          <w:p>
            <w:pPr>
              <w:spacing w:after="0"/>
              <w:rPr>
                <w:sz w:val="15"/>
                <w:szCs w:val="15"/>
                <w:color w:val="auto"/>
              </w:rPr>
            </w:pPr>
          </w:p>
        </w:tc>
        <w:tc>
          <w:tcPr>
            <w:tcW w:w="940" w:type="dxa"/>
            <w:vAlign w:val="bottom"/>
            <w:tcBorders>
              <w:right w:val="single" w:sz="8" w:color="auto"/>
            </w:tcBorders>
            <w:shd w:val="clear" w:color="auto" w:fill="E5F1F9"/>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00" w:type="dxa"/>
            <w:vAlign w:val="bottom"/>
            <w:tcBorders>
              <w:left w:val="single" w:sz="8" w:color="auto"/>
              <w:right w:val="single" w:sz="8" w:color="auto"/>
            </w:tcBorders>
            <w:shd w:val="clear" w:color="auto" w:fill="E5F1F9"/>
          </w:tcPr>
          <w:p>
            <w:pPr>
              <w:ind w:left="160"/>
              <w:spacing w:after="0"/>
              <w:rPr>
                <w:sz w:val="20"/>
                <w:szCs w:val="20"/>
                <w:color w:val="auto"/>
              </w:rPr>
            </w:pPr>
            <w:r>
              <w:rPr>
                <w:rFonts w:ascii="Arial" w:cs="Arial" w:eastAsia="Arial" w:hAnsi="Arial"/>
                <w:sz w:val="14"/>
                <w:szCs w:val="14"/>
                <w:color w:val="auto"/>
              </w:rPr>
              <w:t>  Enroll representative patient population per clinical trial study targets, deliver</w:t>
            </w:r>
          </w:p>
        </w:tc>
        <w:tc>
          <w:tcPr>
            <w:tcW w:w="660" w:type="dxa"/>
            <w:vAlign w:val="bottom"/>
            <w:tcBorders>
              <w:right w:val="single" w:sz="8" w:color="auto"/>
            </w:tcBorders>
            <w:gridSpan w:val="2"/>
            <w:shd w:val="clear" w:color="auto" w:fill="E5F1F9"/>
          </w:tcPr>
          <w:p>
            <w:pPr>
              <w:jc w:val="center"/>
              <w:spacing w:after="0"/>
              <w:rPr>
                <w:sz w:val="20"/>
                <w:szCs w:val="20"/>
                <w:color w:val="auto"/>
              </w:rPr>
            </w:pPr>
            <w:r>
              <w:rPr>
                <w:rFonts w:ascii="Arial" w:cs="Arial" w:eastAsia="Arial" w:hAnsi="Arial"/>
                <w:sz w:val="16"/>
                <w:szCs w:val="16"/>
                <w:color w:val="auto"/>
              </w:rPr>
              <w:t>5%</w:t>
            </w:r>
          </w:p>
        </w:tc>
        <w:tc>
          <w:tcPr>
            <w:tcW w:w="1060" w:type="dxa"/>
            <w:vAlign w:val="bottom"/>
            <w:gridSpan w:val="2"/>
            <w:shd w:val="clear" w:color="auto" w:fill="E5F1F9"/>
          </w:tcPr>
          <w:p>
            <w:pPr>
              <w:ind w:left="100"/>
              <w:spacing w:after="0"/>
              <w:rPr>
                <w:sz w:val="20"/>
                <w:szCs w:val="20"/>
                <w:color w:val="auto"/>
              </w:rPr>
            </w:pPr>
            <w:r>
              <w:rPr>
                <w:rFonts w:ascii="Arial" w:cs="Arial" w:eastAsia="Arial" w:hAnsi="Arial"/>
                <w:sz w:val="16"/>
                <w:szCs w:val="16"/>
                <w:color w:val="auto"/>
              </w:rPr>
              <w:t>Achievement</w:t>
            </w:r>
          </w:p>
        </w:tc>
        <w:tc>
          <w:tcPr>
            <w:tcW w:w="720" w:type="dxa"/>
            <w:vAlign w:val="bottom"/>
            <w:tcBorders>
              <w:right w:val="single" w:sz="8" w:color="E5F1F9"/>
            </w:tcBorders>
            <w:shd w:val="clear" w:color="auto" w:fill="E5F1F9"/>
          </w:tcPr>
          <w:p>
            <w:pPr>
              <w:spacing w:after="0"/>
              <w:rPr>
                <w:sz w:val="20"/>
                <w:szCs w:val="20"/>
                <w:color w:val="auto"/>
              </w:rPr>
            </w:pPr>
          </w:p>
        </w:tc>
        <w:tc>
          <w:tcPr>
            <w:tcW w:w="800" w:type="dxa"/>
            <w:vAlign w:val="bottom"/>
            <w:tcBorders>
              <w:right w:val="single" w:sz="8" w:color="auto"/>
            </w:tcBorders>
            <w:shd w:val="clear" w:color="auto" w:fill="E5F1F9"/>
          </w:tcPr>
          <w:p>
            <w:pPr>
              <w:spacing w:after="0"/>
              <w:rPr>
                <w:sz w:val="20"/>
                <w:szCs w:val="20"/>
                <w:color w:val="auto"/>
              </w:rPr>
            </w:pPr>
          </w:p>
        </w:tc>
        <w:tc>
          <w:tcPr>
            <w:tcW w:w="1560" w:type="dxa"/>
            <w:vAlign w:val="bottom"/>
            <w:tcBorders>
              <w:right w:val="single" w:sz="8" w:color="auto"/>
            </w:tcBorders>
            <w:shd w:val="clear" w:color="auto" w:fill="E5F1F9"/>
          </w:tcPr>
          <w:p>
            <w:pPr>
              <w:ind w:left="200"/>
              <w:spacing w:after="0" w:line="239" w:lineRule="exact"/>
              <w:rPr>
                <w:sz w:val="20"/>
                <w:szCs w:val="20"/>
                <w:color w:val="auto"/>
              </w:rPr>
            </w:pPr>
            <w:r>
              <w:rPr>
                <w:rFonts w:ascii="Arial" w:cs="Arial" w:eastAsia="Arial" w:hAnsi="Arial"/>
                <w:sz w:val="16"/>
                <w:szCs w:val="16"/>
                <w:color w:val="auto"/>
              </w:rPr>
              <w:t>Above Target</w:t>
            </w:r>
            <w:r>
              <w:rPr>
                <w:rFonts w:ascii="Arial" w:cs="Arial" w:eastAsia="Arial" w:hAnsi="Arial"/>
                <w:sz w:val="24"/>
                <w:szCs w:val="24"/>
                <w:color w:val="auto"/>
                <w:vertAlign w:val="superscript"/>
              </w:rPr>
              <w:t>(3)</w:t>
            </w:r>
          </w:p>
        </w:tc>
        <w:tc>
          <w:tcPr>
            <w:tcW w:w="94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85"/>
        </w:trPr>
        <w:tc>
          <w:tcPr>
            <w:tcW w:w="5300" w:type="dxa"/>
            <w:vAlign w:val="bottom"/>
            <w:tcBorders>
              <w:left w:val="single" w:sz="8" w:color="auto"/>
              <w:bottom w:val="single" w:sz="8" w:color="auto"/>
              <w:right w:val="single" w:sz="8" w:color="auto"/>
            </w:tcBorders>
            <w:shd w:val="clear" w:color="auto" w:fill="E5F1F9"/>
          </w:tcPr>
          <w:p>
            <w:pPr>
              <w:ind w:left="300"/>
              <w:spacing w:after="0"/>
              <w:rPr>
                <w:sz w:val="20"/>
                <w:szCs w:val="20"/>
                <w:color w:val="auto"/>
              </w:rPr>
            </w:pPr>
            <w:r>
              <w:rPr>
                <w:rFonts w:ascii="Arial" w:cs="Arial" w:eastAsia="Arial" w:hAnsi="Arial"/>
                <w:sz w:val="14"/>
                <w:szCs w:val="14"/>
                <w:color w:val="auto"/>
              </w:rPr>
              <w:t>health access for patients and advance a culture of excellence</w:t>
            </w:r>
          </w:p>
        </w:tc>
        <w:tc>
          <w:tcPr>
            <w:tcW w:w="80" w:type="dxa"/>
            <w:vAlign w:val="bottom"/>
            <w:tcBorders>
              <w:bottom w:val="single" w:sz="8" w:color="auto"/>
            </w:tcBorders>
            <w:shd w:val="clear" w:color="auto" w:fill="E5F1F9"/>
          </w:tcPr>
          <w:p>
            <w:pPr>
              <w:spacing w:after="0"/>
              <w:rPr>
                <w:sz w:val="16"/>
                <w:szCs w:val="16"/>
                <w:color w:val="auto"/>
              </w:rPr>
            </w:pPr>
          </w:p>
        </w:tc>
        <w:tc>
          <w:tcPr>
            <w:tcW w:w="580" w:type="dxa"/>
            <w:vAlign w:val="bottom"/>
            <w:tcBorders>
              <w:bottom w:val="single" w:sz="8" w:color="auto"/>
              <w:right w:val="single" w:sz="8" w:color="auto"/>
            </w:tcBorders>
            <w:shd w:val="clear" w:color="auto" w:fill="E5F1F9"/>
          </w:tcPr>
          <w:p>
            <w:pPr>
              <w:spacing w:after="0"/>
              <w:rPr>
                <w:sz w:val="16"/>
                <w:szCs w:val="16"/>
                <w:color w:val="auto"/>
              </w:rPr>
            </w:pPr>
          </w:p>
        </w:tc>
        <w:tc>
          <w:tcPr>
            <w:tcW w:w="940" w:type="dxa"/>
            <w:vAlign w:val="bottom"/>
            <w:tcBorders>
              <w:bottom w:val="single" w:sz="8" w:color="auto"/>
              <w:right w:val="single" w:sz="8" w:color="E5F1F9"/>
            </w:tcBorders>
            <w:shd w:val="clear" w:color="auto" w:fill="E5F1F9"/>
          </w:tcPr>
          <w:p>
            <w:pPr>
              <w:spacing w:after="0"/>
              <w:rPr>
                <w:sz w:val="16"/>
                <w:szCs w:val="16"/>
                <w:color w:val="auto"/>
              </w:rPr>
            </w:pPr>
          </w:p>
        </w:tc>
        <w:tc>
          <w:tcPr>
            <w:tcW w:w="120" w:type="dxa"/>
            <w:vAlign w:val="bottom"/>
            <w:tcBorders>
              <w:bottom w:val="single" w:sz="8" w:color="auto"/>
            </w:tcBorders>
            <w:shd w:val="clear" w:color="auto" w:fill="E5F1F9"/>
          </w:tcPr>
          <w:p>
            <w:pPr>
              <w:spacing w:after="0"/>
              <w:rPr>
                <w:sz w:val="16"/>
                <w:szCs w:val="16"/>
                <w:color w:val="auto"/>
              </w:rPr>
            </w:pPr>
          </w:p>
        </w:tc>
        <w:tc>
          <w:tcPr>
            <w:tcW w:w="720" w:type="dxa"/>
            <w:vAlign w:val="bottom"/>
            <w:tcBorders>
              <w:bottom w:val="single" w:sz="8" w:color="auto"/>
              <w:right w:val="single" w:sz="8" w:color="E5F1F9"/>
            </w:tcBorders>
            <w:shd w:val="clear" w:color="auto" w:fill="E5F1F9"/>
          </w:tcPr>
          <w:p>
            <w:pPr>
              <w:spacing w:after="0"/>
              <w:rPr>
                <w:sz w:val="16"/>
                <w:szCs w:val="16"/>
                <w:color w:val="auto"/>
              </w:rPr>
            </w:pPr>
          </w:p>
        </w:tc>
        <w:tc>
          <w:tcPr>
            <w:tcW w:w="800" w:type="dxa"/>
            <w:vAlign w:val="bottom"/>
            <w:tcBorders>
              <w:bottom w:val="single" w:sz="8" w:color="auto"/>
              <w:right w:val="single" w:sz="8" w:color="auto"/>
            </w:tcBorders>
            <w:shd w:val="clear" w:color="auto" w:fill="E5F1F9"/>
          </w:tcPr>
          <w:p>
            <w:pPr>
              <w:spacing w:after="0"/>
              <w:rPr>
                <w:sz w:val="16"/>
                <w:szCs w:val="16"/>
                <w:color w:val="auto"/>
              </w:rPr>
            </w:pPr>
          </w:p>
        </w:tc>
        <w:tc>
          <w:tcPr>
            <w:tcW w:w="1560" w:type="dxa"/>
            <w:vAlign w:val="bottom"/>
            <w:tcBorders>
              <w:bottom w:val="single" w:sz="8" w:color="auto"/>
              <w:right w:val="single" w:sz="8" w:color="auto"/>
            </w:tcBorders>
            <w:shd w:val="clear" w:color="auto" w:fill="E5F1F9"/>
          </w:tcPr>
          <w:p>
            <w:pPr>
              <w:spacing w:after="0"/>
              <w:rPr>
                <w:sz w:val="16"/>
                <w:szCs w:val="16"/>
                <w:color w:val="auto"/>
              </w:rPr>
            </w:pPr>
          </w:p>
        </w:tc>
        <w:tc>
          <w:tcPr>
            <w:tcW w:w="940" w:type="dxa"/>
            <w:vAlign w:val="bottom"/>
            <w:tcBorders>
              <w:bottom w:val="single" w:sz="8" w:color="auto"/>
              <w:right w:val="single" w:sz="8" w:color="auto"/>
            </w:tcBorders>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00" w:type="dxa"/>
            <w:vAlign w:val="bottom"/>
            <w:tcBorders>
              <w:left w:val="single" w:sz="8" w:color="auto"/>
              <w:bottom w:val="single" w:sz="8" w:color="auto"/>
              <w:right w:val="single" w:sz="8" w:color="CCE3F4"/>
            </w:tcBorders>
            <w:shd w:val="clear" w:color="auto" w:fill="CCE3F4"/>
          </w:tcPr>
          <w:p>
            <w:pPr>
              <w:ind w:left="160"/>
              <w:spacing w:after="0" w:line="183" w:lineRule="exact"/>
              <w:rPr>
                <w:sz w:val="20"/>
                <w:szCs w:val="20"/>
                <w:color w:val="auto"/>
              </w:rPr>
            </w:pPr>
            <w:r>
              <w:rPr>
                <w:rFonts w:ascii="Arial" w:cs="Arial" w:eastAsia="Arial" w:hAnsi="Arial"/>
                <w:sz w:val="16"/>
                <w:szCs w:val="16"/>
                <w:b w:val="1"/>
                <w:bCs w:val="1"/>
                <w:color w:val="auto"/>
              </w:rPr>
              <w:t>Overall Annual Bonus Program Multiplier</w:t>
            </w:r>
          </w:p>
        </w:tc>
        <w:tc>
          <w:tcPr>
            <w:tcW w:w="80" w:type="dxa"/>
            <w:vAlign w:val="bottom"/>
            <w:tcBorders>
              <w:bottom w:val="single" w:sz="8" w:color="auto"/>
            </w:tcBorders>
            <w:shd w:val="clear" w:color="auto" w:fill="CCE3F4"/>
          </w:tcPr>
          <w:p>
            <w:pPr>
              <w:spacing w:after="0"/>
              <w:rPr>
                <w:sz w:val="15"/>
                <w:szCs w:val="15"/>
                <w:color w:val="auto"/>
              </w:rPr>
            </w:pPr>
          </w:p>
        </w:tc>
        <w:tc>
          <w:tcPr>
            <w:tcW w:w="580" w:type="dxa"/>
            <w:vAlign w:val="bottom"/>
            <w:tcBorders>
              <w:bottom w:val="single" w:sz="8" w:color="auto"/>
              <w:right w:val="single" w:sz="8" w:color="CCE3F4"/>
            </w:tcBorders>
            <w:shd w:val="clear" w:color="auto" w:fill="CCE3F4"/>
          </w:tcPr>
          <w:p>
            <w:pPr>
              <w:spacing w:after="0"/>
              <w:rPr>
                <w:sz w:val="15"/>
                <w:szCs w:val="15"/>
                <w:color w:val="auto"/>
              </w:rPr>
            </w:pPr>
          </w:p>
        </w:tc>
        <w:tc>
          <w:tcPr>
            <w:tcW w:w="940" w:type="dxa"/>
            <w:vAlign w:val="bottom"/>
            <w:tcBorders>
              <w:bottom w:val="single" w:sz="8" w:color="auto"/>
              <w:right w:val="single" w:sz="8" w:color="CCE3F4"/>
            </w:tcBorders>
            <w:shd w:val="clear" w:color="auto" w:fill="CCE3F4"/>
          </w:tcPr>
          <w:p>
            <w:pPr>
              <w:spacing w:after="0"/>
              <w:rPr>
                <w:sz w:val="15"/>
                <w:szCs w:val="15"/>
                <w:color w:val="auto"/>
              </w:rPr>
            </w:pPr>
          </w:p>
        </w:tc>
        <w:tc>
          <w:tcPr>
            <w:tcW w:w="120" w:type="dxa"/>
            <w:vAlign w:val="bottom"/>
            <w:tcBorders>
              <w:bottom w:val="single" w:sz="8" w:color="auto"/>
            </w:tcBorders>
            <w:shd w:val="clear" w:color="auto" w:fill="CCE3F4"/>
          </w:tcPr>
          <w:p>
            <w:pPr>
              <w:spacing w:after="0"/>
              <w:rPr>
                <w:sz w:val="15"/>
                <w:szCs w:val="15"/>
                <w:color w:val="auto"/>
              </w:rPr>
            </w:pPr>
          </w:p>
        </w:tc>
        <w:tc>
          <w:tcPr>
            <w:tcW w:w="720" w:type="dxa"/>
            <w:vAlign w:val="bottom"/>
            <w:tcBorders>
              <w:bottom w:val="single" w:sz="8" w:color="auto"/>
              <w:right w:val="single" w:sz="8" w:color="auto"/>
            </w:tcBorders>
            <w:shd w:val="clear" w:color="auto" w:fill="CCE3F4"/>
          </w:tcPr>
          <w:p>
            <w:pPr>
              <w:spacing w:after="0"/>
              <w:rPr>
                <w:sz w:val="15"/>
                <w:szCs w:val="15"/>
                <w:color w:val="auto"/>
              </w:rPr>
            </w:pPr>
          </w:p>
        </w:tc>
        <w:tc>
          <w:tcPr>
            <w:tcW w:w="2360" w:type="dxa"/>
            <w:vAlign w:val="bottom"/>
            <w:tcBorders>
              <w:bottom w:val="single" w:sz="8" w:color="auto"/>
              <w:right w:val="single" w:sz="8" w:color="auto"/>
            </w:tcBorders>
            <w:gridSpan w:val="2"/>
            <w:shd w:val="clear" w:color="auto" w:fill="CCE3F4"/>
          </w:tcPr>
          <w:p>
            <w:pPr>
              <w:ind w:left="80"/>
              <w:spacing w:after="0" w:line="183" w:lineRule="exact"/>
              <w:rPr>
                <w:sz w:val="20"/>
                <w:szCs w:val="20"/>
                <w:color w:val="auto"/>
              </w:rPr>
            </w:pPr>
            <w:r>
              <w:rPr>
                <w:rFonts w:ascii="Arial" w:cs="Arial" w:eastAsia="Arial" w:hAnsi="Arial"/>
                <w:sz w:val="16"/>
                <w:szCs w:val="16"/>
                <w:color w:val="auto"/>
              </w:rPr>
              <w:t>Company Multiplier</w:t>
            </w:r>
          </w:p>
        </w:tc>
        <w:tc>
          <w:tcPr>
            <w:tcW w:w="940" w:type="dxa"/>
            <w:vAlign w:val="bottom"/>
            <w:tcBorders>
              <w:bottom w:val="single" w:sz="8" w:color="auto"/>
              <w:right w:val="single" w:sz="8" w:color="auto"/>
            </w:tcBorders>
            <w:shd w:val="clear" w:color="auto" w:fill="CCE3F4"/>
          </w:tcPr>
          <w:p>
            <w:pPr>
              <w:jc w:val="center"/>
              <w:spacing w:after="0" w:line="183"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Numbers may not recalculate due to rounding</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**Refer to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for relevant reconciliation of Non-GAAP measures.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Notes to 2025 STI Program Company Performance Targets and Results Table</w:t>
      </w:r>
    </w:p>
    <w:p>
      <w:pPr>
        <w:spacing w:after="0" w:line="129" w:lineRule="exact"/>
        <w:rPr>
          <w:sz w:val="20"/>
          <w:szCs w:val="20"/>
          <w:color w:val="auto"/>
        </w:rPr>
      </w:pPr>
    </w:p>
    <w:p>
      <w:pPr>
        <w:ind w:left="540" w:right="40" w:hanging="424"/>
        <w:spacing w:after="0" w:line="24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These financial measures were based on our publicly reported revenue of $9.9 billion and our publicly announced EPS of $15.28, as adjusted as follows: for purposes of our 2025 STI program, revenue was adjusted to neutralize the effects of foreign exchange rate fluctuations. EPS was further adjusted to add $2.13 related to the impact of IPR&amp;D from acquisitions and collaborations with Stoke, Alcyone, Vanqua and Dayra.</w:t>
      </w:r>
    </w:p>
    <w:p>
      <w:pPr>
        <w:ind w:left="540" w:right="100" w:hanging="424"/>
        <w:spacing w:after="0" w:line="241"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company continued to work to drive value creation through the achievement of key asset milestones. We exceeded our target set for 2025 through the approvals of LEQEMBI, QALSODY, SPINRAZA high dose and SKYCLARYS in various geographies as well as achieving clinical stage study milestones and exceeding our expectations for further expanding our pipeline through business development activities.</w:t>
      </w:r>
    </w:p>
    <w:p>
      <w:pPr>
        <w:spacing w:after="0" w:line="1" w:lineRule="exact"/>
        <w:rPr>
          <w:rFonts w:ascii="Arial" w:cs="Arial" w:eastAsia="Arial" w:hAnsi="Arial"/>
          <w:sz w:val="14"/>
          <w:szCs w:val="14"/>
          <w:color w:val="auto"/>
        </w:rPr>
      </w:pPr>
    </w:p>
    <w:p>
      <w:pPr>
        <w:ind w:left="540" w:right="320" w:hanging="424"/>
        <w:spacing w:after="0" w:line="264"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We achieved our key corporate responsibility goals at target. The company achieved goals by recruiting and enrolling representative patient participants in clinical trials, reflecting the epidemiology of the disease; increasing global patient access; and advancing internal talent imperatives.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Further Detail on the Company’s Achievement of Performance Goals: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Financial Performance – 2025 achievement of 123% of target</w:t>
      </w:r>
    </w:p>
    <w:p>
      <w:pPr>
        <w:spacing w:after="0" w:line="125" w:lineRule="exact"/>
        <w:rPr>
          <w:sz w:val="20"/>
          <w:szCs w:val="20"/>
          <w:color w:val="auto"/>
        </w:rPr>
      </w:pPr>
    </w:p>
    <w:p>
      <w:pPr>
        <w:ind w:left="660" w:hanging="544"/>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 achieved 150% of our 2025 revenue target, 75% of our growth revenue target, and 150% of our 2025 EPS target.</w:t>
      </w:r>
    </w:p>
    <w:p>
      <w:pPr>
        <w:spacing w:after="0" w:line="126" w:lineRule="exact"/>
        <w:rPr>
          <w:rFonts w:ascii="Arial" w:cs="Arial" w:eastAsia="Arial" w:hAnsi="Arial"/>
          <w:sz w:val="16"/>
          <w:szCs w:val="16"/>
          <w:color w:val="auto"/>
        </w:rPr>
      </w:pPr>
    </w:p>
    <w:p>
      <w:pPr>
        <w:ind w:left="1420" w:right="100" w:hanging="427"/>
        <w:spacing w:after="0" w:line="266" w:lineRule="auto"/>
        <w:tabs>
          <w:tab w:leader="none" w:pos="1420" w:val="left"/>
        </w:tabs>
        <w:numPr>
          <w:ilvl w:val="1"/>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Total Revenue: </w:t>
      </w:r>
      <w:r>
        <w:rPr>
          <w:rFonts w:ascii="Arial" w:cs="Arial" w:eastAsia="Arial" w:hAnsi="Arial"/>
          <w:sz w:val="16"/>
          <w:szCs w:val="16"/>
          <w:color w:val="auto"/>
        </w:rPr>
        <w:t>Despite ongoing pressure on our MS franchise which has been in decline for several years, Biogen delivered stronger</w:t>
      </w:r>
      <w:r>
        <w:rPr>
          <w:rFonts w:ascii="Arial" w:cs="Arial" w:eastAsia="Arial" w:hAnsi="Arial"/>
          <w:sz w:val="16"/>
          <w:szCs w:val="16"/>
          <w:b w:val="1"/>
          <w:bCs w:val="1"/>
          <w:color w:val="auto"/>
        </w:rPr>
        <w:t xml:space="preserve"> </w:t>
      </w:r>
      <w:r>
        <w:rPr>
          <w:rFonts w:ascii="Arial" w:cs="Arial" w:eastAsia="Arial" w:hAnsi="Arial"/>
          <w:sz w:val="16"/>
          <w:szCs w:val="16"/>
          <w:color w:val="auto"/>
        </w:rPr>
        <w:t>than expected performance in these assets, coupled with growth product performance offsetting a portion of the anticipated total revenue decline.</w:t>
      </w:r>
    </w:p>
    <w:p>
      <w:pPr>
        <w:spacing w:after="0" w:line="76" w:lineRule="exact"/>
        <w:rPr>
          <w:rFonts w:ascii="Arial" w:cs="Arial" w:eastAsia="Arial" w:hAnsi="Arial"/>
          <w:sz w:val="16"/>
          <w:szCs w:val="16"/>
          <w:color w:val="auto"/>
        </w:rPr>
      </w:pPr>
    </w:p>
    <w:p>
      <w:pPr>
        <w:ind w:left="1420" w:right="80" w:hanging="427"/>
        <w:spacing w:after="0" w:line="286" w:lineRule="auto"/>
        <w:tabs>
          <w:tab w:leader="none" w:pos="1420" w:val="left"/>
        </w:tabs>
        <w:numPr>
          <w:ilvl w:val="1"/>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Growth Product Revenue: </w:t>
      </w:r>
      <w:r>
        <w:rPr>
          <w:rFonts w:ascii="Arial" w:cs="Arial" w:eastAsia="Arial" w:hAnsi="Arial"/>
          <w:sz w:val="16"/>
          <w:szCs w:val="16"/>
          <w:color w:val="auto"/>
        </w:rPr>
        <w:t>While we did not achieve the ambitious target set for this first-time goal, we saw meaningful growth across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products including ~140% for LEQEMBI, ~36% for SKYCLARYS, and ~170% for ZURZUVAE.</w:t>
      </w:r>
    </w:p>
    <w:p>
      <w:pPr>
        <w:spacing w:after="0" w:line="61" w:lineRule="exact"/>
        <w:rPr>
          <w:rFonts w:ascii="Arial" w:cs="Arial" w:eastAsia="Arial" w:hAnsi="Arial"/>
          <w:sz w:val="16"/>
          <w:szCs w:val="16"/>
          <w:color w:val="auto"/>
        </w:rPr>
      </w:pPr>
    </w:p>
    <w:p>
      <w:pPr>
        <w:ind w:left="1420" w:right="140" w:hanging="427"/>
        <w:spacing w:after="0" w:line="286" w:lineRule="auto"/>
        <w:tabs>
          <w:tab w:leader="none" w:pos="1420" w:val="left"/>
        </w:tabs>
        <w:numPr>
          <w:ilvl w:val="1"/>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EPS: </w:t>
      </w:r>
      <w:r>
        <w:rPr>
          <w:rFonts w:ascii="Arial" w:cs="Arial" w:eastAsia="Arial" w:hAnsi="Arial"/>
          <w:sz w:val="16"/>
          <w:szCs w:val="16"/>
          <w:color w:val="auto"/>
        </w:rPr>
        <w:t>EPS grew 6% due to strong financial discipline, and our initiative, which optimized our operational cost structure, and a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and disciplined approach to capital allocation.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Pipeline Performance – 2025 achievement of 138% of target</w:t>
      </w:r>
    </w:p>
    <w:p>
      <w:pPr>
        <w:spacing w:after="0" w:line="125" w:lineRule="exact"/>
        <w:rPr>
          <w:sz w:val="20"/>
          <w:szCs w:val="20"/>
          <w:color w:val="auto"/>
        </w:rPr>
      </w:pPr>
    </w:p>
    <w:p>
      <w:pPr>
        <w:ind w:left="660" w:right="520" w:hanging="544"/>
        <w:spacing w:after="0" w:line="286"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Notable accomplishments included approvals for SKYCLARYS, LEQEMBI, ZURZUVAE, QALSODY and SPINRAZA across global markets, including:</w:t>
      </w:r>
    </w:p>
    <w:p>
      <w:pPr>
        <w:spacing w:after="0" w:line="61" w:lineRule="exact"/>
        <w:rPr>
          <w:rFonts w:ascii="Arial" w:cs="Arial" w:eastAsia="Arial" w:hAnsi="Arial"/>
          <w:sz w:val="16"/>
          <w:szCs w:val="16"/>
          <w:color w:val="auto"/>
        </w:rPr>
      </w:pPr>
    </w:p>
    <w:p>
      <w:pPr>
        <w:ind w:left="1420" w:hanging="427"/>
        <w:spacing w:after="0"/>
        <w:tabs>
          <w:tab w:leader="none" w:pos="14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SKYCLARYS in Canada, the U.K., Brazil and other countries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LEQEMBI subcutaneous and IV maintenance dosing in the U.S.</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LEQEMBI initiation dosing in Canada, Brazil, the E.U., and maintenance dosing in China and the U.K.</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SPINRAZA high dose in the E.U. and Japan</w:t>
      </w:r>
    </w:p>
    <w:p>
      <w:pPr>
        <w:spacing w:after="0" w:line="126" w:lineRule="exact"/>
        <w:rPr>
          <w:rFonts w:ascii="Arial" w:cs="Arial" w:eastAsia="Arial" w:hAnsi="Arial"/>
          <w:sz w:val="16"/>
          <w:szCs w:val="16"/>
          <w:color w:val="auto"/>
        </w:rPr>
      </w:pPr>
    </w:p>
    <w:p>
      <w:pPr>
        <w:ind w:left="1420" w:hanging="427"/>
        <w:spacing w:after="0"/>
        <w:tabs>
          <w:tab w:leader="none" w:pos="14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QALSODY in Canada, the U.K. and other countries</w:t>
      </w:r>
    </w:p>
    <w:p>
      <w:pPr>
        <w:spacing w:after="0" w:line="16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-40-</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142" w:lineRule="exact"/>
        <w:rPr>
          <w:sz w:val="20"/>
          <w:szCs w:val="20"/>
          <w:color w:val="auto"/>
        </w:rPr>
      </w:pPr>
    </w:p>
    <w:p>
      <w:pPr>
        <w:ind w:left="660" w:hanging="544"/>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Positive data results for salanersen in SMA leading to a decision to go to a pivotal study.</w:t>
      </w:r>
    </w:p>
    <w:p>
      <w:pPr>
        <w:spacing w:after="0" w:line="126" w:lineRule="exact"/>
        <w:rPr>
          <w:rFonts w:ascii="Arial" w:cs="Arial" w:eastAsia="Arial" w:hAnsi="Arial"/>
          <w:sz w:val="16"/>
          <w:szCs w:val="16"/>
          <w:color w:val="auto"/>
        </w:rPr>
      </w:pPr>
    </w:p>
    <w:p>
      <w:pPr>
        <w:ind w:left="660" w:hanging="544"/>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FDA approved our IND filing for BIIB142 and BIIB145 in multiple immunological indications.</w:t>
      </w:r>
    </w:p>
    <w:p>
      <w:pPr>
        <w:spacing w:after="0" w:line="126" w:lineRule="exact"/>
        <w:rPr>
          <w:rFonts w:ascii="Arial" w:cs="Arial" w:eastAsia="Arial" w:hAnsi="Arial"/>
          <w:sz w:val="16"/>
          <w:szCs w:val="16"/>
          <w:color w:val="auto"/>
        </w:rPr>
      </w:pPr>
    </w:p>
    <w:p>
      <w:pPr>
        <w:ind w:left="660" w:right="40" w:hanging="544"/>
        <w:spacing w:after="0" w:line="259"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Registrational studies were started for felzartamab in three indications for nephrology, zorevunersen in Dravet syndrome and SKYCLARYS in pediatric populations. Commercial portfolio and R&amp;D pipeline expansion continued through external growth opportunities which included entering into four collaboration and licensing agreements as well as acquiring Alcyone Therapeutics, Inc. to advance our ASO delivery and broaden patient access to ASOs by reducing reliance on repeat lumbar punctures in chronic intrathecal administration.</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Corporate Responsibility – 2025 achievement of 120% of target</w:t>
      </w:r>
    </w:p>
    <w:p>
      <w:pPr>
        <w:spacing w:after="0" w:line="111" w:lineRule="exact"/>
        <w:rPr>
          <w:sz w:val="20"/>
          <w:szCs w:val="20"/>
          <w:color w:val="auto"/>
        </w:rPr>
      </w:pPr>
    </w:p>
    <w:p>
      <w:pPr>
        <w:ind w:left="120" w:right="440"/>
        <w:spacing w:after="0" w:line="286" w:lineRule="auto"/>
        <w:rPr>
          <w:sz w:val="20"/>
          <w:szCs w:val="20"/>
          <w:color w:val="auto"/>
        </w:rPr>
      </w:pPr>
      <w:r>
        <w:rPr>
          <w:rFonts w:ascii="Arial" w:cs="Arial" w:eastAsia="Arial" w:hAnsi="Arial"/>
          <w:sz w:val="16"/>
          <w:szCs w:val="16"/>
          <w:color w:val="auto"/>
        </w:rPr>
        <w:t>Collectively, we exceeded our corporate responsibility goals. Notably, this included exceeding our goal of successfully executing two clinical trials for Phase 3/pivotal studies to reflect the epidemiology of the disease (outcome of three executed) and market access expansion in FA to 35 countries.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STI Program Awards</w:t>
      </w:r>
    </w:p>
    <w:p>
      <w:pPr>
        <w:spacing w:after="0" w:line="108"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Our CMDC, except with respect to Mr. Viehbacher whose final bonus determinations were made by our Board, determined that the final bonus awards under our 2025 STI program were as follows:</w:t>
      </w:r>
    </w:p>
    <w:p>
      <w:pPr>
        <w:spacing w:after="0" w:line="75"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3820" w:type="dxa"/>
            <w:vAlign w:val="bottom"/>
            <w:shd w:val="clear" w:color="auto" w:fill="0075C9"/>
          </w:tcPr>
          <w:p>
            <w:pPr>
              <w:spacing w:after="0"/>
              <w:rPr>
                <w:sz w:val="19"/>
                <w:szCs w:val="19"/>
                <w:color w:val="auto"/>
              </w:rPr>
            </w:pPr>
          </w:p>
        </w:tc>
        <w:tc>
          <w:tcPr>
            <w:tcW w:w="1660" w:type="dxa"/>
            <w:vAlign w:val="bottom"/>
            <w:shd w:val="clear" w:color="auto" w:fill="0075C9"/>
          </w:tcPr>
          <w:p>
            <w:pPr>
              <w:jc w:val="center"/>
              <w:ind w:left="2"/>
              <w:spacing w:after="0"/>
              <w:rPr>
                <w:sz w:val="20"/>
                <w:szCs w:val="20"/>
                <w:color w:val="auto"/>
              </w:rPr>
            </w:pPr>
            <w:r>
              <w:rPr>
                <w:rFonts w:ascii="Arial" w:cs="Arial" w:eastAsia="Arial" w:hAnsi="Arial"/>
                <w:sz w:val="14"/>
                <w:szCs w:val="14"/>
                <w:color w:val="FFFFFF"/>
              </w:rPr>
              <w:t>Year-end</w:t>
            </w:r>
          </w:p>
        </w:tc>
        <w:tc>
          <w:tcPr>
            <w:tcW w:w="126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8"/>
              </w:rPr>
              <w:t>Target</w:t>
            </w:r>
          </w:p>
        </w:tc>
        <w:tc>
          <w:tcPr>
            <w:tcW w:w="130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Company</w:t>
            </w:r>
          </w:p>
        </w:tc>
        <w:tc>
          <w:tcPr>
            <w:tcW w:w="138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Individual</w:t>
            </w:r>
          </w:p>
        </w:tc>
        <w:tc>
          <w:tcPr>
            <w:tcW w:w="1480" w:type="dxa"/>
            <w:vAlign w:val="bottom"/>
            <w:shd w:val="clear" w:color="auto" w:fill="0075C9"/>
          </w:tcPr>
          <w:p>
            <w:pPr>
              <w:jc w:val="center"/>
              <w:ind w:left="42"/>
              <w:spacing w:after="0"/>
              <w:rPr>
                <w:sz w:val="20"/>
                <w:szCs w:val="20"/>
                <w:color w:val="auto"/>
              </w:rPr>
            </w:pPr>
            <w:r>
              <w:rPr>
                <w:rFonts w:ascii="Arial" w:cs="Arial" w:eastAsia="Arial" w:hAnsi="Arial"/>
                <w:sz w:val="14"/>
                <w:szCs w:val="14"/>
                <w:color w:val="FFFFFF"/>
              </w:rPr>
              <w:t>Bonus</w:t>
            </w:r>
          </w:p>
        </w:tc>
      </w:tr>
      <w:tr>
        <w:trPr>
          <w:trHeight w:val="283"/>
        </w:trPr>
        <w:tc>
          <w:tcPr>
            <w:tcW w:w="3820" w:type="dxa"/>
            <w:vAlign w:val="bottom"/>
            <w:shd w:val="clear" w:color="auto" w:fill="0075C9"/>
          </w:tcPr>
          <w:p>
            <w:pPr>
              <w:spacing w:after="0"/>
              <w:rPr>
                <w:sz w:val="20"/>
                <w:szCs w:val="20"/>
                <w:color w:val="auto"/>
              </w:rPr>
            </w:pPr>
            <w:r>
              <w:rPr>
                <w:rFonts w:ascii="Arial" w:cs="Arial" w:eastAsia="Arial" w:hAnsi="Arial"/>
                <w:sz w:val="14"/>
                <w:szCs w:val="14"/>
                <w:color w:val="FFFFFF"/>
              </w:rPr>
              <w:t>   Name</w:t>
            </w:r>
          </w:p>
        </w:tc>
        <w:tc>
          <w:tcPr>
            <w:tcW w:w="1660" w:type="dxa"/>
            <w:vAlign w:val="bottom"/>
            <w:shd w:val="clear" w:color="auto" w:fill="0075C9"/>
          </w:tcPr>
          <w:p>
            <w:pPr>
              <w:jc w:val="center"/>
              <w:ind w:left="2"/>
              <w:spacing w:after="0"/>
              <w:rPr>
                <w:sz w:val="20"/>
                <w:szCs w:val="20"/>
                <w:color w:val="auto"/>
              </w:rPr>
            </w:pPr>
            <w:r>
              <w:rPr>
                <w:rFonts w:ascii="Arial" w:cs="Arial" w:eastAsia="Arial" w:hAnsi="Arial"/>
                <w:sz w:val="14"/>
                <w:szCs w:val="14"/>
                <w:color w:val="FFFFFF"/>
              </w:rPr>
              <w:t>Salary</w:t>
            </w:r>
          </w:p>
        </w:tc>
        <w:tc>
          <w:tcPr>
            <w:tcW w:w="126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9"/>
              </w:rPr>
              <w:t>Bonus%</w:t>
            </w:r>
          </w:p>
        </w:tc>
        <w:tc>
          <w:tcPr>
            <w:tcW w:w="130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9"/>
              </w:rPr>
              <w:t>Multiplier</w:t>
            </w:r>
          </w:p>
        </w:tc>
        <w:tc>
          <w:tcPr>
            <w:tcW w:w="138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Multiplier</w:t>
            </w:r>
          </w:p>
        </w:tc>
        <w:tc>
          <w:tcPr>
            <w:tcW w:w="1480" w:type="dxa"/>
            <w:vAlign w:val="bottom"/>
            <w:shd w:val="clear" w:color="auto" w:fill="0075C9"/>
          </w:tcPr>
          <w:p>
            <w:pPr>
              <w:jc w:val="center"/>
              <w:ind w:left="42"/>
              <w:spacing w:after="0"/>
              <w:rPr>
                <w:sz w:val="20"/>
                <w:szCs w:val="20"/>
                <w:color w:val="auto"/>
              </w:rPr>
            </w:pPr>
            <w:r>
              <w:rPr>
                <w:rFonts w:ascii="Arial" w:cs="Arial" w:eastAsia="Arial" w:hAnsi="Arial"/>
                <w:sz w:val="14"/>
                <w:szCs w:val="14"/>
                <w:color w:val="FFFFFF"/>
              </w:rPr>
              <w:t>Award</w:t>
            </w:r>
          </w:p>
        </w:tc>
      </w:tr>
      <w:tr>
        <w:trPr>
          <w:trHeight w:val="299"/>
        </w:trPr>
        <w:tc>
          <w:tcPr>
            <w:tcW w:w="3820" w:type="dxa"/>
            <w:vAlign w:val="bottom"/>
            <w:tcBorders>
              <w:bottom w:val="single" w:sz="8" w:color="0075C9"/>
            </w:tcBorders>
            <w:shd w:val="clear" w:color="auto" w:fill="0075C9"/>
          </w:tcPr>
          <w:p>
            <w:pPr>
              <w:spacing w:after="0"/>
              <w:rPr>
                <w:sz w:val="24"/>
                <w:szCs w:val="24"/>
                <w:color w:val="auto"/>
              </w:rPr>
            </w:pPr>
          </w:p>
        </w:tc>
        <w:tc>
          <w:tcPr>
            <w:tcW w:w="1660" w:type="dxa"/>
            <w:vAlign w:val="bottom"/>
            <w:tcBorders>
              <w:bottom w:val="single" w:sz="8" w:color="0075C9"/>
            </w:tcBorders>
            <w:shd w:val="clear" w:color="auto" w:fill="0075C9"/>
          </w:tcPr>
          <w:p>
            <w:pPr>
              <w:jc w:val="center"/>
              <w:ind w:left="2"/>
              <w:spacing w:after="0"/>
              <w:rPr>
                <w:sz w:val="20"/>
                <w:szCs w:val="20"/>
                <w:color w:val="auto"/>
              </w:rPr>
            </w:pPr>
            <w:r>
              <w:rPr>
                <w:rFonts w:ascii="Arial" w:cs="Arial" w:eastAsia="Arial" w:hAnsi="Arial"/>
                <w:sz w:val="14"/>
                <w:szCs w:val="14"/>
                <w:color w:val="FFFFFF"/>
              </w:rPr>
              <w:t>(A) x</w:t>
            </w:r>
          </w:p>
        </w:tc>
        <w:tc>
          <w:tcPr>
            <w:tcW w:w="126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rPr>
              <w:t>(B) x</w:t>
            </w:r>
          </w:p>
        </w:tc>
        <w:tc>
          <w:tcPr>
            <w:tcW w:w="130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rPr>
              <w:t>(C) x</w:t>
            </w:r>
          </w:p>
        </w:tc>
        <w:tc>
          <w:tcPr>
            <w:tcW w:w="138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rPr>
              <w:t>(D) =</w:t>
            </w:r>
          </w:p>
        </w:tc>
        <w:tc>
          <w:tcPr>
            <w:tcW w:w="1480" w:type="dxa"/>
            <w:vAlign w:val="bottom"/>
            <w:tcBorders>
              <w:bottom w:val="single" w:sz="8" w:color="0075C9"/>
            </w:tcBorders>
            <w:shd w:val="clear" w:color="auto" w:fill="0075C9"/>
          </w:tcPr>
          <w:p>
            <w:pPr>
              <w:jc w:val="center"/>
              <w:ind w:left="42"/>
              <w:spacing w:after="0"/>
              <w:rPr>
                <w:sz w:val="20"/>
                <w:szCs w:val="20"/>
                <w:color w:val="auto"/>
              </w:rPr>
            </w:pPr>
            <w:r>
              <w:rPr>
                <w:rFonts w:ascii="Arial" w:cs="Arial" w:eastAsia="Arial" w:hAnsi="Arial"/>
                <w:sz w:val="14"/>
                <w:szCs w:val="14"/>
                <w:color w:val="FFFFFF"/>
              </w:rPr>
              <w:t>(E)</w:t>
            </w:r>
          </w:p>
        </w:tc>
      </w:tr>
      <w:tr>
        <w:trPr>
          <w:trHeight w:val="283"/>
        </w:trPr>
        <w:tc>
          <w:tcPr>
            <w:tcW w:w="3820" w:type="dxa"/>
            <w:vAlign w:val="bottom"/>
            <w:shd w:val="clear" w:color="auto" w:fill="E5F1F9"/>
          </w:tcPr>
          <w:p>
            <w:pPr>
              <w:spacing w:after="0"/>
              <w:rPr>
                <w:sz w:val="20"/>
                <w:szCs w:val="20"/>
                <w:color w:val="auto"/>
              </w:rPr>
            </w:pPr>
            <w:r>
              <w:rPr>
                <w:rFonts w:ascii="Arial" w:cs="Arial" w:eastAsia="Arial" w:hAnsi="Arial"/>
                <w:sz w:val="16"/>
                <w:szCs w:val="16"/>
                <w:color w:val="auto"/>
              </w:rPr>
              <w:t>  C. Viehbacher</w:t>
            </w:r>
          </w:p>
        </w:tc>
        <w:tc>
          <w:tcPr>
            <w:tcW w:w="1660" w:type="dxa"/>
            <w:vAlign w:val="bottom"/>
            <w:shd w:val="clear" w:color="auto" w:fill="E5F1F9"/>
          </w:tcPr>
          <w:p>
            <w:pPr>
              <w:jc w:val="center"/>
              <w:ind w:left="2"/>
              <w:spacing w:after="0"/>
              <w:rPr>
                <w:sz w:val="20"/>
                <w:szCs w:val="20"/>
                <w:color w:val="auto"/>
              </w:rPr>
            </w:pPr>
            <w:r>
              <w:rPr>
                <w:rFonts w:ascii="Arial" w:cs="Arial" w:eastAsia="Arial" w:hAnsi="Arial"/>
                <w:sz w:val="16"/>
                <w:szCs w:val="16"/>
                <w:color w:val="auto"/>
              </w:rPr>
              <w:t>$1,675,000</w:t>
            </w:r>
          </w:p>
        </w:tc>
        <w:tc>
          <w:tcPr>
            <w:tcW w:w="1260" w:type="dxa"/>
            <w:vAlign w:val="bottom"/>
            <w:shd w:val="clear" w:color="auto" w:fill="E5F1F9"/>
          </w:tcPr>
          <w:p>
            <w:pPr>
              <w:jc w:val="center"/>
              <w:spacing w:after="0"/>
              <w:rPr>
                <w:sz w:val="20"/>
                <w:szCs w:val="20"/>
                <w:color w:val="auto"/>
              </w:rPr>
            </w:pPr>
            <w:r>
              <w:rPr>
                <w:rFonts w:ascii="Arial" w:cs="Arial" w:eastAsia="Arial" w:hAnsi="Arial"/>
                <w:sz w:val="16"/>
                <w:szCs w:val="16"/>
                <w:color w:val="auto"/>
                <w:w w:val="97"/>
              </w:rPr>
              <w:t>150%</w:t>
            </w:r>
          </w:p>
        </w:tc>
        <w:tc>
          <w:tcPr>
            <w:tcW w:w="1300" w:type="dxa"/>
            <w:vAlign w:val="bottom"/>
            <w:shd w:val="clear" w:color="auto" w:fill="E5F1F9"/>
          </w:tcPr>
          <w:p>
            <w:pPr>
              <w:jc w:val="center"/>
              <w:spacing w:after="0"/>
              <w:rPr>
                <w:sz w:val="20"/>
                <w:szCs w:val="20"/>
                <w:color w:val="auto"/>
              </w:rPr>
            </w:pPr>
            <w:r>
              <w:rPr>
                <w:rFonts w:ascii="Arial" w:cs="Arial" w:eastAsia="Arial" w:hAnsi="Arial"/>
                <w:sz w:val="16"/>
                <w:szCs w:val="16"/>
                <w:color w:val="auto"/>
                <w:w w:val="97"/>
              </w:rPr>
              <w:t>127%</w:t>
            </w:r>
          </w:p>
        </w:tc>
        <w:tc>
          <w:tcPr>
            <w:tcW w:w="1380" w:type="dxa"/>
            <w:vAlign w:val="bottom"/>
            <w:shd w:val="clear" w:color="auto" w:fill="E5F1F9"/>
          </w:tcPr>
          <w:p>
            <w:pPr>
              <w:jc w:val="center"/>
              <w:spacing w:after="0"/>
              <w:rPr>
                <w:sz w:val="20"/>
                <w:szCs w:val="20"/>
                <w:color w:val="auto"/>
              </w:rPr>
            </w:pPr>
            <w:r>
              <w:rPr>
                <w:rFonts w:ascii="Arial" w:cs="Arial" w:eastAsia="Arial" w:hAnsi="Arial"/>
                <w:sz w:val="16"/>
                <w:szCs w:val="16"/>
                <w:color w:val="auto"/>
                <w:w w:val="95"/>
              </w:rPr>
              <w:t>100%</w:t>
            </w:r>
            <w:r>
              <w:rPr>
                <w:rFonts w:ascii="Arial" w:cs="Arial" w:eastAsia="Arial" w:hAnsi="Arial"/>
                <w:sz w:val="24"/>
                <w:szCs w:val="24"/>
                <w:color w:val="auto"/>
                <w:w w:val="95"/>
                <w:vertAlign w:val="superscript"/>
              </w:rPr>
              <w:t>(1)</w:t>
            </w:r>
          </w:p>
        </w:tc>
        <w:tc>
          <w:tcPr>
            <w:tcW w:w="1480" w:type="dxa"/>
            <w:vAlign w:val="bottom"/>
            <w:shd w:val="clear" w:color="auto" w:fill="E5F1F9"/>
          </w:tcPr>
          <w:p>
            <w:pPr>
              <w:jc w:val="center"/>
              <w:ind w:left="42"/>
              <w:spacing w:after="0"/>
              <w:rPr>
                <w:sz w:val="20"/>
                <w:szCs w:val="20"/>
                <w:color w:val="auto"/>
              </w:rPr>
            </w:pPr>
            <w:r>
              <w:rPr>
                <w:rFonts w:ascii="Arial" w:cs="Arial" w:eastAsia="Arial" w:hAnsi="Arial"/>
                <w:sz w:val="16"/>
                <w:szCs w:val="16"/>
                <w:color w:val="auto"/>
                <w:w w:val="99"/>
              </w:rPr>
              <w:t>$3,190,875</w:t>
            </w:r>
          </w:p>
        </w:tc>
      </w:tr>
      <w:tr>
        <w:trPr>
          <w:trHeight w:val="283"/>
        </w:trPr>
        <w:tc>
          <w:tcPr>
            <w:tcW w:w="3820" w:type="dxa"/>
            <w:vAlign w:val="bottom"/>
            <w:shd w:val="clear" w:color="auto" w:fill="B2D5EE"/>
          </w:tcPr>
          <w:p>
            <w:pPr>
              <w:spacing w:after="0"/>
              <w:rPr>
                <w:sz w:val="20"/>
                <w:szCs w:val="20"/>
                <w:color w:val="auto"/>
              </w:rPr>
            </w:pPr>
            <w:r>
              <w:rPr>
                <w:rFonts w:ascii="Arial" w:cs="Arial" w:eastAsia="Arial" w:hAnsi="Arial"/>
                <w:sz w:val="16"/>
                <w:szCs w:val="16"/>
                <w:color w:val="auto"/>
              </w:rPr>
              <w:t>  R. Kramer</w:t>
            </w:r>
            <w:r>
              <w:rPr>
                <w:rFonts w:ascii="Arial" w:cs="Arial" w:eastAsia="Arial" w:hAnsi="Arial"/>
                <w:sz w:val="24"/>
                <w:szCs w:val="24"/>
                <w:color w:val="auto"/>
                <w:vertAlign w:val="superscript"/>
              </w:rPr>
              <w:t>(2)</w:t>
            </w:r>
          </w:p>
        </w:tc>
        <w:tc>
          <w:tcPr>
            <w:tcW w:w="1660" w:type="dxa"/>
            <w:vAlign w:val="bottom"/>
            <w:shd w:val="clear" w:color="auto" w:fill="B2D5EE"/>
          </w:tcPr>
          <w:p>
            <w:pPr>
              <w:jc w:val="center"/>
              <w:ind w:left="2"/>
              <w:spacing w:after="0"/>
              <w:rPr>
                <w:sz w:val="20"/>
                <w:szCs w:val="20"/>
                <w:color w:val="auto"/>
              </w:rPr>
            </w:pPr>
            <w:r>
              <w:rPr>
                <w:rFonts w:ascii="Arial" w:cs="Arial" w:eastAsia="Arial" w:hAnsi="Arial"/>
                <w:sz w:val="16"/>
                <w:szCs w:val="16"/>
                <w:color w:val="auto"/>
                <w:w w:val="98"/>
              </w:rPr>
              <w:t>$750,000</w:t>
            </w:r>
          </w:p>
        </w:tc>
        <w:tc>
          <w:tcPr>
            <w:tcW w:w="1260" w:type="dxa"/>
            <w:vAlign w:val="bottom"/>
            <w:shd w:val="clear" w:color="auto" w:fill="B2D5EE"/>
          </w:tcPr>
          <w:p>
            <w:pPr>
              <w:jc w:val="center"/>
              <w:spacing w:after="0"/>
              <w:rPr>
                <w:sz w:val="20"/>
                <w:szCs w:val="20"/>
                <w:color w:val="auto"/>
              </w:rPr>
            </w:pPr>
            <w:r>
              <w:rPr>
                <w:rFonts w:ascii="Arial" w:cs="Arial" w:eastAsia="Arial" w:hAnsi="Arial"/>
                <w:sz w:val="16"/>
                <w:szCs w:val="16"/>
                <w:color w:val="auto"/>
                <w:w w:val="99"/>
              </w:rPr>
              <w:t>75%</w:t>
            </w:r>
          </w:p>
        </w:tc>
        <w:tc>
          <w:tcPr>
            <w:tcW w:w="1300" w:type="dxa"/>
            <w:vAlign w:val="bottom"/>
            <w:shd w:val="clear" w:color="auto" w:fill="B2D5EE"/>
          </w:tcPr>
          <w:p>
            <w:pPr>
              <w:jc w:val="center"/>
              <w:spacing w:after="0"/>
              <w:rPr>
                <w:sz w:val="20"/>
                <w:szCs w:val="20"/>
                <w:color w:val="auto"/>
              </w:rPr>
            </w:pPr>
            <w:r>
              <w:rPr>
                <w:rFonts w:ascii="Arial" w:cs="Arial" w:eastAsia="Arial" w:hAnsi="Arial"/>
                <w:sz w:val="16"/>
                <w:szCs w:val="16"/>
                <w:color w:val="auto"/>
                <w:w w:val="97"/>
              </w:rPr>
              <w:t>127%</w:t>
            </w:r>
          </w:p>
        </w:tc>
        <w:tc>
          <w:tcPr>
            <w:tcW w:w="1380" w:type="dxa"/>
            <w:vAlign w:val="bottom"/>
            <w:shd w:val="clear" w:color="auto" w:fill="B2D5EE"/>
          </w:tcPr>
          <w:p>
            <w:pPr>
              <w:jc w:val="center"/>
              <w:spacing w:after="0"/>
              <w:rPr>
                <w:sz w:val="20"/>
                <w:szCs w:val="20"/>
                <w:color w:val="auto"/>
              </w:rPr>
            </w:pPr>
            <w:r>
              <w:rPr>
                <w:rFonts w:ascii="Arial" w:cs="Arial" w:eastAsia="Arial" w:hAnsi="Arial"/>
                <w:sz w:val="16"/>
                <w:szCs w:val="16"/>
                <w:color w:val="auto"/>
              </w:rPr>
              <w:t>110%</w:t>
            </w:r>
          </w:p>
        </w:tc>
        <w:tc>
          <w:tcPr>
            <w:tcW w:w="1480" w:type="dxa"/>
            <w:vAlign w:val="bottom"/>
            <w:shd w:val="clear" w:color="auto" w:fill="B2D5EE"/>
          </w:tcPr>
          <w:p>
            <w:pPr>
              <w:jc w:val="center"/>
              <w:ind w:left="42"/>
              <w:spacing w:after="0"/>
              <w:rPr>
                <w:sz w:val="20"/>
                <w:szCs w:val="20"/>
                <w:color w:val="auto"/>
              </w:rPr>
            </w:pPr>
            <w:r>
              <w:rPr>
                <w:rFonts w:ascii="Arial" w:cs="Arial" w:eastAsia="Arial" w:hAnsi="Arial"/>
                <w:sz w:val="16"/>
                <w:szCs w:val="16"/>
                <w:color w:val="auto"/>
              </w:rPr>
              <w:t>$788,252</w:t>
            </w:r>
          </w:p>
        </w:tc>
      </w:tr>
      <w:tr>
        <w:trPr>
          <w:trHeight w:val="276"/>
        </w:trPr>
        <w:tc>
          <w:tcPr>
            <w:tcW w:w="3820" w:type="dxa"/>
            <w:vAlign w:val="bottom"/>
            <w:shd w:val="clear" w:color="auto" w:fill="E5F1F9"/>
          </w:tcPr>
          <w:p>
            <w:pPr>
              <w:spacing w:after="0"/>
              <w:rPr>
                <w:sz w:val="20"/>
                <w:szCs w:val="20"/>
                <w:color w:val="auto"/>
              </w:rPr>
            </w:pPr>
            <w:r>
              <w:rPr>
                <w:rFonts w:ascii="Arial" w:cs="Arial" w:eastAsia="Arial" w:hAnsi="Arial"/>
                <w:sz w:val="16"/>
                <w:szCs w:val="16"/>
                <w:color w:val="auto"/>
              </w:rPr>
              <w:t>  S. Alexander</w:t>
            </w:r>
          </w:p>
        </w:tc>
        <w:tc>
          <w:tcPr>
            <w:tcW w:w="1660" w:type="dxa"/>
            <w:vAlign w:val="bottom"/>
            <w:shd w:val="clear" w:color="auto" w:fill="E5F1F9"/>
          </w:tcPr>
          <w:p>
            <w:pPr>
              <w:jc w:val="center"/>
              <w:ind w:left="2"/>
              <w:spacing w:after="0"/>
              <w:rPr>
                <w:sz w:val="20"/>
                <w:szCs w:val="20"/>
                <w:color w:val="auto"/>
              </w:rPr>
            </w:pPr>
            <w:r>
              <w:rPr>
                <w:rFonts w:ascii="Arial" w:cs="Arial" w:eastAsia="Arial" w:hAnsi="Arial"/>
                <w:sz w:val="16"/>
                <w:szCs w:val="16"/>
                <w:color w:val="auto"/>
                <w:w w:val="98"/>
              </w:rPr>
              <w:t>$995,706</w:t>
            </w:r>
          </w:p>
        </w:tc>
        <w:tc>
          <w:tcPr>
            <w:tcW w:w="1260" w:type="dxa"/>
            <w:vAlign w:val="bottom"/>
            <w:shd w:val="clear" w:color="auto" w:fill="E5F1F9"/>
          </w:tcPr>
          <w:p>
            <w:pPr>
              <w:jc w:val="center"/>
              <w:spacing w:after="0"/>
              <w:rPr>
                <w:sz w:val="20"/>
                <w:szCs w:val="20"/>
                <w:color w:val="auto"/>
              </w:rPr>
            </w:pPr>
            <w:r>
              <w:rPr>
                <w:rFonts w:ascii="Arial" w:cs="Arial" w:eastAsia="Arial" w:hAnsi="Arial"/>
                <w:sz w:val="16"/>
                <w:szCs w:val="16"/>
                <w:color w:val="auto"/>
                <w:w w:val="99"/>
              </w:rPr>
              <w:t>80%</w:t>
            </w:r>
          </w:p>
        </w:tc>
        <w:tc>
          <w:tcPr>
            <w:tcW w:w="1300" w:type="dxa"/>
            <w:vAlign w:val="bottom"/>
            <w:shd w:val="clear" w:color="auto" w:fill="E5F1F9"/>
          </w:tcPr>
          <w:p>
            <w:pPr>
              <w:jc w:val="center"/>
              <w:spacing w:after="0"/>
              <w:rPr>
                <w:sz w:val="20"/>
                <w:szCs w:val="20"/>
                <w:color w:val="auto"/>
              </w:rPr>
            </w:pPr>
            <w:r>
              <w:rPr>
                <w:rFonts w:ascii="Arial" w:cs="Arial" w:eastAsia="Arial" w:hAnsi="Arial"/>
                <w:sz w:val="16"/>
                <w:szCs w:val="16"/>
                <w:color w:val="auto"/>
                <w:w w:val="97"/>
              </w:rPr>
              <w:t>127%</w:t>
            </w:r>
          </w:p>
        </w:tc>
        <w:tc>
          <w:tcPr>
            <w:tcW w:w="138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105%</w:t>
            </w:r>
          </w:p>
        </w:tc>
        <w:tc>
          <w:tcPr>
            <w:tcW w:w="1480" w:type="dxa"/>
            <w:vAlign w:val="bottom"/>
            <w:shd w:val="clear" w:color="auto" w:fill="E5F1F9"/>
          </w:tcPr>
          <w:p>
            <w:pPr>
              <w:jc w:val="center"/>
              <w:ind w:left="42"/>
              <w:spacing w:after="0"/>
              <w:rPr>
                <w:sz w:val="20"/>
                <w:szCs w:val="20"/>
                <w:color w:val="auto"/>
              </w:rPr>
            </w:pPr>
            <w:r>
              <w:rPr>
                <w:rFonts w:ascii="Arial" w:cs="Arial" w:eastAsia="Arial" w:hAnsi="Arial"/>
                <w:sz w:val="16"/>
                <w:szCs w:val="16"/>
                <w:color w:val="auto"/>
                <w:w w:val="99"/>
              </w:rPr>
              <w:t>$1,062,219</w:t>
            </w:r>
          </w:p>
        </w:tc>
      </w:tr>
      <w:tr>
        <w:trPr>
          <w:trHeight w:val="291"/>
        </w:trPr>
        <w:tc>
          <w:tcPr>
            <w:tcW w:w="3820" w:type="dxa"/>
            <w:vAlign w:val="bottom"/>
            <w:shd w:val="clear" w:color="auto" w:fill="B2D5EE"/>
          </w:tcPr>
          <w:p>
            <w:pPr>
              <w:spacing w:after="0"/>
              <w:rPr>
                <w:sz w:val="20"/>
                <w:szCs w:val="20"/>
                <w:color w:val="auto"/>
              </w:rPr>
            </w:pPr>
            <w:r>
              <w:rPr>
                <w:rFonts w:ascii="Arial" w:cs="Arial" w:eastAsia="Arial" w:hAnsi="Arial"/>
                <w:sz w:val="16"/>
                <w:szCs w:val="16"/>
                <w:color w:val="auto"/>
              </w:rPr>
              <w:t>  N. Murphy</w:t>
            </w:r>
          </w:p>
        </w:tc>
        <w:tc>
          <w:tcPr>
            <w:tcW w:w="1660" w:type="dxa"/>
            <w:vAlign w:val="bottom"/>
            <w:shd w:val="clear" w:color="auto" w:fill="B2D5EE"/>
          </w:tcPr>
          <w:p>
            <w:pPr>
              <w:jc w:val="center"/>
              <w:ind w:left="2"/>
              <w:spacing w:after="0"/>
              <w:rPr>
                <w:sz w:val="20"/>
                <w:szCs w:val="20"/>
                <w:color w:val="auto"/>
              </w:rPr>
            </w:pPr>
            <w:r>
              <w:rPr>
                <w:rFonts w:ascii="Arial" w:cs="Arial" w:eastAsia="Arial" w:hAnsi="Arial"/>
                <w:sz w:val="16"/>
                <w:szCs w:val="16"/>
                <w:color w:val="auto"/>
                <w:w w:val="98"/>
              </w:rPr>
              <w:t>$892,688</w:t>
            </w:r>
          </w:p>
        </w:tc>
        <w:tc>
          <w:tcPr>
            <w:tcW w:w="1260" w:type="dxa"/>
            <w:vAlign w:val="bottom"/>
            <w:shd w:val="clear" w:color="auto" w:fill="B2D5EE"/>
          </w:tcPr>
          <w:p>
            <w:pPr>
              <w:jc w:val="center"/>
              <w:spacing w:after="0"/>
              <w:rPr>
                <w:sz w:val="20"/>
                <w:szCs w:val="20"/>
                <w:color w:val="auto"/>
              </w:rPr>
            </w:pPr>
            <w:r>
              <w:rPr>
                <w:rFonts w:ascii="Arial" w:cs="Arial" w:eastAsia="Arial" w:hAnsi="Arial"/>
                <w:sz w:val="16"/>
                <w:szCs w:val="16"/>
                <w:color w:val="auto"/>
                <w:w w:val="99"/>
              </w:rPr>
              <w:t>75%</w:t>
            </w:r>
          </w:p>
        </w:tc>
        <w:tc>
          <w:tcPr>
            <w:tcW w:w="1300" w:type="dxa"/>
            <w:vAlign w:val="bottom"/>
            <w:shd w:val="clear" w:color="auto" w:fill="B2D5EE"/>
          </w:tcPr>
          <w:p>
            <w:pPr>
              <w:jc w:val="center"/>
              <w:spacing w:after="0"/>
              <w:rPr>
                <w:sz w:val="20"/>
                <w:szCs w:val="20"/>
                <w:color w:val="auto"/>
              </w:rPr>
            </w:pPr>
            <w:r>
              <w:rPr>
                <w:rFonts w:ascii="Arial" w:cs="Arial" w:eastAsia="Arial" w:hAnsi="Arial"/>
                <w:sz w:val="16"/>
                <w:szCs w:val="16"/>
                <w:color w:val="auto"/>
                <w:w w:val="97"/>
              </w:rPr>
              <w:t>127%</w:t>
            </w:r>
          </w:p>
        </w:tc>
        <w:tc>
          <w:tcPr>
            <w:tcW w:w="1380" w:type="dxa"/>
            <w:vAlign w:val="bottom"/>
            <w:shd w:val="clear" w:color="auto" w:fill="B2D5EE"/>
          </w:tcPr>
          <w:p>
            <w:pPr>
              <w:jc w:val="center"/>
              <w:spacing w:after="0"/>
              <w:rPr>
                <w:sz w:val="20"/>
                <w:szCs w:val="20"/>
                <w:color w:val="auto"/>
              </w:rPr>
            </w:pPr>
            <w:r>
              <w:rPr>
                <w:rFonts w:ascii="Arial" w:cs="Arial" w:eastAsia="Arial" w:hAnsi="Arial"/>
                <w:sz w:val="16"/>
                <w:szCs w:val="16"/>
                <w:color w:val="auto"/>
              </w:rPr>
              <w:t>115%</w:t>
            </w:r>
          </w:p>
        </w:tc>
        <w:tc>
          <w:tcPr>
            <w:tcW w:w="1480" w:type="dxa"/>
            <w:vAlign w:val="bottom"/>
            <w:shd w:val="clear" w:color="auto" w:fill="B2D5EE"/>
          </w:tcPr>
          <w:p>
            <w:pPr>
              <w:jc w:val="center"/>
              <w:ind w:left="42"/>
              <w:spacing w:after="0"/>
              <w:rPr>
                <w:sz w:val="20"/>
                <w:szCs w:val="20"/>
                <w:color w:val="auto"/>
              </w:rPr>
            </w:pPr>
            <w:r>
              <w:rPr>
                <w:rFonts w:ascii="Arial" w:cs="Arial" w:eastAsia="Arial" w:hAnsi="Arial"/>
                <w:sz w:val="16"/>
                <w:szCs w:val="16"/>
                <w:color w:val="auto"/>
              </w:rPr>
              <w:t>$977,828</w:t>
            </w:r>
          </w:p>
        </w:tc>
      </w:tr>
      <w:tr>
        <w:trPr>
          <w:trHeight w:val="284"/>
        </w:trPr>
        <w:tc>
          <w:tcPr>
            <w:tcW w:w="3820" w:type="dxa"/>
            <w:vAlign w:val="bottom"/>
            <w:shd w:val="clear" w:color="auto" w:fill="E5F1F9"/>
          </w:tcPr>
          <w:p>
            <w:pPr>
              <w:spacing w:after="0"/>
              <w:rPr>
                <w:sz w:val="20"/>
                <w:szCs w:val="20"/>
                <w:color w:val="auto"/>
              </w:rPr>
            </w:pPr>
            <w:r>
              <w:rPr>
                <w:rFonts w:ascii="Arial" w:cs="Arial" w:eastAsia="Arial" w:hAnsi="Arial"/>
                <w:sz w:val="16"/>
                <w:szCs w:val="16"/>
                <w:color w:val="auto"/>
              </w:rPr>
              <w:t>  P. Singhal</w:t>
            </w:r>
          </w:p>
        </w:tc>
        <w:tc>
          <w:tcPr>
            <w:tcW w:w="1660" w:type="dxa"/>
            <w:vAlign w:val="bottom"/>
            <w:shd w:val="clear" w:color="auto" w:fill="E5F1F9"/>
          </w:tcPr>
          <w:p>
            <w:pPr>
              <w:jc w:val="center"/>
              <w:ind w:left="2"/>
              <w:spacing w:after="0"/>
              <w:rPr>
                <w:sz w:val="20"/>
                <w:szCs w:val="20"/>
                <w:color w:val="auto"/>
              </w:rPr>
            </w:pPr>
            <w:r>
              <w:rPr>
                <w:rFonts w:ascii="Arial" w:cs="Arial" w:eastAsia="Arial" w:hAnsi="Arial"/>
                <w:sz w:val="16"/>
                <w:szCs w:val="16"/>
                <w:color w:val="auto"/>
                <w:w w:val="98"/>
              </w:rPr>
              <w:t>$907,500</w:t>
            </w:r>
          </w:p>
        </w:tc>
        <w:tc>
          <w:tcPr>
            <w:tcW w:w="1260" w:type="dxa"/>
            <w:vAlign w:val="bottom"/>
            <w:shd w:val="clear" w:color="auto" w:fill="E5F1F9"/>
          </w:tcPr>
          <w:p>
            <w:pPr>
              <w:jc w:val="center"/>
              <w:spacing w:after="0"/>
              <w:rPr>
                <w:sz w:val="20"/>
                <w:szCs w:val="20"/>
                <w:color w:val="auto"/>
              </w:rPr>
            </w:pPr>
            <w:r>
              <w:rPr>
                <w:rFonts w:ascii="Arial" w:cs="Arial" w:eastAsia="Arial" w:hAnsi="Arial"/>
                <w:sz w:val="16"/>
                <w:szCs w:val="16"/>
                <w:color w:val="auto"/>
                <w:w w:val="99"/>
              </w:rPr>
              <w:t>75%</w:t>
            </w:r>
          </w:p>
        </w:tc>
        <w:tc>
          <w:tcPr>
            <w:tcW w:w="1300" w:type="dxa"/>
            <w:vAlign w:val="bottom"/>
            <w:shd w:val="clear" w:color="auto" w:fill="E5F1F9"/>
          </w:tcPr>
          <w:p>
            <w:pPr>
              <w:jc w:val="center"/>
              <w:spacing w:after="0"/>
              <w:rPr>
                <w:sz w:val="20"/>
                <w:szCs w:val="20"/>
                <w:color w:val="auto"/>
              </w:rPr>
            </w:pPr>
            <w:r>
              <w:rPr>
                <w:rFonts w:ascii="Arial" w:cs="Arial" w:eastAsia="Arial" w:hAnsi="Arial"/>
                <w:sz w:val="16"/>
                <w:szCs w:val="16"/>
                <w:color w:val="auto"/>
                <w:w w:val="97"/>
              </w:rPr>
              <w:t>127%</w:t>
            </w:r>
          </w:p>
        </w:tc>
        <w:tc>
          <w:tcPr>
            <w:tcW w:w="138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110%</w:t>
            </w:r>
          </w:p>
        </w:tc>
        <w:tc>
          <w:tcPr>
            <w:tcW w:w="1480" w:type="dxa"/>
            <w:vAlign w:val="bottom"/>
            <w:shd w:val="clear" w:color="auto" w:fill="E5F1F9"/>
          </w:tcPr>
          <w:p>
            <w:pPr>
              <w:jc w:val="center"/>
              <w:ind w:left="42"/>
              <w:spacing w:after="0"/>
              <w:rPr>
                <w:sz w:val="20"/>
                <w:szCs w:val="20"/>
                <w:color w:val="auto"/>
              </w:rPr>
            </w:pPr>
            <w:r>
              <w:rPr>
                <w:rFonts w:ascii="Arial" w:cs="Arial" w:eastAsia="Arial" w:hAnsi="Arial"/>
                <w:sz w:val="16"/>
                <w:szCs w:val="16"/>
                <w:color w:val="auto"/>
              </w:rPr>
              <w:t>$950,833</w:t>
            </w: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Notes to 2025 STI program Awards Table</w:t>
      </w:r>
    </w:p>
    <w:p>
      <w:pPr>
        <w:spacing w:after="0" w:line="129" w:lineRule="exact"/>
        <w:rPr>
          <w:sz w:val="20"/>
          <w:szCs w:val="20"/>
          <w:color w:val="auto"/>
        </w:rPr>
      </w:pPr>
    </w:p>
    <w:p>
      <w:pPr>
        <w:ind w:left="540" w:right="240" w:hanging="424"/>
        <w:spacing w:after="0" w:line="285"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CMDC elected to calculate the CEO individual bonus multiplier component of the STI plan solely based on company results, and incentivize superior individual performance through LTI, shifting short-term cash compensation to directly align with long-term company performance</w:t>
      </w:r>
    </w:p>
    <w:p>
      <w:pPr>
        <w:spacing w:after="0" w:line="63" w:lineRule="exact"/>
        <w:rPr>
          <w:rFonts w:ascii="Arial" w:cs="Arial" w:eastAsia="Arial" w:hAnsi="Arial"/>
          <w:sz w:val="14"/>
          <w:szCs w:val="14"/>
          <w:color w:val="auto"/>
        </w:rPr>
      </w:pPr>
    </w:p>
    <w:p>
      <w:pPr>
        <w:ind w:left="540" w:hanging="424"/>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Ms. Kramer’s target bonus percentage was prorated due to promotion in 2025</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Individual Performance Goals and Results</w:t>
      </w:r>
    </w:p>
    <w:p>
      <w:pPr>
        <w:spacing w:after="0" w:line="108"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The Individual Multiplier reflects each NEO’s overall individual performance rating that is determined as part of our performance assessment process. Each NEO’s Individual Multiplier is based on an evaluation of his or her overall performance and consideration of the achievement of individual goals established at the beginning of the year. Goals may be both quantitative and qualitative. For 2025 Mr. Viehbacher recommended to our CMDC an Individual Multiplier for each actively employed NEO (other than himself) based on his assessment of their individual contributions for the year. In addition, the CMDC reviews on a qualitative basis each NEO’s other contributions to the company and business, leadership competencies and relative performance among all executive officers in determining Individual Multipliers. In its evaluation, the CMDC assigned Individual Multipliers to each actively employed NEO, other than Mr. Viehbacher, between 105% and 115% based on the accomplishments listed below. The CMDC recommended, and the Board approved, Mr. Viehbacher’s bonus with an Individual Multiplier of 100% and Company Multiplier of 127%. The CMDC elected to calculate the CEO individual bonus multiplier solely based on company results, and incentivize superior individual performance through LTI awards, shifting short-term cash compensation to directly align with long-term company performance. This decision emphasizes linking STI payout to the strategic and financial achievements of this year.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Christopher Viehbacher</w:t>
      </w:r>
    </w:p>
    <w:p>
      <w:pPr>
        <w:spacing w:after="0" w:line="113" w:lineRule="exact"/>
        <w:rPr>
          <w:sz w:val="20"/>
          <w:szCs w:val="20"/>
          <w:color w:val="auto"/>
        </w:rPr>
      </w:pPr>
    </w:p>
    <w:p>
      <w:pPr>
        <w:ind w:left="120" w:right="300"/>
        <w:spacing w:after="0" w:line="266" w:lineRule="auto"/>
        <w:rPr>
          <w:sz w:val="20"/>
          <w:szCs w:val="20"/>
          <w:color w:val="auto"/>
        </w:rPr>
      </w:pPr>
      <w:r>
        <w:rPr>
          <w:rFonts w:ascii="Arial" w:cs="Arial" w:eastAsia="Arial" w:hAnsi="Arial"/>
          <w:sz w:val="16"/>
          <w:szCs w:val="16"/>
          <w:color w:val="auto"/>
        </w:rPr>
        <w:t>In determining CEO performance, the Board balances both short-term performance and long-term stockholder value creation. To determine the 2025 CEO annual bonus, the Board considered the company financial results and the actions executed in the year to reposition the company’s portfolio and create future stockholder value.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believes that Mr. Viehbacher is focused on the right priorities to return Biogen to growth, and has performed well in achieving the following:</w:t>
      </w:r>
    </w:p>
    <w:p>
      <w:pPr>
        <w:spacing w:after="0" w:line="21" w:lineRule="exact"/>
        <w:rPr>
          <w:sz w:val="20"/>
          <w:szCs w:val="20"/>
          <w:color w:val="auto"/>
        </w:rPr>
      </w:pPr>
    </w:p>
    <w:p>
      <w:pPr>
        <w:ind w:left="120" w:right="180" w:hanging="4"/>
        <w:spacing w:after="0" w:line="256" w:lineRule="auto"/>
        <w:tabs>
          <w:tab w:leader="none" w:pos="363" w:val="left"/>
        </w:tabs>
        <w:numPr>
          <w:ilvl w:val="0"/>
          <w:numId w:val="92"/>
        </w:numPr>
        <w:rPr>
          <w:rFonts w:ascii="Arial" w:cs="Arial" w:eastAsia="Arial" w:hAnsi="Arial"/>
          <w:sz w:val="16"/>
          <w:szCs w:val="16"/>
          <w:color w:val="auto"/>
        </w:rPr>
      </w:pPr>
      <w:r>
        <w:rPr>
          <w:rFonts w:ascii="Arial" w:cs="Arial" w:eastAsia="Arial" w:hAnsi="Arial"/>
          <w:sz w:val="16"/>
          <w:szCs w:val="16"/>
          <w:color w:val="auto"/>
        </w:rPr>
        <w:t>shifting focus and resources from legacy products to growth areas; (2) reducing and re-deploying the company cost base, leading to gross operating expense savings of approximately $1 billion; (3) focusing the R&amp;D portfolio on value-creating programs; and (4) seeking and executing external growth opportunities.</w:t>
      </w:r>
    </w:p>
    <w:p>
      <w:pPr>
        <w:spacing w:after="0" w:line="125"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-41-</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Specifically, we note the following achievements in Mr. Viehbacher’s third year as CEO of Biogen:</w:t>
      </w:r>
    </w:p>
    <w:p>
      <w:pPr>
        <w:spacing w:after="0" w:line="127" w:lineRule="exact"/>
        <w:rPr>
          <w:sz w:val="20"/>
          <w:szCs w:val="20"/>
          <w:color w:val="auto"/>
        </w:rPr>
      </w:pPr>
    </w:p>
    <w:p>
      <w:pPr>
        <w:ind w:left="440" w:right="660" w:hanging="324"/>
        <w:spacing w:after="0" w:line="205" w:lineRule="auto"/>
        <w:tabs>
          <w:tab w:leader="none" w:pos="440" w:val="left"/>
        </w:tabs>
        <w:numPr>
          <w:ilvl w:val="0"/>
          <w:numId w:val="93"/>
        </w:numPr>
        <w:rPr>
          <w:rFonts w:ascii="Arial" w:cs="Arial" w:eastAsia="Arial" w:hAnsi="Arial"/>
          <w:sz w:val="16"/>
          <w:szCs w:val="16"/>
          <w:color w:val="0075C9"/>
        </w:rPr>
      </w:pPr>
      <w:r>
        <w:rPr>
          <w:rFonts w:ascii="Arial" w:cs="Arial" w:eastAsia="Arial" w:hAnsi="Arial"/>
          <w:sz w:val="16"/>
          <w:szCs w:val="16"/>
          <w:color w:val="auto"/>
        </w:rPr>
        <w:t>Influencing strong partnerships with external collaborators and executing growth product commercialization, leading to a 19% year-over-year increase in growth product revenue.</w:t>
      </w:r>
      <w:r>
        <w:rPr>
          <w:rFonts w:ascii="Arial" w:cs="Arial" w:eastAsia="Arial" w:hAnsi="Arial"/>
          <w:sz w:val="24"/>
          <w:szCs w:val="24"/>
          <w:color w:val="auto"/>
          <w:vertAlign w:val="superscript"/>
        </w:rPr>
        <w:t>6</w:t>
      </w:r>
    </w:p>
    <w:p>
      <w:pPr>
        <w:spacing w:after="0" w:line="1" w:lineRule="exact"/>
        <w:rPr>
          <w:rFonts w:ascii="Arial" w:cs="Arial" w:eastAsia="Arial" w:hAnsi="Arial"/>
          <w:sz w:val="16"/>
          <w:szCs w:val="16"/>
          <w:color w:val="0075C9"/>
        </w:rPr>
      </w:pPr>
    </w:p>
    <w:p>
      <w:pPr>
        <w:ind w:left="440" w:right="20" w:hanging="324"/>
        <w:spacing w:after="0" w:line="246" w:lineRule="auto"/>
        <w:tabs>
          <w:tab w:leader="none" w:pos="440" w:val="left"/>
        </w:tabs>
        <w:numPr>
          <w:ilvl w:val="0"/>
          <w:numId w:val="93"/>
        </w:numPr>
        <w:rPr>
          <w:rFonts w:ascii="Arial" w:cs="Arial" w:eastAsia="Arial" w:hAnsi="Arial"/>
          <w:sz w:val="16"/>
          <w:szCs w:val="16"/>
          <w:color w:val="0075C9"/>
        </w:rPr>
      </w:pPr>
      <w:r>
        <w:rPr>
          <w:rFonts w:ascii="Arial" w:cs="Arial" w:eastAsia="Arial" w:hAnsi="Arial"/>
          <w:sz w:val="16"/>
          <w:szCs w:val="16"/>
          <w:color w:val="auto"/>
        </w:rPr>
        <w:t>Continued the diversification of Biogen’s portfolio through external collaboration and acquisition, funded in part by the realization of cost savings through the Fit for Growth initiative, by adding and advancing assets in immunology, neurology and rare disease. This included the ex-US licensing of zorevunersen from Stoke for Dravet syndrome, the acquisition of Alcyone enabling more convenient SPINRAZA administration in a competitive SMA market, licensing an oral C5aR1 antagonist from Vanqua to strengthen our immunology portfolio, and establishing research collaborations with Dayra and City to develop assets in immunology and Alzheimer’s disease, respectively.</w:t>
      </w:r>
    </w:p>
    <w:p>
      <w:pPr>
        <w:spacing w:after="0" w:line="2" w:lineRule="exact"/>
        <w:rPr>
          <w:rFonts w:ascii="Arial" w:cs="Arial" w:eastAsia="Arial" w:hAnsi="Arial"/>
          <w:sz w:val="16"/>
          <w:szCs w:val="16"/>
          <w:color w:val="0075C9"/>
        </w:rPr>
      </w:pPr>
    </w:p>
    <w:p>
      <w:pPr>
        <w:ind w:left="440" w:right="20" w:hanging="324"/>
        <w:spacing w:after="0" w:line="246" w:lineRule="auto"/>
        <w:tabs>
          <w:tab w:leader="none" w:pos="440" w:val="left"/>
        </w:tabs>
        <w:numPr>
          <w:ilvl w:val="0"/>
          <w:numId w:val="93"/>
        </w:numPr>
        <w:rPr>
          <w:rFonts w:ascii="Arial" w:cs="Arial" w:eastAsia="Arial" w:hAnsi="Arial"/>
          <w:sz w:val="16"/>
          <w:szCs w:val="16"/>
          <w:color w:val="0075C9"/>
        </w:rPr>
      </w:pPr>
      <w:r>
        <w:rPr>
          <w:rFonts w:ascii="Arial" w:cs="Arial" w:eastAsia="Arial" w:hAnsi="Arial"/>
          <w:sz w:val="16"/>
          <w:szCs w:val="16"/>
          <w:color w:val="auto"/>
        </w:rPr>
        <w:t>Beyond these business development deals, Mr. Viehbacher drove investments in Biogen’s pipeline, leading to funding 10 Phase 3 programs with potential targets in various immunological diseases, rare disease, and neurological indications. These include three Phase 3 studies for felzartamab in AMR, IgAN and PMN. We also funded a Phase 3 study for SKYCLARYS in pediatric patients and ongoing Phase 3 studies for litifilimab and dapirolizumab pegol targeting indications for lupus patients. In addition to these late-stage pipeline developments, we have delivered two IND submissions targeting immunology indications, produced positive Phase 1 data for salanersen and received FDA Fast Track Designation for BIIB080.</w:t>
      </w:r>
    </w:p>
    <w:p>
      <w:pPr>
        <w:spacing w:after="0" w:line="2" w:lineRule="exact"/>
        <w:rPr>
          <w:rFonts w:ascii="Arial" w:cs="Arial" w:eastAsia="Arial" w:hAnsi="Arial"/>
          <w:sz w:val="16"/>
          <w:szCs w:val="16"/>
          <w:color w:val="0075C9"/>
        </w:rPr>
      </w:pPr>
    </w:p>
    <w:p>
      <w:pPr>
        <w:ind w:left="440" w:right="40" w:hanging="324"/>
        <w:spacing w:after="0" w:line="265" w:lineRule="auto"/>
        <w:tabs>
          <w:tab w:leader="none" w:pos="440" w:val="left"/>
        </w:tabs>
        <w:numPr>
          <w:ilvl w:val="0"/>
          <w:numId w:val="93"/>
        </w:numPr>
        <w:rPr>
          <w:rFonts w:ascii="Arial" w:cs="Arial" w:eastAsia="Arial" w:hAnsi="Arial"/>
          <w:sz w:val="16"/>
          <w:szCs w:val="16"/>
          <w:color w:val="0075C9"/>
        </w:rPr>
      </w:pPr>
      <w:r>
        <w:rPr>
          <w:rFonts w:ascii="Arial" w:cs="Arial" w:eastAsia="Arial" w:hAnsi="Arial"/>
          <w:sz w:val="16"/>
          <w:szCs w:val="16"/>
          <w:color w:val="auto"/>
        </w:rPr>
        <w:t>Strengthened community engagement and cultivated deep academic and medical partnerships with leading experts. Mr. Viehbacher also accelerated internal talent priorities to empower the expansion of our pipeline and commercial portfolio outside our traditional focus on neurological diseases.</w:t>
      </w:r>
    </w:p>
    <w:p>
      <w:pPr>
        <w:spacing w:after="0" w:line="64"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In summary, the Board believes that Mr. Viehbacher’s performance has addressed strategic priorities, improved the diversification and growth of our portfolio, has improved internal and external relationships with key stakeholders, and continues to drive a culture of performance and accountability with the goal of contributing to sustainable long-term stockholder value creation.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Robin Kramer</w:t>
      </w:r>
    </w:p>
    <w:p>
      <w:pPr>
        <w:spacing w:after="0" w:line="21" w:lineRule="exact"/>
        <w:rPr>
          <w:sz w:val="20"/>
          <w:szCs w:val="20"/>
          <w:color w:val="auto"/>
        </w:rPr>
      </w:pPr>
    </w:p>
    <w:p>
      <w:pPr>
        <w:ind w:left="440" w:hanging="324"/>
        <w:spacing w:after="0"/>
        <w:tabs>
          <w:tab w:leader="none" w:pos="440" w:val="left"/>
        </w:tabs>
        <w:numPr>
          <w:ilvl w:val="0"/>
          <w:numId w:val="94"/>
        </w:numPr>
        <w:rPr>
          <w:rFonts w:ascii="Arial" w:cs="Arial" w:eastAsia="Arial" w:hAnsi="Arial"/>
          <w:sz w:val="16"/>
          <w:szCs w:val="16"/>
          <w:color w:val="0075C9"/>
        </w:rPr>
      </w:pPr>
      <w:r>
        <w:rPr>
          <w:rFonts w:ascii="Arial" w:cs="Arial" w:eastAsia="Arial" w:hAnsi="Arial"/>
          <w:sz w:val="16"/>
          <w:szCs w:val="16"/>
          <w:color w:val="auto"/>
        </w:rPr>
        <w:t>Drove strong financial performance against objectives approved by our CMDC and contained in the Company’s 2025 AOP.</w:t>
      </w:r>
    </w:p>
    <w:p>
      <w:pPr>
        <w:spacing w:after="0" w:line="5" w:lineRule="exact"/>
        <w:rPr>
          <w:rFonts w:ascii="Arial" w:cs="Arial" w:eastAsia="Arial" w:hAnsi="Arial"/>
          <w:sz w:val="16"/>
          <w:szCs w:val="16"/>
          <w:color w:val="0075C9"/>
        </w:rPr>
      </w:pPr>
    </w:p>
    <w:p>
      <w:pPr>
        <w:ind w:left="440" w:right="300" w:hanging="324"/>
        <w:spacing w:after="0" w:line="246" w:lineRule="auto"/>
        <w:tabs>
          <w:tab w:leader="none" w:pos="440" w:val="left"/>
        </w:tabs>
        <w:numPr>
          <w:ilvl w:val="0"/>
          <w:numId w:val="94"/>
        </w:numPr>
        <w:rPr>
          <w:rFonts w:ascii="Arial" w:cs="Arial" w:eastAsia="Arial" w:hAnsi="Arial"/>
          <w:sz w:val="16"/>
          <w:szCs w:val="16"/>
          <w:color w:val="0075C9"/>
        </w:rPr>
      </w:pPr>
      <w:r>
        <w:rPr>
          <w:rFonts w:ascii="Arial" w:cs="Arial" w:eastAsia="Arial" w:hAnsi="Arial"/>
          <w:sz w:val="16"/>
          <w:szCs w:val="16"/>
          <w:color w:val="auto"/>
        </w:rPr>
        <w:t>Led a refresh of the investor relations engagement plan with an aim towards improving investor sentiment regarding Biogen, effectively managing analyst expectations and increasing investor and analyst understanding of the pipeline programs and their value.</w:t>
      </w:r>
    </w:p>
    <w:p>
      <w:pPr>
        <w:ind w:left="440" w:right="420" w:hanging="324"/>
        <w:spacing w:after="0" w:line="246" w:lineRule="auto"/>
        <w:tabs>
          <w:tab w:leader="none" w:pos="440" w:val="left"/>
        </w:tabs>
        <w:numPr>
          <w:ilvl w:val="0"/>
          <w:numId w:val="94"/>
        </w:numPr>
        <w:rPr>
          <w:rFonts w:ascii="Arial" w:cs="Arial" w:eastAsia="Arial" w:hAnsi="Arial"/>
          <w:sz w:val="16"/>
          <w:szCs w:val="16"/>
          <w:color w:val="0075C9"/>
        </w:rPr>
      </w:pPr>
      <w:r>
        <w:rPr>
          <w:rFonts w:ascii="Arial" w:cs="Arial" w:eastAsia="Arial" w:hAnsi="Arial"/>
          <w:sz w:val="16"/>
          <w:szCs w:val="16"/>
          <w:color w:val="auto"/>
        </w:rPr>
        <w:t>Effectively managed through macro/industry uncertainty and partnered with Biogen’s policy, government and corporate affairs teams to advance Biogen’s interests.</w:t>
      </w:r>
    </w:p>
    <w:p>
      <w:pPr>
        <w:ind w:left="440" w:right="480" w:hanging="324"/>
        <w:spacing w:after="0" w:line="246" w:lineRule="auto"/>
        <w:tabs>
          <w:tab w:leader="none" w:pos="440" w:val="left"/>
        </w:tabs>
        <w:numPr>
          <w:ilvl w:val="0"/>
          <w:numId w:val="94"/>
        </w:numPr>
        <w:rPr>
          <w:rFonts w:ascii="Arial" w:cs="Arial" w:eastAsia="Arial" w:hAnsi="Arial"/>
          <w:sz w:val="16"/>
          <w:szCs w:val="16"/>
          <w:color w:val="0075C9"/>
        </w:rPr>
      </w:pPr>
      <w:r>
        <w:rPr>
          <w:rFonts w:ascii="Arial" w:cs="Arial" w:eastAsia="Arial" w:hAnsi="Arial"/>
          <w:sz w:val="16"/>
          <w:szCs w:val="16"/>
          <w:color w:val="auto"/>
        </w:rPr>
        <w:t>Led the successful execution of our Fit for Growth initiative over a 3-year time horizon concluding in 2025, which optimized our operational cost structure, achieving $1 billion in gross operating expense savings.</w:t>
      </w:r>
    </w:p>
    <w:p>
      <w:pPr>
        <w:ind w:left="440" w:hanging="324"/>
        <w:spacing w:after="0"/>
        <w:tabs>
          <w:tab w:leader="none" w:pos="440" w:val="left"/>
        </w:tabs>
        <w:numPr>
          <w:ilvl w:val="0"/>
          <w:numId w:val="94"/>
        </w:numPr>
        <w:rPr>
          <w:rFonts w:ascii="Arial" w:cs="Arial" w:eastAsia="Arial" w:hAnsi="Arial"/>
          <w:sz w:val="16"/>
          <w:szCs w:val="16"/>
          <w:color w:val="0075C9"/>
        </w:rPr>
      </w:pPr>
      <w:r>
        <w:rPr>
          <w:rFonts w:ascii="Arial" w:cs="Arial" w:eastAsia="Arial" w:hAnsi="Arial"/>
          <w:sz w:val="16"/>
          <w:szCs w:val="16"/>
          <w:color w:val="auto"/>
        </w:rPr>
        <w:t>Executed successful $1.75 billion bond offering to support strategic priorities, including potential business development activity.</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94"/>
        </w:numPr>
        <w:rPr>
          <w:rFonts w:ascii="Arial" w:cs="Arial" w:eastAsia="Arial" w:hAnsi="Arial"/>
          <w:sz w:val="16"/>
          <w:szCs w:val="16"/>
          <w:color w:val="0075C9"/>
        </w:rPr>
      </w:pPr>
      <w:r>
        <w:rPr>
          <w:rFonts w:ascii="Arial" w:cs="Arial" w:eastAsia="Arial" w:hAnsi="Arial"/>
          <w:sz w:val="16"/>
          <w:szCs w:val="16"/>
          <w:color w:val="auto"/>
        </w:rPr>
        <w:t>Completed all integration activities (e.g., systems integration, payroll, procurement, accounting and reporting) associated with the HI-Bio acquisition.</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Susan Alexander</w:t>
      </w:r>
    </w:p>
    <w:p>
      <w:pPr>
        <w:spacing w:after="0" w:line="21" w:lineRule="exact"/>
        <w:rPr>
          <w:sz w:val="20"/>
          <w:szCs w:val="20"/>
          <w:color w:val="auto"/>
        </w:rPr>
      </w:pPr>
    </w:p>
    <w:p>
      <w:pPr>
        <w:ind w:left="440" w:hanging="324"/>
        <w:spacing w:after="0"/>
        <w:tabs>
          <w:tab w:leader="none" w:pos="440" w:val="left"/>
        </w:tabs>
        <w:numPr>
          <w:ilvl w:val="0"/>
          <w:numId w:val="95"/>
        </w:numPr>
        <w:rPr>
          <w:rFonts w:ascii="Arial" w:cs="Arial" w:eastAsia="Arial" w:hAnsi="Arial"/>
          <w:sz w:val="16"/>
          <w:szCs w:val="16"/>
          <w:color w:val="0075C9"/>
        </w:rPr>
      </w:pPr>
      <w:r>
        <w:rPr>
          <w:rFonts w:ascii="Arial" w:cs="Arial" w:eastAsia="Arial" w:hAnsi="Arial"/>
          <w:sz w:val="16"/>
          <w:szCs w:val="16"/>
          <w:color w:val="auto"/>
        </w:rPr>
        <w:t>Prosecuted and defended the company’s intellectual property portfolio.</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95"/>
        </w:numPr>
        <w:rPr>
          <w:rFonts w:ascii="Arial" w:cs="Arial" w:eastAsia="Arial" w:hAnsi="Arial"/>
          <w:sz w:val="16"/>
          <w:szCs w:val="16"/>
          <w:color w:val="0075C9"/>
        </w:rPr>
      </w:pPr>
      <w:r>
        <w:rPr>
          <w:rFonts w:ascii="Arial" w:cs="Arial" w:eastAsia="Arial" w:hAnsi="Arial"/>
          <w:sz w:val="16"/>
          <w:szCs w:val="16"/>
          <w:color w:val="auto"/>
        </w:rPr>
        <w:t>Supported diligence, negotiation, documentation, and execution of key business development, corporate development, and real estate transactions.</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95"/>
        </w:numPr>
        <w:rPr>
          <w:rFonts w:ascii="Arial" w:cs="Arial" w:eastAsia="Arial" w:hAnsi="Arial"/>
          <w:sz w:val="16"/>
          <w:szCs w:val="16"/>
          <w:color w:val="0075C9"/>
        </w:rPr>
      </w:pPr>
      <w:r>
        <w:rPr>
          <w:rFonts w:ascii="Arial" w:cs="Arial" w:eastAsia="Arial" w:hAnsi="Arial"/>
          <w:sz w:val="16"/>
          <w:szCs w:val="16"/>
          <w:color w:val="auto"/>
        </w:rPr>
        <w:t>Supported the negotiation of multiple corporate partner revenue manufacturing contracts.</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95"/>
        </w:numPr>
        <w:rPr>
          <w:rFonts w:ascii="Arial" w:cs="Arial" w:eastAsia="Arial" w:hAnsi="Arial"/>
          <w:sz w:val="16"/>
          <w:szCs w:val="16"/>
          <w:color w:val="0075C9"/>
        </w:rPr>
      </w:pPr>
      <w:r>
        <w:rPr>
          <w:rFonts w:ascii="Arial" w:cs="Arial" w:eastAsia="Arial" w:hAnsi="Arial"/>
          <w:sz w:val="16"/>
          <w:szCs w:val="16"/>
          <w:color w:val="auto"/>
        </w:rPr>
        <w:t>Litigated or resolved multiple disputes and cases.</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95"/>
        </w:numPr>
        <w:rPr>
          <w:rFonts w:ascii="Arial" w:cs="Arial" w:eastAsia="Arial" w:hAnsi="Arial"/>
          <w:sz w:val="16"/>
          <w:szCs w:val="16"/>
          <w:color w:val="0075C9"/>
        </w:rPr>
      </w:pPr>
      <w:r>
        <w:rPr>
          <w:rFonts w:ascii="Arial" w:cs="Arial" w:eastAsia="Arial" w:hAnsi="Arial"/>
          <w:sz w:val="16"/>
          <w:szCs w:val="16"/>
          <w:color w:val="auto"/>
        </w:rPr>
        <w:t>Strengthened our compliance and governance policies and processes.</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95"/>
        </w:numPr>
        <w:rPr>
          <w:rFonts w:ascii="Arial" w:cs="Arial" w:eastAsia="Arial" w:hAnsi="Arial"/>
          <w:sz w:val="16"/>
          <w:szCs w:val="16"/>
          <w:color w:val="0075C9"/>
        </w:rPr>
      </w:pPr>
      <w:r>
        <w:rPr>
          <w:rFonts w:ascii="Arial" w:cs="Arial" w:eastAsia="Arial" w:hAnsi="Arial"/>
          <w:sz w:val="16"/>
          <w:szCs w:val="16"/>
          <w:color w:val="auto"/>
        </w:rPr>
        <w:t>Provided strategic legal advice across the business including commercial, intellectual property, regulatory, and transactional matters.</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95"/>
        </w:numPr>
        <w:rPr>
          <w:rFonts w:ascii="Arial" w:cs="Arial" w:eastAsia="Arial" w:hAnsi="Arial"/>
          <w:sz w:val="16"/>
          <w:szCs w:val="16"/>
          <w:color w:val="0075C9"/>
        </w:rPr>
      </w:pPr>
      <w:r>
        <w:rPr>
          <w:rFonts w:ascii="Arial" w:cs="Arial" w:eastAsia="Arial" w:hAnsi="Arial"/>
          <w:sz w:val="16"/>
          <w:szCs w:val="16"/>
          <w:color w:val="auto"/>
        </w:rPr>
        <w:t>Led our compliance with legal and regulatory matters, including the SEC’s disclosure requirements.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Nicole Murphy</w:t>
      </w:r>
    </w:p>
    <w:p>
      <w:pPr>
        <w:spacing w:after="0" w:line="21" w:lineRule="exact"/>
        <w:rPr>
          <w:sz w:val="20"/>
          <w:szCs w:val="20"/>
          <w:color w:val="auto"/>
        </w:rPr>
      </w:pPr>
    </w:p>
    <w:p>
      <w:pPr>
        <w:ind w:left="440" w:hanging="324"/>
        <w:spacing w:after="0"/>
        <w:tabs>
          <w:tab w:leader="none" w:pos="440" w:val="left"/>
        </w:tabs>
        <w:numPr>
          <w:ilvl w:val="0"/>
          <w:numId w:val="96"/>
        </w:numPr>
        <w:rPr>
          <w:rFonts w:ascii="Arial" w:cs="Arial" w:eastAsia="Arial" w:hAnsi="Arial"/>
          <w:sz w:val="16"/>
          <w:szCs w:val="16"/>
          <w:color w:val="0075C9"/>
        </w:rPr>
      </w:pPr>
      <w:r>
        <w:rPr>
          <w:rFonts w:ascii="Arial" w:cs="Arial" w:eastAsia="Arial" w:hAnsi="Arial"/>
          <w:sz w:val="16"/>
          <w:szCs w:val="16"/>
          <w:color w:val="auto"/>
        </w:rPr>
        <w:t>Exceeded AOP targets across all major areas of financial responsibility.</w:t>
      </w:r>
    </w:p>
    <w:p>
      <w:pPr>
        <w:spacing w:after="0" w:line="5" w:lineRule="exact"/>
        <w:rPr>
          <w:rFonts w:ascii="Arial" w:cs="Arial" w:eastAsia="Arial" w:hAnsi="Arial"/>
          <w:sz w:val="16"/>
          <w:szCs w:val="16"/>
          <w:color w:val="0075C9"/>
        </w:rPr>
      </w:pPr>
    </w:p>
    <w:p>
      <w:pPr>
        <w:ind w:left="440" w:right="960" w:hanging="324"/>
        <w:spacing w:after="0" w:line="246" w:lineRule="auto"/>
        <w:tabs>
          <w:tab w:leader="none" w:pos="440" w:val="left"/>
        </w:tabs>
        <w:numPr>
          <w:ilvl w:val="0"/>
          <w:numId w:val="96"/>
        </w:numPr>
        <w:rPr>
          <w:rFonts w:ascii="Arial" w:cs="Arial" w:eastAsia="Arial" w:hAnsi="Arial"/>
          <w:sz w:val="16"/>
          <w:szCs w:val="16"/>
          <w:color w:val="0075C9"/>
        </w:rPr>
      </w:pPr>
      <w:r>
        <w:rPr>
          <w:rFonts w:ascii="Arial" w:cs="Arial" w:eastAsia="Arial" w:hAnsi="Arial"/>
          <w:sz w:val="16"/>
          <w:szCs w:val="16"/>
          <w:color w:val="auto"/>
        </w:rPr>
        <w:t>Ensured patient supply through management of a resilient supply chain, robust manufacturing delivery, and risk management, exceeded on-time-in-full commercial and clinical targets.</w:t>
      </w:r>
    </w:p>
    <w:p>
      <w:pPr>
        <w:ind w:left="440" w:hanging="324"/>
        <w:spacing w:after="0"/>
        <w:tabs>
          <w:tab w:leader="none" w:pos="440" w:val="left"/>
        </w:tabs>
        <w:numPr>
          <w:ilvl w:val="0"/>
          <w:numId w:val="96"/>
        </w:numPr>
        <w:rPr>
          <w:rFonts w:ascii="Arial" w:cs="Arial" w:eastAsia="Arial" w:hAnsi="Arial"/>
          <w:sz w:val="16"/>
          <w:szCs w:val="16"/>
          <w:color w:val="0075C9"/>
        </w:rPr>
      </w:pPr>
      <w:r>
        <w:rPr>
          <w:rFonts w:ascii="Arial" w:cs="Arial" w:eastAsia="Arial" w:hAnsi="Arial"/>
          <w:sz w:val="16"/>
          <w:szCs w:val="16"/>
          <w:color w:val="auto"/>
        </w:rPr>
        <w:t>Met all launch expansion milestones for LEQEMBI, SKYCLARYS, ZURZUVAE, and QALSODY.</w:t>
      </w:r>
    </w:p>
    <w:p>
      <w:pPr>
        <w:spacing w:after="0" w:line="5" w:lineRule="exact"/>
        <w:rPr>
          <w:rFonts w:ascii="Arial" w:cs="Arial" w:eastAsia="Arial" w:hAnsi="Arial"/>
          <w:sz w:val="16"/>
          <w:szCs w:val="16"/>
          <w:color w:val="0075C9"/>
        </w:rPr>
      </w:pPr>
    </w:p>
    <w:p>
      <w:pPr>
        <w:ind w:left="440" w:right="100" w:hanging="324"/>
        <w:spacing w:after="0" w:line="246" w:lineRule="auto"/>
        <w:tabs>
          <w:tab w:leader="none" w:pos="440" w:val="left"/>
        </w:tabs>
        <w:numPr>
          <w:ilvl w:val="0"/>
          <w:numId w:val="96"/>
        </w:numPr>
        <w:rPr>
          <w:rFonts w:ascii="Arial" w:cs="Arial" w:eastAsia="Arial" w:hAnsi="Arial"/>
          <w:sz w:val="16"/>
          <w:szCs w:val="16"/>
          <w:color w:val="0075C9"/>
        </w:rPr>
      </w:pPr>
      <w:r>
        <w:rPr>
          <w:rFonts w:ascii="Arial" w:cs="Arial" w:eastAsia="Arial" w:hAnsi="Arial"/>
          <w:sz w:val="16"/>
          <w:szCs w:val="16"/>
          <w:color w:val="auto"/>
        </w:rPr>
        <w:t>Established new modality technical development readiness plans required to enable newly transacted research collaborations and partnerships (i.e., siRNA, conjugates).</w:t>
      </w:r>
    </w:p>
    <w:p>
      <w:pPr>
        <w:ind w:left="440" w:hanging="324"/>
        <w:spacing w:after="0"/>
        <w:tabs>
          <w:tab w:leader="none" w:pos="440" w:val="left"/>
        </w:tabs>
        <w:numPr>
          <w:ilvl w:val="0"/>
          <w:numId w:val="96"/>
        </w:numPr>
        <w:rPr>
          <w:rFonts w:ascii="Arial" w:cs="Arial" w:eastAsia="Arial" w:hAnsi="Arial"/>
          <w:sz w:val="16"/>
          <w:szCs w:val="16"/>
          <w:color w:val="0075C9"/>
        </w:rPr>
      </w:pPr>
      <w:r>
        <w:rPr>
          <w:rFonts w:ascii="Arial" w:cs="Arial" w:eastAsia="Arial" w:hAnsi="Arial"/>
          <w:sz w:val="16"/>
          <w:szCs w:val="16"/>
          <w:color w:val="auto"/>
        </w:rPr>
        <w:t>Achieved targeted productivity improvements required to support pipeline growth products.</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96"/>
        </w:numPr>
        <w:rPr>
          <w:rFonts w:ascii="Arial" w:cs="Arial" w:eastAsia="Arial" w:hAnsi="Arial"/>
          <w:sz w:val="16"/>
          <w:szCs w:val="16"/>
          <w:color w:val="0075C9"/>
        </w:rPr>
      </w:pPr>
      <w:r>
        <w:rPr>
          <w:rFonts w:ascii="Arial" w:cs="Arial" w:eastAsia="Arial" w:hAnsi="Arial"/>
          <w:sz w:val="16"/>
          <w:szCs w:val="16"/>
          <w:color w:val="auto"/>
        </w:rPr>
        <w:t>Ensured distributed products met all applicable quality patient safety standards for functionality, efficacy, identity, strength, and purity.</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96"/>
        </w:numPr>
        <w:rPr>
          <w:rFonts w:ascii="Arial" w:cs="Arial" w:eastAsia="Arial" w:hAnsi="Arial"/>
          <w:sz w:val="16"/>
          <w:szCs w:val="16"/>
          <w:color w:val="0075C9"/>
        </w:rPr>
      </w:pPr>
      <w:r>
        <w:rPr>
          <w:rFonts w:ascii="Arial" w:cs="Arial" w:eastAsia="Arial" w:hAnsi="Arial"/>
          <w:sz w:val="16"/>
          <w:szCs w:val="16"/>
          <w:color w:val="auto"/>
        </w:rPr>
        <w:t>Established operational manufacturing expansion plans, while risk mitigating global trade dynamics.</w:t>
      </w:r>
    </w:p>
    <w:p>
      <w:pPr>
        <w:spacing w:after="0" w:line="5" w:lineRule="exact"/>
        <w:rPr>
          <w:rFonts w:ascii="Arial" w:cs="Arial" w:eastAsia="Arial" w:hAnsi="Arial"/>
          <w:sz w:val="16"/>
          <w:szCs w:val="16"/>
          <w:color w:val="0075C9"/>
        </w:rPr>
      </w:pPr>
    </w:p>
    <w:p>
      <w:pPr>
        <w:ind w:left="440" w:hanging="324"/>
        <w:spacing w:after="0"/>
        <w:tabs>
          <w:tab w:leader="none" w:pos="440" w:val="left"/>
        </w:tabs>
        <w:numPr>
          <w:ilvl w:val="0"/>
          <w:numId w:val="96"/>
        </w:numPr>
        <w:rPr>
          <w:rFonts w:ascii="Arial" w:cs="Arial" w:eastAsia="Arial" w:hAnsi="Arial"/>
          <w:sz w:val="16"/>
          <w:szCs w:val="16"/>
          <w:color w:val="0075C9"/>
        </w:rPr>
      </w:pPr>
      <w:r>
        <w:rPr>
          <w:rFonts w:ascii="Arial" w:cs="Arial" w:eastAsia="Arial" w:hAnsi="Arial"/>
          <w:sz w:val="16"/>
          <w:szCs w:val="16"/>
          <w:color w:val="auto"/>
        </w:rPr>
        <w:t>Exceeded top talent retention goals and closed succession planning gaps through talent development and acquisition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22371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3" w:lineRule="exact"/>
        <w:rPr>
          <w:sz w:val="20"/>
          <w:szCs w:val="20"/>
          <w:color w:val="auto"/>
        </w:rPr>
      </w:pPr>
    </w:p>
    <w:p>
      <w:pPr>
        <w:ind w:left="540" w:right="340" w:hanging="424"/>
        <w:spacing w:after="0" w:line="204" w:lineRule="auto"/>
        <w:tabs>
          <w:tab w:leader="none" w:pos="540" w:val="left"/>
        </w:tabs>
        <w:numPr>
          <w:ilvl w:val="0"/>
          <w:numId w:val="97"/>
        </w:numPr>
        <w:rPr>
          <w:rFonts w:ascii="Arial" w:cs="Arial" w:eastAsia="Arial" w:hAnsi="Arial"/>
          <w:sz w:val="22"/>
          <w:szCs w:val="22"/>
          <w:color w:val="auto"/>
          <w:vertAlign w:val="superscript"/>
        </w:rPr>
      </w:pPr>
      <w:r>
        <w:rPr>
          <w:rFonts w:ascii="Arial" w:cs="Arial" w:eastAsia="Arial" w:hAnsi="Arial"/>
          <w:sz w:val="14"/>
          <w:szCs w:val="14"/>
          <w:color w:val="auto"/>
        </w:rPr>
        <w:t>Growth product revenue includes SKYCLARYS, QALSODY, ZURZUVAE, VUMERITY and SPINRAZA, plus Biogen’s 50% share of net revenue and cost of sales, including royalties, from the LEQEMBI Collaboration.</w:t>
      </w:r>
    </w:p>
    <w:p>
      <w:pPr>
        <w:spacing w:after="0" w:line="130"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-42-</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Priya Singhal</w:t>
      </w:r>
    </w:p>
    <w:p>
      <w:pPr>
        <w:spacing w:after="0" w:line="21" w:lineRule="exact"/>
        <w:rPr>
          <w:sz w:val="20"/>
          <w:szCs w:val="20"/>
          <w:color w:val="auto"/>
        </w:rPr>
      </w:pPr>
    </w:p>
    <w:p>
      <w:pPr>
        <w:ind w:left="440" w:right="160" w:hanging="324"/>
        <w:spacing w:after="0" w:line="246" w:lineRule="auto"/>
        <w:tabs>
          <w:tab w:leader="none" w:pos="440" w:val="left"/>
        </w:tabs>
        <w:numPr>
          <w:ilvl w:val="0"/>
          <w:numId w:val="98"/>
        </w:numPr>
        <w:rPr>
          <w:rFonts w:ascii="Arial" w:cs="Arial" w:eastAsia="Arial" w:hAnsi="Arial"/>
          <w:sz w:val="16"/>
          <w:szCs w:val="16"/>
          <w:color w:val="0075C9"/>
        </w:rPr>
      </w:pPr>
      <w:r>
        <w:rPr>
          <w:rFonts w:ascii="Arial" w:cs="Arial" w:eastAsia="Arial" w:hAnsi="Arial"/>
          <w:sz w:val="16"/>
          <w:szCs w:val="16"/>
          <w:color w:val="auto"/>
        </w:rPr>
        <w:t>Led transformation of the Biogen pipeline including dynamic prioritization of R&amp;D programs using data, decision clarity, and accountability, clearly ensuring criteria for success and making crisp recommendations to enable capital allocation decisions at the individual program and pipeline levels.</w:t>
      </w:r>
    </w:p>
    <w:p>
      <w:pPr>
        <w:ind w:left="440" w:right="520" w:hanging="324"/>
        <w:spacing w:after="0" w:line="246" w:lineRule="auto"/>
        <w:tabs>
          <w:tab w:leader="none" w:pos="440" w:val="left"/>
        </w:tabs>
        <w:numPr>
          <w:ilvl w:val="0"/>
          <w:numId w:val="98"/>
        </w:numPr>
        <w:rPr>
          <w:rFonts w:ascii="Arial" w:cs="Arial" w:eastAsia="Arial" w:hAnsi="Arial"/>
          <w:sz w:val="16"/>
          <w:szCs w:val="16"/>
          <w:color w:val="0075C9"/>
        </w:rPr>
      </w:pPr>
      <w:r>
        <w:rPr>
          <w:rFonts w:ascii="Arial" w:cs="Arial" w:eastAsia="Arial" w:hAnsi="Arial"/>
          <w:sz w:val="16"/>
          <w:szCs w:val="16"/>
          <w:color w:val="auto"/>
        </w:rPr>
        <w:t>Enabled a positive change in the aggregate risk profile of our pipeline, importantly including a late-stage pipeline of ten Phase 3 programs with established proof of concept.</w:t>
      </w:r>
    </w:p>
    <w:p>
      <w:pPr>
        <w:ind w:left="440" w:hanging="324"/>
        <w:spacing w:after="0"/>
        <w:tabs>
          <w:tab w:leader="none" w:pos="440" w:val="left"/>
        </w:tabs>
        <w:numPr>
          <w:ilvl w:val="0"/>
          <w:numId w:val="98"/>
        </w:numPr>
        <w:rPr>
          <w:rFonts w:ascii="Arial" w:cs="Arial" w:eastAsia="Arial" w:hAnsi="Arial"/>
          <w:sz w:val="16"/>
          <w:szCs w:val="16"/>
          <w:color w:val="0075C9"/>
        </w:rPr>
      </w:pPr>
      <w:r>
        <w:rPr>
          <w:rFonts w:ascii="Arial" w:cs="Arial" w:eastAsia="Arial" w:hAnsi="Arial"/>
          <w:sz w:val="16"/>
          <w:szCs w:val="16"/>
          <w:color w:val="auto"/>
        </w:rPr>
        <w:t>Enabled establishing a cadence of registrational readouts increasing every year beginning in 2026.</w:t>
      </w:r>
    </w:p>
    <w:p>
      <w:pPr>
        <w:spacing w:after="0" w:line="5" w:lineRule="exact"/>
        <w:rPr>
          <w:rFonts w:ascii="Arial" w:cs="Arial" w:eastAsia="Arial" w:hAnsi="Arial"/>
          <w:sz w:val="16"/>
          <w:szCs w:val="16"/>
          <w:color w:val="0075C9"/>
        </w:rPr>
      </w:pPr>
    </w:p>
    <w:p>
      <w:pPr>
        <w:ind w:left="440" w:right="140" w:hanging="324"/>
        <w:spacing w:after="0" w:line="246" w:lineRule="auto"/>
        <w:tabs>
          <w:tab w:leader="none" w:pos="440" w:val="left"/>
        </w:tabs>
        <w:numPr>
          <w:ilvl w:val="0"/>
          <w:numId w:val="98"/>
        </w:numPr>
        <w:rPr>
          <w:rFonts w:ascii="Arial" w:cs="Arial" w:eastAsia="Arial" w:hAnsi="Arial"/>
          <w:sz w:val="16"/>
          <w:szCs w:val="16"/>
          <w:color w:val="0075C9"/>
        </w:rPr>
      </w:pPr>
      <w:r>
        <w:rPr>
          <w:rFonts w:ascii="Arial" w:cs="Arial" w:eastAsia="Arial" w:hAnsi="Arial"/>
          <w:sz w:val="16"/>
          <w:szCs w:val="16"/>
          <w:color w:val="auto"/>
        </w:rPr>
        <w:t>Conducted scientific and operational diligence on external projects across the development life cycle, enabling key partnerships and deals including Stoke, Vanqua and Dayra.</w:t>
      </w:r>
    </w:p>
    <w:p>
      <w:pPr>
        <w:ind w:left="440" w:right="40" w:hanging="324"/>
        <w:spacing w:after="0" w:line="246" w:lineRule="auto"/>
        <w:tabs>
          <w:tab w:leader="none" w:pos="440" w:val="left"/>
        </w:tabs>
        <w:numPr>
          <w:ilvl w:val="0"/>
          <w:numId w:val="98"/>
        </w:numPr>
        <w:rPr>
          <w:rFonts w:ascii="Arial" w:cs="Arial" w:eastAsia="Arial" w:hAnsi="Arial"/>
          <w:sz w:val="16"/>
          <w:szCs w:val="16"/>
          <w:color w:val="0075C9"/>
        </w:rPr>
      </w:pPr>
      <w:r>
        <w:rPr>
          <w:rFonts w:ascii="Arial" w:cs="Arial" w:eastAsia="Arial" w:hAnsi="Arial"/>
          <w:sz w:val="16"/>
          <w:szCs w:val="16"/>
          <w:color w:val="auto"/>
        </w:rPr>
        <w:t>Accelerated clinical development inflection points such as trial readouts and informed stage-gate decisions. Implemented acceleration levers such as AI pilots and technology solutions, and streamlined internal decision-making.</w:t>
      </w:r>
    </w:p>
    <w:p>
      <w:pPr>
        <w:ind w:left="440" w:right="40" w:hanging="324"/>
        <w:spacing w:after="0" w:line="246" w:lineRule="auto"/>
        <w:tabs>
          <w:tab w:leader="none" w:pos="440" w:val="left"/>
        </w:tabs>
        <w:numPr>
          <w:ilvl w:val="0"/>
          <w:numId w:val="98"/>
        </w:numPr>
        <w:rPr>
          <w:rFonts w:ascii="Arial" w:cs="Arial" w:eastAsia="Arial" w:hAnsi="Arial"/>
          <w:sz w:val="16"/>
          <w:szCs w:val="16"/>
          <w:color w:val="0075C9"/>
        </w:rPr>
      </w:pPr>
      <w:r>
        <w:rPr>
          <w:rFonts w:ascii="Arial" w:cs="Arial" w:eastAsia="Arial" w:hAnsi="Arial"/>
          <w:sz w:val="16"/>
          <w:szCs w:val="16"/>
          <w:color w:val="auto"/>
        </w:rPr>
        <w:t>Continued to build Biogen’s scientific and medical leadership via team leadership, refining publication and congress strategy as well as engagements with key opinion leaders, patient communities, advocacy groups and prescribers.</w:t>
      </w:r>
    </w:p>
    <w:p>
      <w:pPr>
        <w:ind w:left="440" w:right="200" w:hanging="324"/>
        <w:spacing w:after="0" w:line="246" w:lineRule="auto"/>
        <w:tabs>
          <w:tab w:leader="none" w:pos="440" w:val="left"/>
        </w:tabs>
        <w:numPr>
          <w:ilvl w:val="0"/>
          <w:numId w:val="98"/>
        </w:numPr>
        <w:rPr>
          <w:rFonts w:ascii="Arial" w:cs="Arial" w:eastAsia="Arial" w:hAnsi="Arial"/>
          <w:sz w:val="16"/>
          <w:szCs w:val="16"/>
          <w:color w:val="0075C9"/>
        </w:rPr>
      </w:pPr>
      <w:r>
        <w:rPr>
          <w:rFonts w:ascii="Arial" w:cs="Arial" w:eastAsia="Arial" w:hAnsi="Arial"/>
          <w:sz w:val="16"/>
          <w:szCs w:val="16"/>
          <w:color w:val="auto"/>
        </w:rPr>
        <w:t>Presented and addressed questions regarding Biogen pipeline advancements and inflection points during earnings calls, key investor conferences, and discussions with individual investors and analysts.</w:t>
      </w:r>
    </w:p>
    <w:p>
      <w:pPr>
        <w:ind w:left="440" w:right="600" w:hanging="324"/>
        <w:spacing w:after="0" w:line="265" w:lineRule="auto"/>
        <w:tabs>
          <w:tab w:leader="none" w:pos="440" w:val="left"/>
        </w:tabs>
        <w:numPr>
          <w:ilvl w:val="0"/>
          <w:numId w:val="98"/>
        </w:numPr>
        <w:rPr>
          <w:rFonts w:ascii="Arial" w:cs="Arial" w:eastAsia="Arial" w:hAnsi="Arial"/>
          <w:sz w:val="16"/>
          <w:szCs w:val="16"/>
          <w:color w:val="0075C9"/>
        </w:rPr>
      </w:pPr>
      <w:r>
        <w:rPr>
          <w:rFonts w:ascii="Arial" w:cs="Arial" w:eastAsia="Arial" w:hAnsi="Arial"/>
          <w:sz w:val="16"/>
          <w:szCs w:val="16"/>
          <w:color w:val="auto"/>
        </w:rPr>
        <w:t>Advanced Biogen’s scientific credibility externally as an invited speaker on multiple scientific panels, media interviews and thought leadership opportunities.</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Michael McDonnell</w:t>
      </w:r>
    </w:p>
    <w:p>
      <w:pPr>
        <w:spacing w:after="0" w:line="21" w:lineRule="exact"/>
        <w:rPr>
          <w:sz w:val="20"/>
          <w:szCs w:val="20"/>
          <w:color w:val="auto"/>
        </w:rPr>
      </w:pPr>
    </w:p>
    <w:p>
      <w:pPr>
        <w:ind w:left="440" w:hanging="324"/>
        <w:spacing w:after="0"/>
        <w:tabs>
          <w:tab w:leader="none" w:pos="440" w:val="left"/>
        </w:tabs>
        <w:numPr>
          <w:ilvl w:val="0"/>
          <w:numId w:val="99"/>
        </w:numPr>
        <w:rPr>
          <w:rFonts w:ascii="Arial" w:cs="Arial" w:eastAsia="Arial" w:hAnsi="Arial"/>
          <w:sz w:val="16"/>
          <w:szCs w:val="16"/>
          <w:color w:val="0075C9"/>
        </w:rPr>
      </w:pPr>
      <w:r>
        <w:rPr>
          <w:rFonts w:ascii="Arial" w:cs="Arial" w:eastAsia="Arial" w:hAnsi="Arial"/>
          <w:sz w:val="16"/>
          <w:szCs w:val="16"/>
          <w:color w:val="auto"/>
        </w:rPr>
        <w:t>Mr. McDonnell was not eligible to receive a bonus under our 2025 STI program due to his retirement on March 1, 2025.</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Looking Ahead: 2026 Company Performance Goal Setting</w:t>
      </w:r>
    </w:p>
    <w:p>
      <w:pPr>
        <w:spacing w:after="0" w:line="111"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In 2026, the CMDC will continue to emphasize growth product outcomes with a weighted revenue metric and pipeline outcomes measurement. Furthermore, we implemented new STI caps whereby total revenue and growth revenue metrics cannot exceed target payout unless performance surpasses actual 2025 performance and EPS metric cannot exceed target payout unless outperforming the 90th percentile of analyst consensus (as of January 2026). These stringent performance targets reflect the rigor in setting and achieving these goals in 2026 and will help incentivize a continuation of Biogen’s growth mindset.</w:t>
      </w:r>
    </w:p>
    <w:p>
      <w:pPr>
        <w:spacing w:after="0" w:line="99"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5540" w:type="dxa"/>
            <w:vAlign w:val="bottom"/>
            <w:tcBorders>
              <w:left w:val="single" w:sz="8" w:color="auto"/>
              <w:bottom w:val="single" w:sz="8" w:color="auto"/>
              <w:right w:val="single" w:sz="8" w:color="auto"/>
            </w:tcBorders>
            <w:shd w:val="clear" w:color="auto" w:fill="0075C9"/>
          </w:tcPr>
          <w:p>
            <w:pPr>
              <w:jc w:val="center"/>
              <w:ind w:left="59"/>
              <w:spacing w:after="0"/>
              <w:rPr>
                <w:sz w:val="20"/>
                <w:szCs w:val="20"/>
                <w:color w:val="auto"/>
              </w:rPr>
            </w:pPr>
            <w:r>
              <w:rPr>
                <w:rFonts w:ascii="Arial" w:cs="Arial" w:eastAsia="Arial" w:hAnsi="Arial"/>
                <w:sz w:val="16"/>
                <w:szCs w:val="16"/>
                <w:color w:val="FFFFFF"/>
              </w:rPr>
              <w:t>What We Changed</w:t>
            </w:r>
          </w:p>
        </w:tc>
        <w:tc>
          <w:tcPr>
            <w:tcW w:w="5500" w:type="dxa"/>
            <w:vAlign w:val="bottom"/>
            <w:tcBorders>
              <w:bottom w:val="single" w:sz="8" w:color="auto"/>
              <w:right w:val="single" w:sz="8" w:color="auto"/>
            </w:tcBorders>
            <w:shd w:val="clear" w:color="auto" w:fill="0075C9"/>
          </w:tcPr>
          <w:p>
            <w:pPr>
              <w:ind w:left="2240"/>
              <w:spacing w:after="0"/>
              <w:rPr>
                <w:sz w:val="20"/>
                <w:szCs w:val="20"/>
                <w:color w:val="auto"/>
              </w:rPr>
            </w:pPr>
            <w:r>
              <w:rPr>
                <w:rFonts w:ascii="Arial" w:cs="Arial" w:eastAsia="Arial" w:hAnsi="Arial"/>
                <w:sz w:val="16"/>
                <w:szCs w:val="16"/>
                <w:color w:val="FFFFFF"/>
              </w:rPr>
              <w:t>Why It Matters</w:t>
            </w:r>
          </w:p>
        </w:tc>
      </w:tr>
      <w:tr>
        <w:trPr>
          <w:trHeight w:val="188"/>
        </w:trPr>
        <w:tc>
          <w:tcPr>
            <w:tcW w:w="5540" w:type="dxa"/>
            <w:vAlign w:val="bottom"/>
            <w:tcBorders>
              <w:left w:val="single" w:sz="8" w:color="auto"/>
              <w:right w:val="single" w:sz="8" w:color="auto"/>
            </w:tcBorders>
          </w:tcPr>
          <w:p>
            <w:pPr>
              <w:jc w:val="center"/>
              <w:ind w:left="19"/>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Payouts for 2026 revenue and growth revenue metrics cannot exceed</w:t>
            </w:r>
          </w:p>
        </w:tc>
        <w:tc>
          <w:tcPr>
            <w:tcW w:w="5500" w:type="dxa"/>
            <w:vAlign w:val="bottom"/>
            <w:tcBorders>
              <w:right w:val="single" w:sz="8" w:color="auto"/>
            </w:tcBorders>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Ensures payouts reflect true year over year improvement.</w:t>
            </w:r>
          </w:p>
        </w:tc>
      </w:tr>
      <w:tr>
        <w:trPr>
          <w:trHeight w:val="163"/>
        </w:trPr>
        <w:tc>
          <w:tcPr>
            <w:tcW w:w="5540" w:type="dxa"/>
            <w:vAlign w:val="bottom"/>
            <w:tcBorders>
              <w:left w:val="single" w:sz="8" w:color="auto"/>
              <w:right w:val="single" w:sz="8" w:color="auto"/>
            </w:tcBorders>
          </w:tcPr>
          <w:p>
            <w:pPr>
              <w:ind w:left="480"/>
              <w:spacing w:after="0" w:line="163" w:lineRule="exact"/>
              <w:rPr>
                <w:sz w:val="20"/>
                <w:szCs w:val="20"/>
                <w:color w:val="auto"/>
              </w:rPr>
            </w:pPr>
            <w:r>
              <w:rPr>
                <w:rFonts w:ascii="Arial" w:cs="Arial" w:eastAsia="Arial" w:hAnsi="Arial"/>
                <w:sz w:val="16"/>
                <w:szCs w:val="16"/>
                <w:color w:val="auto"/>
              </w:rPr>
              <w:t>target unless performance surpasses 2025 achievement.</w:t>
            </w:r>
          </w:p>
        </w:tc>
        <w:tc>
          <w:tcPr>
            <w:tcW w:w="5500" w:type="dxa"/>
            <w:vAlign w:val="bottom"/>
            <w:tcBorders>
              <w:right w:val="single" w:sz="8" w:color="auto"/>
            </w:tcBorders>
          </w:tcPr>
          <w:p>
            <w:pPr>
              <w:spacing w:after="0"/>
              <w:rPr>
                <w:sz w:val="14"/>
                <w:szCs w:val="14"/>
                <w:color w:val="auto"/>
              </w:rPr>
            </w:pPr>
          </w:p>
        </w:tc>
      </w:tr>
      <w:tr>
        <w:trPr>
          <w:trHeight w:val="229"/>
        </w:trPr>
        <w:tc>
          <w:tcPr>
            <w:tcW w:w="5540" w:type="dxa"/>
            <w:vAlign w:val="bottom"/>
            <w:tcBorders>
              <w:left w:val="single" w:sz="8" w:color="auto"/>
              <w:right w:val="single" w:sz="8" w:color="auto"/>
            </w:tcBorders>
          </w:tcPr>
          <w:p>
            <w:pPr>
              <w:jc w:val="center"/>
              <w:ind w:left="59"/>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Payout for 2026 EPS metric cannot exceed target unless achievement</w:t>
            </w:r>
          </w:p>
        </w:tc>
        <w:tc>
          <w:tcPr>
            <w:tcW w:w="5500" w:type="dxa"/>
            <w:vAlign w:val="bottom"/>
            <w:tcBorders>
              <w:right w:val="single" w:sz="8" w:color="auto"/>
            </w:tcBorders>
          </w:tcPr>
          <w:p>
            <w:pPr>
              <w:spacing w:after="0"/>
              <w:rPr>
                <w:sz w:val="19"/>
                <w:szCs w:val="19"/>
                <w:color w:val="auto"/>
              </w:rPr>
            </w:pPr>
          </w:p>
        </w:tc>
      </w:tr>
      <w:tr>
        <w:trPr>
          <w:trHeight w:val="189"/>
        </w:trPr>
        <w:tc>
          <w:tcPr>
            <w:tcW w:w="554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outperforms 90th percentile of analyst consensus (as of January</w:t>
            </w:r>
          </w:p>
        </w:tc>
        <w:tc>
          <w:tcPr>
            <w:tcW w:w="5500" w:type="dxa"/>
            <w:vAlign w:val="bottom"/>
            <w:tcBorders>
              <w:right w:val="single" w:sz="8" w:color="auto"/>
            </w:tcBorders>
          </w:tcPr>
          <w:p>
            <w:pPr>
              <w:spacing w:after="0"/>
              <w:rPr>
                <w:sz w:val="16"/>
                <w:szCs w:val="16"/>
                <w:color w:val="auto"/>
              </w:rPr>
            </w:pPr>
          </w:p>
        </w:tc>
      </w:tr>
      <w:tr>
        <w:trPr>
          <w:trHeight w:val="215"/>
        </w:trPr>
        <w:tc>
          <w:tcPr>
            <w:tcW w:w="554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2026).</w:t>
            </w:r>
          </w:p>
        </w:tc>
        <w:tc>
          <w:tcPr>
            <w:tcW w:w="5500" w:type="dxa"/>
            <w:vAlign w:val="bottom"/>
            <w:tcBorders>
              <w:right w:val="single" w:sz="8" w:color="auto"/>
            </w:tcBorders>
          </w:tcPr>
          <w:p>
            <w:pPr>
              <w:spacing w:after="0"/>
              <w:rPr>
                <w:sz w:val="18"/>
                <w:szCs w:val="18"/>
                <w:color w:val="auto"/>
              </w:rPr>
            </w:pPr>
          </w:p>
        </w:tc>
      </w:tr>
      <w:tr>
        <w:trPr>
          <w:trHeight w:val="29"/>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Long-Term Incentives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LTI Program</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Below is a summary of the mix of annual LTI awards granted to our NEOs in 2025.</w:t>
      </w:r>
    </w:p>
    <w:p>
      <w:pPr>
        <w:spacing w:after="0" w:line="242" w:lineRule="exact"/>
        <w:rPr>
          <w:sz w:val="20"/>
          <w:szCs w:val="20"/>
          <w:color w:val="auto"/>
        </w:rPr>
      </w:pPr>
    </w:p>
    <w:tbl>
      <w:tblPr>
        <w:tblLayout w:type="fixed"/>
        <w:tblInd w:w="130" w:type="dxa"/>
        <w:tblCellMar>
          <w:top w:w="0" w:type="dxa"/>
          <w:left w:w="0" w:type="dxa"/>
          <w:bottom w:w="0" w:type="dxa"/>
          <w:right w:w="0" w:type="dxa"/>
        </w:tblCellMar>
      </w:tblPr>
      <w:tr>
        <w:trPr>
          <w:trHeight w:val="235"/>
        </w:trPr>
        <w:tc>
          <w:tcPr>
            <w:tcW w:w="2640" w:type="dxa"/>
            <w:vAlign w:val="bottom"/>
            <w:tcBorders>
              <w:top w:val="single" w:sz="8" w:color="auto"/>
              <w:left w:val="single" w:sz="8" w:color="auto"/>
              <w:right w:val="single" w:sz="8" w:color="auto"/>
            </w:tcBorders>
            <w:shd w:val="clear" w:color="auto" w:fill="0075C9"/>
          </w:tcPr>
          <w:p>
            <w:pPr>
              <w:jc w:val="center"/>
              <w:ind w:left="60"/>
              <w:spacing w:after="0"/>
              <w:rPr>
                <w:sz w:val="20"/>
                <w:szCs w:val="20"/>
                <w:color w:val="auto"/>
              </w:rPr>
            </w:pPr>
            <w:r>
              <w:rPr>
                <w:rFonts w:ascii="Arial" w:cs="Arial" w:eastAsia="Arial" w:hAnsi="Arial"/>
                <w:sz w:val="14"/>
                <w:szCs w:val="14"/>
                <w:color w:val="FFFFFF"/>
                <w:w w:val="90"/>
              </w:rPr>
              <w:t>  Terms</w:t>
            </w:r>
          </w:p>
        </w:tc>
        <w:tc>
          <w:tcPr>
            <w:tcW w:w="4620" w:type="dxa"/>
            <w:vAlign w:val="bottom"/>
            <w:tcBorders>
              <w:top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Performance Stock Units</w:t>
            </w:r>
          </w:p>
        </w:tc>
        <w:tc>
          <w:tcPr>
            <w:tcW w:w="3780" w:type="dxa"/>
            <w:vAlign w:val="bottom"/>
            <w:tcBorders>
              <w:top w:val="single" w:sz="8" w:color="auto"/>
              <w:right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Restricted Stock Units</w:t>
            </w:r>
          </w:p>
        </w:tc>
      </w:tr>
      <w:tr>
        <w:trPr>
          <w:trHeight w:val="62"/>
        </w:trPr>
        <w:tc>
          <w:tcPr>
            <w:tcW w:w="2640" w:type="dxa"/>
            <w:vAlign w:val="bottom"/>
            <w:tcBorders>
              <w:left w:val="single" w:sz="8" w:color="auto"/>
              <w:bottom w:val="single" w:sz="8" w:color="auto"/>
              <w:right w:val="single" w:sz="8" w:color="auto"/>
            </w:tcBorders>
            <w:shd w:val="clear" w:color="auto" w:fill="0075C9"/>
          </w:tcPr>
          <w:p>
            <w:pPr>
              <w:spacing w:after="0"/>
              <w:rPr>
                <w:sz w:val="5"/>
                <w:szCs w:val="5"/>
                <w:color w:val="auto"/>
              </w:rPr>
            </w:pPr>
          </w:p>
        </w:tc>
        <w:tc>
          <w:tcPr>
            <w:tcW w:w="4620" w:type="dxa"/>
            <w:vAlign w:val="bottom"/>
            <w:tcBorders>
              <w:bottom w:val="single" w:sz="8" w:color="auto"/>
              <w:right w:val="single" w:sz="8" w:color="auto"/>
            </w:tcBorders>
            <w:shd w:val="clear" w:color="auto" w:fill="0075C9"/>
          </w:tcPr>
          <w:p>
            <w:pPr>
              <w:spacing w:after="0"/>
              <w:rPr>
                <w:sz w:val="5"/>
                <w:szCs w:val="5"/>
                <w:color w:val="auto"/>
              </w:rPr>
            </w:pPr>
          </w:p>
        </w:tc>
        <w:tc>
          <w:tcPr>
            <w:tcW w:w="3780" w:type="dxa"/>
            <w:vAlign w:val="bottom"/>
            <w:tcBorders>
              <w:bottom w:val="single" w:sz="8" w:color="auto"/>
              <w:right w:val="single" w:sz="8" w:color="auto"/>
            </w:tcBorders>
            <w:shd w:val="clear" w:color="auto" w:fill="0075C9"/>
          </w:tcPr>
          <w:p>
            <w:pPr>
              <w:spacing w:after="0"/>
              <w:rPr>
                <w:sz w:val="5"/>
                <w:szCs w:val="5"/>
                <w:color w:val="auto"/>
              </w:rPr>
            </w:pPr>
          </w:p>
        </w:tc>
      </w:tr>
      <w:tr>
        <w:trPr>
          <w:trHeight w:val="222"/>
        </w:trPr>
        <w:tc>
          <w:tcPr>
            <w:tcW w:w="2640" w:type="dxa"/>
            <w:vAlign w:val="bottom"/>
            <w:tcBorders>
              <w:left w:val="single" w:sz="8" w:color="auto"/>
              <w:right w:val="single" w:sz="8" w:color="auto"/>
            </w:tcBorders>
            <w:shd w:val="clear" w:color="auto" w:fill="B2D5EE"/>
          </w:tcPr>
          <w:p>
            <w:pPr>
              <w:jc w:val="center"/>
              <w:ind w:left="60"/>
              <w:spacing w:after="0"/>
              <w:rPr>
                <w:sz w:val="20"/>
                <w:szCs w:val="20"/>
                <w:color w:val="auto"/>
              </w:rPr>
            </w:pPr>
            <w:r>
              <w:rPr>
                <w:rFonts w:ascii="Arial" w:cs="Arial" w:eastAsia="Arial" w:hAnsi="Arial"/>
                <w:sz w:val="16"/>
                <w:szCs w:val="16"/>
                <w:color w:val="auto"/>
                <w:w w:val="97"/>
              </w:rPr>
              <w:t>  Proportion of</w:t>
            </w:r>
          </w:p>
        </w:tc>
        <w:tc>
          <w:tcPr>
            <w:tcW w:w="4620" w:type="dxa"/>
            <w:vAlign w:val="bottom"/>
            <w:tcBorders>
              <w:right w:val="single" w:sz="8" w:color="auto"/>
            </w:tcBorders>
            <w:shd w:val="clear" w:color="auto" w:fill="B2D5EE"/>
          </w:tcPr>
          <w:p>
            <w:pPr>
              <w:jc w:val="center"/>
              <w:spacing w:after="0"/>
              <w:rPr>
                <w:sz w:val="20"/>
                <w:szCs w:val="20"/>
                <w:color w:val="auto"/>
              </w:rPr>
            </w:pPr>
            <w:r>
              <w:rPr>
                <w:rFonts w:ascii="Arial" w:cs="Arial" w:eastAsia="Arial" w:hAnsi="Arial"/>
                <w:sz w:val="16"/>
                <w:szCs w:val="16"/>
                <w:color w:val="auto"/>
                <w:w w:val="99"/>
              </w:rPr>
              <w:t>60%</w:t>
            </w:r>
          </w:p>
        </w:tc>
        <w:tc>
          <w:tcPr>
            <w:tcW w:w="3780" w:type="dxa"/>
            <w:vAlign w:val="bottom"/>
            <w:tcBorders>
              <w:right w:val="single" w:sz="8" w:color="auto"/>
            </w:tcBorders>
            <w:shd w:val="clear" w:color="auto" w:fill="B2D5EE"/>
          </w:tcPr>
          <w:p>
            <w:pPr>
              <w:jc w:val="center"/>
              <w:spacing w:after="0"/>
              <w:rPr>
                <w:sz w:val="20"/>
                <w:szCs w:val="20"/>
                <w:color w:val="auto"/>
              </w:rPr>
            </w:pPr>
            <w:r>
              <w:rPr>
                <w:rFonts w:ascii="Arial" w:cs="Arial" w:eastAsia="Arial" w:hAnsi="Arial"/>
                <w:sz w:val="16"/>
                <w:szCs w:val="16"/>
                <w:color w:val="auto"/>
              </w:rPr>
              <w:t>40%</w:t>
            </w:r>
          </w:p>
        </w:tc>
      </w:tr>
      <w:tr>
        <w:trPr>
          <w:trHeight w:val="216"/>
        </w:trPr>
        <w:tc>
          <w:tcPr>
            <w:tcW w:w="2640" w:type="dxa"/>
            <w:vAlign w:val="bottom"/>
            <w:tcBorders>
              <w:left w:val="single" w:sz="8" w:color="auto"/>
              <w:bottom w:val="single" w:sz="8" w:color="auto"/>
              <w:right w:val="single" w:sz="8" w:color="auto"/>
            </w:tcBorders>
            <w:shd w:val="clear" w:color="auto" w:fill="B2D5EE"/>
          </w:tcPr>
          <w:p>
            <w:pPr>
              <w:jc w:val="center"/>
              <w:ind w:left="40"/>
              <w:spacing w:after="0"/>
              <w:rPr>
                <w:sz w:val="20"/>
                <w:szCs w:val="20"/>
                <w:color w:val="auto"/>
              </w:rPr>
            </w:pPr>
            <w:r>
              <w:rPr>
                <w:rFonts w:ascii="Arial" w:cs="Arial" w:eastAsia="Arial" w:hAnsi="Arial"/>
                <w:sz w:val="16"/>
                <w:szCs w:val="16"/>
                <w:color w:val="auto"/>
                <w:w w:val="96"/>
              </w:rPr>
              <w:t>  Annual Target Grant</w:t>
            </w:r>
          </w:p>
        </w:tc>
        <w:tc>
          <w:tcPr>
            <w:tcW w:w="4620" w:type="dxa"/>
            <w:vAlign w:val="bottom"/>
            <w:tcBorders>
              <w:bottom w:val="single" w:sz="8" w:color="auto"/>
              <w:right w:val="single" w:sz="8" w:color="auto"/>
            </w:tcBorders>
            <w:shd w:val="clear" w:color="auto" w:fill="B2D5EE"/>
          </w:tcPr>
          <w:p>
            <w:pPr>
              <w:spacing w:after="0"/>
              <w:rPr>
                <w:sz w:val="18"/>
                <w:szCs w:val="18"/>
                <w:color w:val="auto"/>
              </w:rPr>
            </w:pPr>
          </w:p>
        </w:tc>
        <w:tc>
          <w:tcPr>
            <w:tcW w:w="3780" w:type="dxa"/>
            <w:vAlign w:val="bottom"/>
            <w:tcBorders>
              <w:bottom w:val="single" w:sz="8" w:color="auto"/>
              <w:right w:val="single" w:sz="8" w:color="auto"/>
            </w:tcBorders>
            <w:shd w:val="clear" w:color="auto" w:fill="B2D5EE"/>
          </w:tcPr>
          <w:p>
            <w:pPr>
              <w:spacing w:after="0"/>
              <w:rPr>
                <w:sz w:val="18"/>
                <w:szCs w:val="18"/>
                <w:color w:val="auto"/>
              </w:rPr>
            </w:pPr>
          </w:p>
        </w:tc>
      </w:tr>
      <w:tr>
        <w:trPr>
          <w:trHeight w:val="223"/>
        </w:trPr>
        <w:tc>
          <w:tcPr>
            <w:tcW w:w="2640" w:type="dxa"/>
            <w:vAlign w:val="bottom"/>
            <w:tcBorders>
              <w:left w:val="single" w:sz="8" w:color="auto"/>
              <w:right w:val="single" w:sz="8" w:color="auto"/>
            </w:tcBorders>
            <w:shd w:val="clear" w:color="auto" w:fill="E5F1F9"/>
          </w:tcPr>
          <w:p>
            <w:pPr>
              <w:jc w:val="center"/>
              <w:ind w:left="60"/>
              <w:spacing w:after="0"/>
              <w:rPr>
                <w:sz w:val="20"/>
                <w:szCs w:val="20"/>
                <w:color w:val="auto"/>
              </w:rPr>
            </w:pPr>
            <w:r>
              <w:rPr>
                <w:rFonts w:ascii="Arial" w:cs="Arial" w:eastAsia="Arial" w:hAnsi="Arial"/>
                <w:sz w:val="16"/>
                <w:szCs w:val="16"/>
                <w:color w:val="auto"/>
                <w:w w:val="97"/>
              </w:rPr>
              <w:t>  Performance</w:t>
            </w:r>
          </w:p>
        </w:tc>
        <w:tc>
          <w:tcPr>
            <w:tcW w:w="462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w w:val="99"/>
              </w:rPr>
              <w:t>3 years</w:t>
            </w:r>
          </w:p>
        </w:tc>
        <w:tc>
          <w:tcPr>
            <w:tcW w:w="3780" w:type="dxa"/>
            <w:vAlign w:val="bottom"/>
            <w:tcBorders>
              <w:right w:val="single" w:sz="8" w:color="auto"/>
            </w:tcBorders>
            <w:shd w:val="clear" w:color="auto" w:fill="E5F1F9"/>
          </w:tcPr>
          <w:p>
            <w:pPr>
              <w:spacing w:after="0"/>
              <w:rPr>
                <w:sz w:val="19"/>
                <w:szCs w:val="19"/>
                <w:color w:val="auto"/>
              </w:rPr>
            </w:pPr>
          </w:p>
        </w:tc>
      </w:tr>
      <w:tr>
        <w:trPr>
          <w:trHeight w:val="217"/>
        </w:trPr>
        <w:tc>
          <w:tcPr>
            <w:tcW w:w="2640" w:type="dxa"/>
            <w:vAlign w:val="bottom"/>
            <w:tcBorders>
              <w:left w:val="single" w:sz="8" w:color="auto"/>
              <w:bottom w:val="single" w:sz="8" w:color="auto"/>
              <w:right w:val="single" w:sz="8" w:color="auto"/>
            </w:tcBorders>
            <w:shd w:val="clear" w:color="auto" w:fill="E5F1F9"/>
          </w:tcPr>
          <w:p>
            <w:pPr>
              <w:jc w:val="center"/>
              <w:ind w:left="60"/>
              <w:spacing w:after="0"/>
              <w:rPr>
                <w:sz w:val="20"/>
                <w:szCs w:val="20"/>
                <w:color w:val="auto"/>
              </w:rPr>
            </w:pPr>
            <w:r>
              <w:rPr>
                <w:rFonts w:ascii="Arial" w:cs="Arial" w:eastAsia="Arial" w:hAnsi="Arial"/>
                <w:sz w:val="16"/>
                <w:szCs w:val="16"/>
                <w:color w:val="auto"/>
                <w:w w:val="95"/>
              </w:rPr>
              <w:t>  Period(s)</w:t>
            </w:r>
          </w:p>
        </w:tc>
        <w:tc>
          <w:tcPr>
            <w:tcW w:w="4620" w:type="dxa"/>
            <w:vAlign w:val="bottom"/>
            <w:tcBorders>
              <w:bottom w:val="single" w:sz="8" w:color="auto"/>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(2025-2027)</w:t>
            </w:r>
          </w:p>
        </w:tc>
        <w:tc>
          <w:tcPr>
            <w:tcW w:w="3780" w:type="dxa"/>
            <w:vAlign w:val="bottom"/>
            <w:tcBorders>
              <w:bottom w:val="single" w:sz="8" w:color="auto"/>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w w:val="98"/>
              </w:rPr>
              <w:t>n/a</w:t>
            </w:r>
          </w:p>
        </w:tc>
      </w:tr>
      <w:tr>
        <w:trPr>
          <w:trHeight w:val="222"/>
        </w:trPr>
        <w:tc>
          <w:tcPr>
            <w:tcW w:w="2640" w:type="dxa"/>
            <w:vAlign w:val="bottom"/>
            <w:tcBorders>
              <w:left w:val="single" w:sz="8" w:color="auto"/>
              <w:right w:val="single" w:sz="8" w:color="auto"/>
            </w:tcBorders>
            <w:shd w:val="clear" w:color="auto" w:fill="B2D5EE"/>
          </w:tcPr>
          <w:p>
            <w:pPr>
              <w:jc w:val="center"/>
              <w:ind w:left="80"/>
              <w:spacing w:after="0"/>
              <w:rPr>
                <w:sz w:val="20"/>
                <w:szCs w:val="20"/>
                <w:color w:val="auto"/>
              </w:rPr>
            </w:pPr>
            <w:r>
              <w:rPr>
                <w:rFonts w:ascii="Arial" w:cs="Arial" w:eastAsia="Arial" w:hAnsi="Arial"/>
                <w:sz w:val="16"/>
                <w:szCs w:val="16"/>
                <w:color w:val="auto"/>
                <w:w w:val="98"/>
              </w:rPr>
              <w:t>  Metrics &amp; Weightings</w:t>
            </w:r>
          </w:p>
        </w:tc>
        <w:tc>
          <w:tcPr>
            <w:tcW w:w="4620" w:type="dxa"/>
            <w:vAlign w:val="bottom"/>
            <w:tcBorders>
              <w:right w:val="single" w:sz="8" w:color="auto"/>
            </w:tcBorders>
            <w:shd w:val="clear" w:color="auto" w:fill="B2D5EE"/>
          </w:tcPr>
          <w:p>
            <w:pPr>
              <w:jc w:val="center"/>
              <w:spacing w:after="0"/>
              <w:rPr>
                <w:sz w:val="20"/>
                <w:szCs w:val="20"/>
                <w:color w:val="auto"/>
              </w:rPr>
            </w:pPr>
            <w:r>
              <w:rPr>
                <w:rFonts w:ascii="Arial" w:cs="Arial" w:eastAsia="Arial" w:hAnsi="Arial"/>
                <w:sz w:val="16"/>
                <w:szCs w:val="16"/>
                <w:color w:val="auto"/>
              </w:rPr>
              <w:t>Relative Total Stockholder Return: 50%</w:t>
            </w:r>
          </w:p>
        </w:tc>
        <w:tc>
          <w:tcPr>
            <w:tcW w:w="3780" w:type="dxa"/>
            <w:vAlign w:val="bottom"/>
            <w:tcBorders>
              <w:right w:val="single" w:sz="8" w:color="auto"/>
            </w:tcBorders>
            <w:shd w:val="clear" w:color="auto" w:fill="B2D5EE"/>
          </w:tcPr>
          <w:p>
            <w:pPr>
              <w:spacing w:after="0"/>
              <w:rPr>
                <w:sz w:val="19"/>
                <w:szCs w:val="19"/>
                <w:color w:val="auto"/>
              </w:rPr>
            </w:pPr>
          </w:p>
        </w:tc>
      </w:tr>
      <w:tr>
        <w:trPr>
          <w:trHeight w:val="217"/>
        </w:trPr>
        <w:tc>
          <w:tcPr>
            <w:tcW w:w="2640" w:type="dxa"/>
            <w:vAlign w:val="bottom"/>
            <w:tcBorders>
              <w:left w:val="single" w:sz="8" w:color="auto"/>
              <w:bottom w:val="single" w:sz="8" w:color="auto"/>
              <w:right w:val="single" w:sz="8" w:color="auto"/>
            </w:tcBorders>
            <w:shd w:val="clear" w:color="auto" w:fill="B2D5EE"/>
          </w:tcPr>
          <w:p>
            <w:pPr>
              <w:spacing w:after="0"/>
              <w:rPr>
                <w:sz w:val="18"/>
                <w:szCs w:val="18"/>
                <w:color w:val="auto"/>
              </w:rPr>
            </w:pPr>
          </w:p>
        </w:tc>
        <w:tc>
          <w:tcPr>
            <w:tcW w:w="4620" w:type="dxa"/>
            <w:vAlign w:val="bottom"/>
            <w:tcBorders>
              <w:bottom w:val="single" w:sz="8" w:color="auto"/>
              <w:right w:val="single" w:sz="8" w:color="auto"/>
            </w:tcBorders>
            <w:shd w:val="clear" w:color="auto" w:fill="B2D5EE"/>
          </w:tcPr>
          <w:p>
            <w:pPr>
              <w:jc w:val="center"/>
              <w:spacing w:after="0"/>
              <w:rPr>
                <w:sz w:val="20"/>
                <w:szCs w:val="20"/>
                <w:color w:val="auto"/>
              </w:rPr>
            </w:pPr>
            <w:r>
              <w:rPr>
                <w:rFonts w:ascii="Arial" w:cs="Arial" w:eastAsia="Arial" w:hAnsi="Arial"/>
                <w:sz w:val="16"/>
                <w:szCs w:val="16"/>
                <w:color w:val="auto"/>
              </w:rPr>
              <w:t>Adjusted EPS CAGR: 50%</w:t>
            </w:r>
          </w:p>
        </w:tc>
        <w:tc>
          <w:tcPr>
            <w:tcW w:w="3780" w:type="dxa"/>
            <w:vAlign w:val="bottom"/>
            <w:tcBorders>
              <w:bottom w:val="single" w:sz="8" w:color="auto"/>
              <w:right w:val="single" w:sz="8" w:color="auto"/>
            </w:tcBorders>
            <w:shd w:val="clear" w:color="auto" w:fill="B2D5EE"/>
          </w:tcPr>
          <w:p>
            <w:pPr>
              <w:jc w:val="center"/>
              <w:spacing w:after="0"/>
              <w:rPr>
                <w:sz w:val="20"/>
                <w:szCs w:val="20"/>
                <w:color w:val="auto"/>
              </w:rPr>
            </w:pPr>
            <w:r>
              <w:rPr>
                <w:rFonts w:ascii="Arial" w:cs="Arial" w:eastAsia="Arial" w:hAnsi="Arial"/>
                <w:sz w:val="16"/>
                <w:szCs w:val="16"/>
                <w:color w:val="auto"/>
                <w:w w:val="98"/>
              </w:rPr>
              <w:t>n/a</w:t>
            </w:r>
          </w:p>
        </w:tc>
      </w:tr>
      <w:tr>
        <w:trPr>
          <w:trHeight w:val="222"/>
        </w:trPr>
        <w:tc>
          <w:tcPr>
            <w:tcW w:w="2640" w:type="dxa"/>
            <w:vAlign w:val="bottom"/>
            <w:tcBorders>
              <w:left w:val="single" w:sz="8" w:color="auto"/>
              <w:right w:val="single" w:sz="8" w:color="auto"/>
            </w:tcBorders>
            <w:shd w:val="clear" w:color="auto" w:fill="E5F1F9"/>
          </w:tcPr>
          <w:p>
            <w:pPr>
              <w:jc w:val="center"/>
              <w:ind w:left="60"/>
              <w:spacing w:after="0"/>
              <w:rPr>
                <w:sz w:val="20"/>
                <w:szCs w:val="20"/>
                <w:color w:val="auto"/>
              </w:rPr>
            </w:pPr>
            <w:r>
              <w:rPr>
                <w:rFonts w:ascii="Arial" w:cs="Arial" w:eastAsia="Arial" w:hAnsi="Arial"/>
                <w:sz w:val="16"/>
                <w:szCs w:val="16"/>
                <w:color w:val="auto"/>
                <w:w w:val="97"/>
              </w:rPr>
              <w:t>  Threshold /</w:t>
            </w:r>
          </w:p>
        </w:tc>
        <w:tc>
          <w:tcPr>
            <w:tcW w:w="462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rPr>
              <w:t>0% / 200%</w:t>
            </w:r>
          </w:p>
        </w:tc>
        <w:tc>
          <w:tcPr>
            <w:tcW w:w="3780" w:type="dxa"/>
            <w:vAlign w:val="bottom"/>
            <w:tcBorders>
              <w:right w:val="single" w:sz="8" w:color="auto"/>
            </w:tcBorders>
            <w:shd w:val="clear" w:color="auto" w:fill="E5F1F9"/>
          </w:tcPr>
          <w:p>
            <w:pPr>
              <w:jc w:val="center"/>
              <w:spacing w:after="0"/>
              <w:rPr>
                <w:sz w:val="20"/>
                <w:szCs w:val="20"/>
                <w:color w:val="auto"/>
              </w:rPr>
            </w:pPr>
            <w:r>
              <w:rPr>
                <w:rFonts w:ascii="Arial" w:cs="Arial" w:eastAsia="Arial" w:hAnsi="Arial"/>
                <w:sz w:val="16"/>
                <w:szCs w:val="16"/>
                <w:color w:val="auto"/>
                <w:w w:val="98"/>
              </w:rPr>
              <w:t>n/a</w:t>
            </w:r>
          </w:p>
        </w:tc>
      </w:tr>
      <w:tr>
        <w:trPr>
          <w:trHeight w:val="189"/>
        </w:trPr>
        <w:tc>
          <w:tcPr>
            <w:tcW w:w="2640" w:type="dxa"/>
            <w:vAlign w:val="bottom"/>
            <w:tcBorders>
              <w:left w:val="single" w:sz="8" w:color="auto"/>
              <w:right w:val="single" w:sz="8" w:color="auto"/>
            </w:tcBorders>
            <w:shd w:val="clear" w:color="auto" w:fill="E5F1F9"/>
          </w:tcPr>
          <w:p>
            <w:pPr>
              <w:jc w:val="center"/>
              <w:ind w:left="60"/>
              <w:spacing w:after="0"/>
              <w:rPr>
                <w:sz w:val="20"/>
                <w:szCs w:val="20"/>
                <w:color w:val="auto"/>
              </w:rPr>
            </w:pPr>
            <w:r>
              <w:rPr>
                <w:rFonts w:ascii="Arial" w:cs="Arial" w:eastAsia="Arial" w:hAnsi="Arial"/>
                <w:sz w:val="16"/>
                <w:szCs w:val="16"/>
                <w:color w:val="auto"/>
                <w:w w:val="98"/>
              </w:rPr>
              <w:t>  Maximum Payout</w:t>
            </w:r>
          </w:p>
        </w:tc>
        <w:tc>
          <w:tcPr>
            <w:tcW w:w="4620" w:type="dxa"/>
            <w:vAlign w:val="bottom"/>
            <w:tcBorders>
              <w:right w:val="single" w:sz="8" w:color="auto"/>
            </w:tcBorders>
            <w:shd w:val="clear" w:color="auto" w:fill="E5F1F9"/>
          </w:tcPr>
          <w:p>
            <w:pPr>
              <w:spacing w:after="0"/>
              <w:rPr>
                <w:sz w:val="16"/>
                <w:szCs w:val="16"/>
                <w:color w:val="auto"/>
              </w:rPr>
            </w:pPr>
          </w:p>
        </w:tc>
        <w:tc>
          <w:tcPr>
            <w:tcW w:w="3780" w:type="dxa"/>
            <w:vAlign w:val="bottom"/>
            <w:tcBorders>
              <w:right w:val="single" w:sz="8" w:color="auto"/>
            </w:tcBorders>
            <w:shd w:val="clear" w:color="auto" w:fill="E5F1F9"/>
          </w:tcPr>
          <w:p>
            <w:pPr>
              <w:spacing w:after="0"/>
              <w:rPr>
                <w:sz w:val="16"/>
                <w:szCs w:val="16"/>
                <w:color w:val="auto"/>
              </w:rPr>
            </w:pPr>
          </w:p>
        </w:tc>
      </w:tr>
      <w:tr>
        <w:trPr>
          <w:trHeight w:val="216"/>
        </w:trPr>
        <w:tc>
          <w:tcPr>
            <w:tcW w:w="2640" w:type="dxa"/>
            <w:vAlign w:val="bottom"/>
            <w:tcBorders>
              <w:left w:val="single" w:sz="8" w:color="auto"/>
              <w:bottom w:val="single" w:sz="8" w:color="auto"/>
              <w:right w:val="single" w:sz="8" w:color="auto"/>
            </w:tcBorders>
            <w:shd w:val="clear" w:color="auto" w:fill="E5F1F9"/>
          </w:tcPr>
          <w:p>
            <w:pPr>
              <w:jc w:val="center"/>
              <w:ind w:left="60"/>
              <w:spacing w:after="0"/>
              <w:rPr>
                <w:sz w:val="20"/>
                <w:szCs w:val="20"/>
                <w:color w:val="auto"/>
              </w:rPr>
            </w:pPr>
            <w:r>
              <w:rPr>
                <w:rFonts w:ascii="Arial" w:cs="Arial" w:eastAsia="Arial" w:hAnsi="Arial"/>
                <w:sz w:val="16"/>
                <w:szCs w:val="16"/>
                <w:color w:val="auto"/>
                <w:w w:val="96"/>
              </w:rPr>
              <w:t>  (% of Target Award)</w:t>
            </w:r>
          </w:p>
        </w:tc>
        <w:tc>
          <w:tcPr>
            <w:tcW w:w="4620" w:type="dxa"/>
            <w:vAlign w:val="bottom"/>
            <w:tcBorders>
              <w:bottom w:val="single" w:sz="8" w:color="auto"/>
              <w:right w:val="single" w:sz="8" w:color="auto"/>
            </w:tcBorders>
            <w:shd w:val="clear" w:color="auto" w:fill="E5F1F9"/>
          </w:tcPr>
          <w:p>
            <w:pPr>
              <w:spacing w:after="0"/>
              <w:rPr>
                <w:sz w:val="18"/>
                <w:szCs w:val="18"/>
                <w:color w:val="auto"/>
              </w:rPr>
            </w:pPr>
          </w:p>
        </w:tc>
        <w:tc>
          <w:tcPr>
            <w:tcW w:w="3780" w:type="dxa"/>
            <w:vAlign w:val="bottom"/>
            <w:tcBorders>
              <w:bottom w:val="single" w:sz="8" w:color="auto"/>
              <w:right w:val="single" w:sz="8" w:color="auto"/>
            </w:tcBorders>
            <w:shd w:val="clear" w:color="auto" w:fill="E5F1F9"/>
          </w:tcPr>
          <w:p>
            <w:pPr>
              <w:spacing w:after="0"/>
              <w:rPr>
                <w:sz w:val="18"/>
                <w:szCs w:val="18"/>
                <w:color w:val="auto"/>
              </w:rPr>
            </w:pPr>
          </w:p>
        </w:tc>
      </w:tr>
      <w:tr>
        <w:trPr>
          <w:trHeight w:val="238"/>
        </w:trPr>
        <w:tc>
          <w:tcPr>
            <w:tcW w:w="2640" w:type="dxa"/>
            <w:vAlign w:val="bottom"/>
            <w:tcBorders>
              <w:left w:val="single" w:sz="8" w:color="auto"/>
              <w:bottom w:val="single" w:sz="8" w:color="auto"/>
              <w:right w:val="single" w:sz="8" w:color="auto"/>
            </w:tcBorders>
            <w:shd w:val="clear" w:color="auto" w:fill="B2D5EE"/>
          </w:tcPr>
          <w:p>
            <w:pPr>
              <w:jc w:val="center"/>
              <w:ind w:left="60"/>
              <w:spacing w:after="0"/>
              <w:rPr>
                <w:sz w:val="20"/>
                <w:szCs w:val="20"/>
                <w:color w:val="auto"/>
              </w:rPr>
            </w:pPr>
            <w:r>
              <w:rPr>
                <w:rFonts w:ascii="Arial" w:cs="Arial" w:eastAsia="Arial" w:hAnsi="Arial"/>
                <w:sz w:val="16"/>
                <w:szCs w:val="16"/>
                <w:color w:val="auto"/>
                <w:w w:val="94"/>
              </w:rPr>
              <w:t>  Vesting</w:t>
            </w:r>
          </w:p>
        </w:tc>
        <w:tc>
          <w:tcPr>
            <w:tcW w:w="4620" w:type="dxa"/>
            <w:vAlign w:val="bottom"/>
            <w:tcBorders>
              <w:bottom w:val="single" w:sz="8" w:color="auto"/>
              <w:right w:val="single" w:sz="8" w:color="auto"/>
            </w:tcBorders>
            <w:shd w:val="clear" w:color="auto" w:fill="B2D5EE"/>
          </w:tcPr>
          <w:p>
            <w:pPr>
              <w:jc w:val="center"/>
              <w:spacing w:after="0"/>
              <w:rPr>
                <w:sz w:val="20"/>
                <w:szCs w:val="20"/>
                <w:color w:val="auto"/>
              </w:rPr>
            </w:pPr>
            <w:r>
              <w:rPr>
                <w:rFonts w:ascii="Arial" w:cs="Arial" w:eastAsia="Arial" w:hAnsi="Arial"/>
                <w:sz w:val="16"/>
                <w:szCs w:val="16"/>
                <w:color w:val="auto"/>
                <w:w w:val="98"/>
              </w:rPr>
              <w:t>3-Year Cliff Vesting</w:t>
            </w:r>
          </w:p>
        </w:tc>
        <w:tc>
          <w:tcPr>
            <w:tcW w:w="3780" w:type="dxa"/>
            <w:vAlign w:val="bottom"/>
            <w:tcBorders>
              <w:bottom w:val="single" w:sz="8" w:color="auto"/>
              <w:right w:val="single" w:sz="8" w:color="auto"/>
            </w:tcBorders>
            <w:shd w:val="clear" w:color="auto" w:fill="B2D5EE"/>
          </w:tcPr>
          <w:p>
            <w:pPr>
              <w:jc w:val="center"/>
              <w:spacing w:after="0"/>
              <w:rPr>
                <w:sz w:val="20"/>
                <w:szCs w:val="20"/>
                <w:color w:val="auto"/>
              </w:rPr>
            </w:pPr>
            <w:r>
              <w:rPr>
                <w:rFonts w:ascii="Arial" w:cs="Arial" w:eastAsia="Arial" w:hAnsi="Arial"/>
                <w:sz w:val="16"/>
                <w:szCs w:val="16"/>
                <w:color w:val="auto"/>
              </w:rPr>
              <w:t>Annual Ratable Vesting over 3 years (1/3 per year)</w:t>
            </w: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annual LTI awards granted to our executive officers are variable and designed to reward long-term company performance.</w:t>
      </w:r>
    </w:p>
    <w:p>
      <w:pPr>
        <w:spacing w:after="0" w:line="16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-43-</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660"/>
        <w:spacing w:after="0"/>
        <w:rPr>
          <w:sz w:val="20"/>
          <w:szCs w:val="20"/>
          <w:color w:val="auto"/>
        </w:rPr>
      </w:pPr>
      <w:r>
        <w:rPr>
          <w:rFonts w:ascii="Arial" w:cs="Arial" w:eastAsia="Arial" w:hAnsi="Arial"/>
          <w:sz w:val="19"/>
          <w:szCs w:val="19"/>
          <w:color w:val="0075C9"/>
        </w:rPr>
        <w:t>Compensation Discussion and Analysis</w:t>
      </w:r>
    </w:p>
    <w:p>
      <w:pPr>
        <w:spacing w:after="0" w:line="154"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Our LTI program for our executive officers in 2025 consisted of PSUs and RSUs, with 60% of the annual LTI total target grant date value of awards allocated in PSUs (assuming target performance) and 40% allocated in RSUs. The PSUs granted to our executive officers are performance-based and settled in our common stock. The performance conditions applicable to these PSUs are described in further detail below. The RSUs granted to our executive officers are time-based and settled in our common stock.</w:t>
      </w:r>
    </w:p>
    <w:p>
      <w:pPr>
        <w:spacing w:after="0" w:line="70"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Our annual LTI target grant values are determined based on an executive officer’s individual performance, potential future contributions and market competitiveness, as well as other factors. In determining the LTI target grant value for a year, our CMDC reviews LTI awards made by companies in our peer group and, in certain circumstances, the broader market, and reviews the total compensation level of our executive officers against that of companies in our peer group and, in certain circumstances, the broader market. In general, we place a heavier weight on LTI awards in our executive compensation program to better align the interests of our executives with those of our stockholders.</w:t>
      </w:r>
    </w:p>
    <w:p>
      <w:pPr>
        <w:spacing w:after="0" w:line="72" w:lineRule="exact"/>
        <w:rPr>
          <w:sz w:val="20"/>
          <w:szCs w:val="20"/>
          <w:color w:val="auto"/>
        </w:rPr>
      </w:pPr>
    </w:p>
    <w:p>
      <w:pPr>
        <w:jc w:val="both"/>
        <w:ind w:left="120" w:right="180"/>
        <w:spacing w:after="0" w:line="266" w:lineRule="auto"/>
        <w:rPr>
          <w:sz w:val="20"/>
          <w:szCs w:val="20"/>
          <w:color w:val="auto"/>
        </w:rPr>
      </w:pPr>
      <w:r>
        <w:rPr>
          <w:rFonts w:ascii="Arial" w:cs="Arial" w:eastAsia="Arial" w:hAnsi="Arial"/>
          <w:sz w:val="16"/>
          <w:szCs w:val="16"/>
          <w:color w:val="auto"/>
        </w:rPr>
        <w:t>Our established practice is to grant LTI awards annually following the completion of our internal performance reviews of our executive officers as well as our external market review of equity practices of our peer group and the broader market, including data from the Willis Towers Watson survey described later in this document.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2025, the annual LTI grant values for our NEOs (assuming target performance) were as follows:</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80" w:type="dxa"/>
            <w:vAlign w:val="bottom"/>
            <w:vMerge w:val="restart"/>
            <w:shd w:val="clear" w:color="auto" w:fill="0075C9"/>
          </w:tcPr>
          <w:p>
            <w:pPr>
              <w:spacing w:after="0"/>
              <w:rPr>
                <w:sz w:val="20"/>
                <w:szCs w:val="20"/>
                <w:color w:val="auto"/>
              </w:rPr>
            </w:pPr>
            <w:r>
              <w:rPr>
                <w:rFonts w:ascii="Arial" w:cs="Arial" w:eastAsia="Arial" w:hAnsi="Arial"/>
                <w:sz w:val="8"/>
                <w:szCs w:val="8"/>
                <w:color w:val="FFFFFF"/>
                <w:w w:val="74"/>
              </w:rPr>
              <w:t> </w:t>
            </w:r>
          </w:p>
        </w:tc>
        <w:tc>
          <w:tcPr>
            <w:tcW w:w="2800" w:type="dxa"/>
            <w:vAlign w:val="bottom"/>
            <w:vMerge w:val="restart"/>
            <w:shd w:val="clear" w:color="auto" w:fill="0075C9"/>
          </w:tcPr>
          <w:p>
            <w:pPr>
              <w:ind w:left="60"/>
              <w:spacing w:after="0"/>
              <w:rPr>
                <w:sz w:val="20"/>
                <w:szCs w:val="20"/>
                <w:color w:val="auto"/>
              </w:rPr>
            </w:pPr>
            <w:r>
              <w:rPr>
                <w:rFonts w:ascii="Arial" w:cs="Arial" w:eastAsia="Arial" w:hAnsi="Arial"/>
                <w:sz w:val="14"/>
                <w:szCs w:val="14"/>
                <w:color w:val="FFFFFF"/>
              </w:rPr>
              <w:t>Name</w:t>
            </w:r>
          </w:p>
        </w:tc>
        <w:tc>
          <w:tcPr>
            <w:tcW w:w="1400" w:type="dxa"/>
            <w:vAlign w:val="bottom"/>
            <w:shd w:val="clear" w:color="auto" w:fill="0075C9"/>
          </w:tcPr>
          <w:p>
            <w:pPr>
              <w:jc w:val="center"/>
              <w:ind w:left="128"/>
              <w:spacing w:after="0"/>
              <w:rPr>
                <w:sz w:val="20"/>
                <w:szCs w:val="20"/>
                <w:color w:val="auto"/>
              </w:rPr>
            </w:pPr>
            <w:r>
              <w:rPr>
                <w:rFonts w:ascii="Arial" w:cs="Arial" w:eastAsia="Arial" w:hAnsi="Arial"/>
                <w:sz w:val="14"/>
                <w:szCs w:val="14"/>
                <w:color w:val="FFFFFF"/>
                <w:w w:val="98"/>
              </w:rPr>
              <w:t>LTI</w:t>
            </w:r>
          </w:p>
        </w:tc>
        <w:tc>
          <w:tcPr>
            <w:tcW w:w="0" w:type="dxa"/>
            <w:vAlign w:val="bottom"/>
          </w:tcPr>
          <w:p>
            <w:pPr>
              <w:spacing w:after="0"/>
              <w:rPr>
                <w:sz w:val="1"/>
                <w:szCs w:val="1"/>
                <w:color w:val="auto"/>
              </w:rPr>
            </w:pPr>
          </w:p>
        </w:tc>
      </w:tr>
      <w:tr>
        <w:trPr>
          <w:trHeight w:val="121"/>
        </w:trPr>
        <w:tc>
          <w:tcPr>
            <w:tcW w:w="80" w:type="dxa"/>
            <w:vAlign w:val="bottom"/>
            <w:vMerge w:val="continue"/>
            <w:shd w:val="clear" w:color="auto" w:fill="0075C9"/>
          </w:tcPr>
          <w:p>
            <w:pPr>
              <w:spacing w:after="0"/>
              <w:rPr>
                <w:sz w:val="10"/>
                <w:szCs w:val="10"/>
                <w:color w:val="auto"/>
              </w:rPr>
            </w:pPr>
          </w:p>
        </w:tc>
        <w:tc>
          <w:tcPr>
            <w:tcW w:w="2800" w:type="dxa"/>
            <w:vAlign w:val="bottom"/>
            <w:vMerge w:val="continue"/>
            <w:shd w:val="clear" w:color="auto" w:fill="0075C9"/>
          </w:tcPr>
          <w:p>
            <w:pPr>
              <w:spacing w:after="0"/>
              <w:rPr>
                <w:sz w:val="10"/>
                <w:szCs w:val="10"/>
                <w:color w:val="auto"/>
              </w:rPr>
            </w:pPr>
          </w:p>
        </w:tc>
        <w:tc>
          <w:tcPr>
            <w:tcW w:w="1400" w:type="dxa"/>
            <w:vAlign w:val="bottom"/>
            <w:vMerge w:val="restart"/>
            <w:shd w:val="clear" w:color="auto" w:fill="0075C9"/>
          </w:tcPr>
          <w:p>
            <w:pPr>
              <w:jc w:val="center"/>
              <w:ind w:left="128"/>
              <w:spacing w:after="0"/>
              <w:rPr>
                <w:sz w:val="20"/>
                <w:szCs w:val="20"/>
                <w:color w:val="auto"/>
              </w:rPr>
            </w:pPr>
            <w:r>
              <w:rPr>
                <w:rFonts w:ascii="Arial" w:cs="Arial" w:eastAsia="Arial" w:hAnsi="Arial"/>
                <w:sz w:val="14"/>
                <w:szCs w:val="14"/>
                <w:color w:val="FFFFFF"/>
              </w:rPr>
              <w:t>Grant Value</w:t>
            </w:r>
          </w:p>
        </w:tc>
        <w:tc>
          <w:tcPr>
            <w:tcW w:w="0" w:type="dxa"/>
            <w:vAlign w:val="bottom"/>
          </w:tcPr>
          <w:p>
            <w:pPr>
              <w:spacing w:after="0"/>
              <w:rPr>
                <w:sz w:val="1"/>
                <w:szCs w:val="1"/>
                <w:color w:val="auto"/>
              </w:rPr>
            </w:pPr>
          </w:p>
        </w:tc>
      </w:tr>
      <w:tr>
        <w:trPr>
          <w:trHeight w:val="162"/>
        </w:trPr>
        <w:tc>
          <w:tcPr>
            <w:tcW w:w="80" w:type="dxa"/>
            <w:vAlign w:val="bottom"/>
            <w:shd w:val="clear" w:color="auto" w:fill="0075C9"/>
          </w:tcPr>
          <w:p>
            <w:pPr>
              <w:spacing w:after="0"/>
              <w:rPr>
                <w:sz w:val="14"/>
                <w:szCs w:val="14"/>
                <w:color w:val="auto"/>
              </w:rPr>
            </w:pPr>
          </w:p>
        </w:tc>
        <w:tc>
          <w:tcPr>
            <w:tcW w:w="2800" w:type="dxa"/>
            <w:vAlign w:val="bottom"/>
            <w:shd w:val="clear" w:color="auto" w:fill="0075C9"/>
          </w:tcPr>
          <w:p>
            <w:pPr>
              <w:spacing w:after="0"/>
              <w:rPr>
                <w:sz w:val="14"/>
                <w:szCs w:val="14"/>
                <w:color w:val="auto"/>
              </w:rPr>
            </w:pPr>
          </w:p>
        </w:tc>
        <w:tc>
          <w:tcPr>
            <w:tcW w:w="1400" w:type="dxa"/>
            <w:vAlign w:val="bottom"/>
            <w:vMerge w:val="continue"/>
            <w:shd w:val="clear" w:color="auto" w:fill="0075C9"/>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80" w:type="dxa"/>
            <w:vAlign w:val="bottom"/>
            <w:shd w:val="clear" w:color="auto" w:fill="0075C9"/>
          </w:tcPr>
          <w:p>
            <w:pPr>
              <w:spacing w:after="0"/>
              <w:rPr>
                <w:sz w:val="5"/>
                <w:szCs w:val="5"/>
                <w:color w:val="auto"/>
              </w:rPr>
            </w:pPr>
          </w:p>
        </w:tc>
        <w:tc>
          <w:tcPr>
            <w:tcW w:w="2800" w:type="dxa"/>
            <w:vAlign w:val="bottom"/>
            <w:shd w:val="clear" w:color="auto" w:fill="0075C9"/>
          </w:tcPr>
          <w:p>
            <w:pPr>
              <w:spacing w:after="0"/>
              <w:rPr>
                <w:sz w:val="5"/>
                <w:szCs w:val="5"/>
                <w:color w:val="auto"/>
              </w:rPr>
            </w:pPr>
          </w:p>
        </w:tc>
        <w:tc>
          <w:tcPr>
            <w:tcW w:w="1400" w:type="dxa"/>
            <w:vAlign w:val="bottom"/>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8"/>
                <w:szCs w:val="8"/>
                <w:color w:val="auto"/>
                <w:w w:val="74"/>
              </w:rPr>
              <w:t> </w:t>
            </w:r>
          </w:p>
        </w:tc>
        <w:tc>
          <w:tcPr>
            <w:tcW w:w="2800" w:type="dxa"/>
            <w:vAlign w:val="bottom"/>
            <w:tcBorders>
              <w:bottom w:val="single" w:sz="8" w:color="E5F1F9"/>
            </w:tcBorders>
            <w:shd w:val="clear" w:color="auto" w:fill="E5F1F9"/>
          </w:tcPr>
          <w:p>
            <w:pPr>
              <w:ind w:left="60"/>
              <w:spacing w:after="0"/>
              <w:rPr>
                <w:sz w:val="20"/>
                <w:szCs w:val="20"/>
                <w:color w:val="auto"/>
              </w:rPr>
            </w:pPr>
            <w:r>
              <w:rPr>
                <w:rFonts w:ascii="Arial" w:cs="Arial" w:eastAsia="Arial" w:hAnsi="Arial"/>
                <w:sz w:val="14"/>
                <w:szCs w:val="14"/>
                <w:color w:val="auto"/>
              </w:rPr>
              <w:t>C. Viehbacher</w:t>
            </w:r>
          </w:p>
        </w:tc>
        <w:tc>
          <w:tcPr>
            <w:tcW w:w="1400" w:type="dxa"/>
            <w:vAlign w:val="bottom"/>
            <w:tcBorders>
              <w:bottom w:val="single" w:sz="8" w:color="E5F1F9"/>
            </w:tcBorders>
            <w:shd w:val="clear" w:color="auto" w:fill="E5F1F9"/>
          </w:tcPr>
          <w:p>
            <w:pPr>
              <w:jc w:val="center"/>
              <w:ind w:left="128"/>
              <w:spacing w:after="0"/>
              <w:rPr>
                <w:sz w:val="20"/>
                <w:szCs w:val="20"/>
                <w:color w:val="auto"/>
              </w:rPr>
            </w:pPr>
            <w:r>
              <w:rPr>
                <w:rFonts w:ascii="Arial" w:cs="Arial" w:eastAsia="Arial" w:hAnsi="Arial"/>
                <w:sz w:val="14"/>
                <w:szCs w:val="14"/>
                <w:color w:val="auto"/>
              </w:rPr>
              <w:t>$16,500,000</w:t>
            </w:r>
          </w:p>
        </w:tc>
        <w:tc>
          <w:tcPr>
            <w:tcW w:w="0" w:type="dxa"/>
            <w:vAlign w:val="bottom"/>
          </w:tcPr>
          <w:p>
            <w:pPr>
              <w:spacing w:after="0"/>
              <w:rPr>
                <w:sz w:val="1"/>
                <w:szCs w:val="1"/>
                <w:color w:val="auto"/>
              </w:rPr>
            </w:pPr>
          </w:p>
        </w:tc>
      </w:tr>
      <w:tr>
        <w:trPr>
          <w:trHeight w:val="277"/>
        </w:trPr>
        <w:tc>
          <w:tcPr>
            <w:tcW w:w="8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8"/>
                <w:szCs w:val="8"/>
                <w:color w:val="auto"/>
                <w:w w:val="74"/>
              </w:rPr>
              <w:t> </w:t>
            </w:r>
          </w:p>
        </w:tc>
        <w:tc>
          <w:tcPr>
            <w:tcW w:w="2800" w:type="dxa"/>
            <w:vAlign w:val="bottom"/>
            <w:tcBorders>
              <w:bottom w:val="single" w:sz="8" w:color="B2D5EE"/>
            </w:tcBorders>
            <w:shd w:val="clear" w:color="auto" w:fill="B2D5EE"/>
          </w:tcPr>
          <w:p>
            <w:pPr>
              <w:ind w:left="60"/>
              <w:spacing w:after="0"/>
              <w:rPr>
                <w:sz w:val="20"/>
                <w:szCs w:val="20"/>
                <w:color w:val="auto"/>
              </w:rPr>
            </w:pPr>
            <w:r>
              <w:rPr>
                <w:rFonts w:ascii="Arial" w:cs="Arial" w:eastAsia="Arial" w:hAnsi="Arial"/>
                <w:sz w:val="14"/>
                <w:szCs w:val="14"/>
                <w:color w:val="auto"/>
              </w:rPr>
              <w:t>R. Kramer</w:t>
            </w:r>
          </w:p>
        </w:tc>
        <w:tc>
          <w:tcPr>
            <w:tcW w:w="1400" w:type="dxa"/>
            <w:vAlign w:val="bottom"/>
            <w:tcBorders>
              <w:bottom w:val="single" w:sz="8" w:color="B2D5EE"/>
            </w:tcBorders>
            <w:shd w:val="clear" w:color="auto" w:fill="B2D5EE"/>
          </w:tcPr>
          <w:p>
            <w:pPr>
              <w:jc w:val="center"/>
              <w:ind w:left="128"/>
              <w:spacing w:after="0"/>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277"/>
        </w:trPr>
        <w:tc>
          <w:tcPr>
            <w:tcW w:w="8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8"/>
                <w:szCs w:val="8"/>
                <w:color w:val="auto"/>
                <w:w w:val="74"/>
              </w:rPr>
              <w:t> </w:t>
            </w:r>
          </w:p>
        </w:tc>
        <w:tc>
          <w:tcPr>
            <w:tcW w:w="2800" w:type="dxa"/>
            <w:vAlign w:val="bottom"/>
            <w:tcBorders>
              <w:bottom w:val="single" w:sz="8" w:color="E5F1F9"/>
            </w:tcBorders>
            <w:shd w:val="clear" w:color="auto" w:fill="E5F1F9"/>
          </w:tcPr>
          <w:p>
            <w:pPr>
              <w:ind w:left="60"/>
              <w:spacing w:after="0"/>
              <w:rPr>
                <w:sz w:val="20"/>
                <w:szCs w:val="20"/>
                <w:color w:val="auto"/>
              </w:rPr>
            </w:pPr>
            <w:r>
              <w:rPr>
                <w:rFonts w:ascii="Arial" w:cs="Arial" w:eastAsia="Arial" w:hAnsi="Arial"/>
                <w:sz w:val="14"/>
                <w:szCs w:val="14"/>
                <w:color w:val="auto"/>
              </w:rPr>
              <w:t>S. Alexander</w:t>
            </w:r>
          </w:p>
        </w:tc>
        <w:tc>
          <w:tcPr>
            <w:tcW w:w="1400" w:type="dxa"/>
            <w:vAlign w:val="bottom"/>
            <w:tcBorders>
              <w:bottom w:val="single" w:sz="8" w:color="E5F1F9"/>
            </w:tcBorders>
            <w:shd w:val="clear" w:color="auto" w:fill="E5F1F9"/>
          </w:tcPr>
          <w:p>
            <w:pPr>
              <w:jc w:val="center"/>
              <w:ind w:left="128"/>
              <w:spacing w:after="0"/>
              <w:rPr>
                <w:sz w:val="20"/>
                <w:szCs w:val="20"/>
                <w:color w:val="auto"/>
              </w:rPr>
            </w:pPr>
            <w:r>
              <w:rPr>
                <w:rFonts w:ascii="Arial" w:cs="Arial" w:eastAsia="Arial" w:hAnsi="Arial"/>
                <w:sz w:val="14"/>
                <w:szCs w:val="14"/>
                <w:color w:val="auto"/>
              </w:rPr>
              <w:t>$5,250,000</w:t>
            </w:r>
          </w:p>
        </w:tc>
        <w:tc>
          <w:tcPr>
            <w:tcW w:w="0" w:type="dxa"/>
            <w:vAlign w:val="bottom"/>
          </w:tcPr>
          <w:p>
            <w:pPr>
              <w:spacing w:after="0"/>
              <w:rPr>
                <w:sz w:val="1"/>
                <w:szCs w:val="1"/>
                <w:color w:val="auto"/>
              </w:rPr>
            </w:pPr>
          </w:p>
        </w:tc>
      </w:tr>
      <w:tr>
        <w:trPr>
          <w:trHeight w:val="277"/>
        </w:trPr>
        <w:tc>
          <w:tcPr>
            <w:tcW w:w="80" w:type="dxa"/>
            <w:vAlign w:val="bottom"/>
            <w:tcBorders>
              <w:bottom w:val="single" w:sz="8" w:color="B2D5EE"/>
            </w:tcBorders>
            <w:shd w:val="clear" w:color="auto" w:fill="B2D5EE"/>
          </w:tcPr>
          <w:p>
            <w:pPr>
              <w:spacing w:after="0"/>
              <w:rPr>
                <w:sz w:val="20"/>
                <w:szCs w:val="20"/>
                <w:color w:val="auto"/>
              </w:rPr>
            </w:pPr>
            <w:r>
              <w:rPr>
                <w:rFonts w:ascii="Arial" w:cs="Arial" w:eastAsia="Arial" w:hAnsi="Arial"/>
                <w:sz w:val="8"/>
                <w:szCs w:val="8"/>
                <w:color w:val="auto"/>
                <w:w w:val="74"/>
              </w:rPr>
              <w:t> </w:t>
            </w:r>
          </w:p>
        </w:tc>
        <w:tc>
          <w:tcPr>
            <w:tcW w:w="2800" w:type="dxa"/>
            <w:vAlign w:val="bottom"/>
            <w:tcBorders>
              <w:bottom w:val="single" w:sz="8" w:color="B2D5EE"/>
            </w:tcBorders>
            <w:shd w:val="clear" w:color="auto" w:fill="B2D5EE"/>
          </w:tcPr>
          <w:p>
            <w:pPr>
              <w:ind w:left="60"/>
              <w:spacing w:after="0"/>
              <w:rPr>
                <w:sz w:val="20"/>
                <w:szCs w:val="20"/>
                <w:color w:val="auto"/>
              </w:rPr>
            </w:pPr>
            <w:r>
              <w:rPr>
                <w:rFonts w:ascii="Arial" w:cs="Arial" w:eastAsia="Arial" w:hAnsi="Arial"/>
                <w:sz w:val="14"/>
                <w:szCs w:val="14"/>
                <w:color w:val="auto"/>
              </w:rPr>
              <w:t>P. Singhal</w:t>
            </w:r>
          </w:p>
        </w:tc>
        <w:tc>
          <w:tcPr>
            <w:tcW w:w="1400" w:type="dxa"/>
            <w:vAlign w:val="bottom"/>
            <w:tcBorders>
              <w:bottom w:val="single" w:sz="8" w:color="B2D5EE"/>
            </w:tcBorders>
            <w:shd w:val="clear" w:color="auto" w:fill="B2D5EE"/>
          </w:tcPr>
          <w:p>
            <w:pPr>
              <w:jc w:val="center"/>
              <w:ind w:left="128"/>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248"/>
        </w:trPr>
        <w:tc>
          <w:tcPr>
            <w:tcW w:w="80" w:type="dxa"/>
            <w:vAlign w:val="bottom"/>
            <w:shd w:val="clear" w:color="auto" w:fill="E5F1F9"/>
          </w:tcPr>
          <w:p>
            <w:pPr>
              <w:spacing w:after="0"/>
              <w:rPr>
                <w:sz w:val="20"/>
                <w:szCs w:val="20"/>
                <w:color w:val="auto"/>
              </w:rPr>
            </w:pPr>
            <w:r>
              <w:rPr>
                <w:rFonts w:ascii="Arial" w:cs="Arial" w:eastAsia="Arial" w:hAnsi="Arial"/>
                <w:sz w:val="8"/>
                <w:szCs w:val="8"/>
                <w:color w:val="auto"/>
                <w:w w:val="74"/>
              </w:rPr>
              <w:t> </w:t>
            </w:r>
          </w:p>
        </w:tc>
        <w:tc>
          <w:tcPr>
            <w:tcW w:w="2800" w:type="dxa"/>
            <w:vAlign w:val="bottom"/>
            <w:shd w:val="clear" w:color="auto" w:fill="E5F1F9"/>
          </w:tcPr>
          <w:p>
            <w:pPr>
              <w:ind w:left="60"/>
              <w:spacing w:after="0"/>
              <w:rPr>
                <w:sz w:val="20"/>
                <w:szCs w:val="20"/>
                <w:color w:val="auto"/>
              </w:rPr>
            </w:pPr>
            <w:r>
              <w:rPr>
                <w:rFonts w:ascii="Arial" w:cs="Arial" w:eastAsia="Arial" w:hAnsi="Arial"/>
                <w:sz w:val="14"/>
                <w:szCs w:val="14"/>
                <w:color w:val="auto"/>
              </w:rPr>
              <w:t>N. Murphy</w:t>
            </w:r>
          </w:p>
        </w:tc>
        <w:tc>
          <w:tcPr>
            <w:tcW w:w="1400" w:type="dxa"/>
            <w:vAlign w:val="bottom"/>
            <w:shd w:val="clear" w:color="auto" w:fill="E5F1F9"/>
          </w:tcPr>
          <w:p>
            <w:pPr>
              <w:jc w:val="center"/>
              <w:ind w:left="128"/>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48"/>
        </w:trPr>
        <w:tc>
          <w:tcPr>
            <w:tcW w:w="80" w:type="dxa"/>
            <w:vAlign w:val="bottom"/>
            <w:shd w:val="clear" w:color="auto" w:fill="E5F1F9"/>
          </w:tcPr>
          <w:p>
            <w:pPr>
              <w:spacing w:after="0"/>
              <w:rPr>
                <w:sz w:val="4"/>
                <w:szCs w:val="4"/>
                <w:color w:val="auto"/>
              </w:rPr>
            </w:pPr>
          </w:p>
        </w:tc>
        <w:tc>
          <w:tcPr>
            <w:tcW w:w="2800" w:type="dxa"/>
            <w:vAlign w:val="bottom"/>
            <w:shd w:val="clear" w:color="auto" w:fill="E5F1F9"/>
          </w:tcPr>
          <w:p>
            <w:pPr>
              <w:spacing w:after="0"/>
              <w:rPr>
                <w:sz w:val="4"/>
                <w:szCs w:val="4"/>
                <w:color w:val="auto"/>
              </w:rPr>
            </w:pPr>
          </w:p>
        </w:tc>
        <w:tc>
          <w:tcPr>
            <w:tcW w:w="1400" w:type="dxa"/>
            <w:vAlign w:val="bottom"/>
            <w:shd w:val="clear" w:color="auto" w:fill="E5F1F9"/>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color w:val="auto"/>
        </w:rPr>
        <w:t>The performance metrics for the 2025 PSUs are a three-year cumulative rTSR and EPS CAGR, each weighted 50%. The 2025 PSUs will vest on the third anniversary of the date of grant, with the number of PSUs earned based on the cumulative rTSR and EPS CAGR metrics. This program is designed to drive our long-term business strategy, is reflective of competitive market practices and aligns with stockholder interests. We believe measuring rTSR and EPS CAGR is critical to see how we perform in comparison to the market. The actual value (if any) of PSUs will not be realized by our NEOs until the three-year period ends and then only if the applicable performance goals are achieved. The table below outlines a summary of PSU awards granted in 2025.</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252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6"/>
                <w:szCs w:val="16"/>
                <w:color w:val="FFFFFF"/>
              </w:rPr>
              <w:t>  rTSR</w:t>
            </w:r>
          </w:p>
        </w:tc>
        <w:tc>
          <w:tcPr>
            <w:tcW w:w="1440" w:type="dxa"/>
            <w:vAlign w:val="bottom"/>
            <w:tcBorders>
              <w:bottom w:val="single" w:sz="8" w:color="0075C9"/>
            </w:tcBorders>
            <w:shd w:val="clear" w:color="auto" w:fill="0075C9"/>
          </w:tcPr>
          <w:p>
            <w:pPr>
              <w:ind w:left="340"/>
              <w:spacing w:after="0"/>
              <w:rPr>
                <w:sz w:val="20"/>
                <w:szCs w:val="20"/>
                <w:color w:val="auto"/>
              </w:rPr>
            </w:pPr>
            <w:r>
              <w:rPr>
                <w:rFonts w:ascii="Arial" w:cs="Arial" w:eastAsia="Arial" w:hAnsi="Arial"/>
                <w:sz w:val="16"/>
                <w:szCs w:val="16"/>
                <w:color w:val="FFFFFF"/>
              </w:rPr>
              <w:t>Description</w:t>
            </w:r>
          </w:p>
        </w:tc>
        <w:tc>
          <w:tcPr>
            <w:tcW w:w="100" w:type="dxa"/>
            <w:vAlign w:val="bottom"/>
            <w:tcBorders>
              <w:bottom w:val="single" w:sz="8" w:color="0075C9"/>
            </w:tcBorders>
            <w:shd w:val="clear" w:color="auto" w:fill="0075C9"/>
          </w:tcPr>
          <w:p>
            <w:pPr>
              <w:spacing w:after="0"/>
              <w:rPr>
                <w:sz w:val="24"/>
                <w:szCs w:val="24"/>
                <w:color w:val="auto"/>
              </w:rPr>
            </w:pPr>
          </w:p>
        </w:tc>
        <w:tc>
          <w:tcPr>
            <w:tcW w:w="800" w:type="dxa"/>
            <w:vAlign w:val="bottom"/>
            <w:tcBorders>
              <w:bottom w:val="single" w:sz="8" w:color="0075C9"/>
              <w:right w:val="single" w:sz="8" w:color="0075C9"/>
            </w:tcBorders>
            <w:shd w:val="clear" w:color="auto" w:fill="0075C9"/>
          </w:tcPr>
          <w:p>
            <w:pPr>
              <w:spacing w:after="0"/>
              <w:rPr>
                <w:sz w:val="24"/>
                <w:szCs w:val="24"/>
                <w:color w:val="auto"/>
              </w:rPr>
            </w:pPr>
          </w:p>
        </w:tc>
        <w:tc>
          <w:tcPr>
            <w:tcW w:w="800" w:type="dxa"/>
            <w:vAlign w:val="bottom"/>
            <w:tcBorders>
              <w:bottom w:val="single" w:sz="8" w:color="0075C9"/>
            </w:tcBorders>
            <w:shd w:val="clear" w:color="auto" w:fill="0075C9"/>
          </w:tcPr>
          <w:p>
            <w:pPr>
              <w:spacing w:after="0"/>
              <w:rPr>
                <w:sz w:val="24"/>
                <w:szCs w:val="24"/>
                <w:color w:val="auto"/>
              </w:rPr>
            </w:pPr>
          </w:p>
        </w:tc>
        <w:tc>
          <w:tcPr>
            <w:tcW w:w="106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880" w:type="dxa"/>
            <w:vAlign w:val="bottom"/>
            <w:tcBorders>
              <w:bottom w:val="single" w:sz="8" w:color="0075C9"/>
            </w:tcBorders>
            <w:shd w:val="clear" w:color="auto" w:fill="0075C9"/>
          </w:tcPr>
          <w:p>
            <w:pPr>
              <w:spacing w:after="0"/>
              <w:rPr>
                <w:sz w:val="24"/>
                <w:szCs w:val="24"/>
                <w:color w:val="auto"/>
              </w:rPr>
            </w:pPr>
          </w:p>
        </w:tc>
        <w:tc>
          <w:tcPr>
            <w:tcW w:w="280" w:type="dxa"/>
            <w:vAlign w:val="bottom"/>
            <w:tcBorders>
              <w:bottom w:val="single" w:sz="8" w:color="0075C9"/>
            </w:tcBorders>
            <w:shd w:val="clear" w:color="auto" w:fill="0075C9"/>
          </w:tcPr>
          <w:p>
            <w:pPr>
              <w:spacing w:after="0"/>
              <w:rPr>
                <w:sz w:val="24"/>
                <w:szCs w:val="24"/>
                <w:color w:val="auto"/>
              </w:rPr>
            </w:pPr>
          </w:p>
        </w:tc>
        <w:tc>
          <w:tcPr>
            <w:tcW w:w="340" w:type="dxa"/>
            <w:vAlign w:val="bottom"/>
            <w:tcBorders>
              <w:bottom w:val="single" w:sz="8" w:color="0075C9"/>
            </w:tcBorders>
            <w:shd w:val="clear" w:color="auto" w:fill="0075C9"/>
          </w:tcPr>
          <w:p>
            <w:pPr>
              <w:spacing w:after="0"/>
              <w:rPr>
                <w:sz w:val="24"/>
                <w:szCs w:val="24"/>
                <w:color w:val="auto"/>
              </w:rPr>
            </w:pPr>
          </w:p>
        </w:tc>
        <w:tc>
          <w:tcPr>
            <w:tcW w:w="400" w:type="dxa"/>
            <w:vAlign w:val="bottom"/>
            <w:tcBorders>
              <w:bottom w:val="single" w:sz="8" w:color="0075C9"/>
            </w:tcBorders>
            <w:shd w:val="clear" w:color="auto" w:fill="0075C9"/>
          </w:tcPr>
          <w:p>
            <w:pPr>
              <w:spacing w:after="0"/>
              <w:rPr>
                <w:sz w:val="24"/>
                <w:szCs w:val="24"/>
                <w:color w:val="auto"/>
              </w:rPr>
            </w:pPr>
          </w:p>
        </w:tc>
        <w:tc>
          <w:tcPr>
            <w:tcW w:w="340" w:type="dxa"/>
            <w:vAlign w:val="bottom"/>
            <w:tcBorders>
              <w:bottom w:val="single" w:sz="8" w:color="0075C9"/>
            </w:tcBorders>
            <w:shd w:val="clear" w:color="auto" w:fill="0075C9"/>
          </w:tcPr>
          <w:p>
            <w:pPr>
              <w:spacing w:after="0"/>
              <w:rPr>
                <w:sz w:val="24"/>
                <w:szCs w:val="24"/>
                <w:color w:val="auto"/>
              </w:rPr>
            </w:pPr>
          </w:p>
        </w:tc>
        <w:tc>
          <w:tcPr>
            <w:tcW w:w="1020" w:type="dxa"/>
            <w:vAlign w:val="bottom"/>
            <w:tcBorders>
              <w:bottom w:val="single" w:sz="8" w:color="0075C9"/>
            </w:tcBorders>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520" w:type="dxa"/>
            <w:vAlign w:val="bottom"/>
            <w:shd w:val="clear" w:color="auto" w:fill="E5F1F9"/>
          </w:tcPr>
          <w:p>
            <w:pPr>
              <w:spacing w:after="0"/>
              <w:rPr>
                <w:sz w:val="20"/>
                <w:szCs w:val="20"/>
                <w:color w:val="auto"/>
              </w:rPr>
            </w:pPr>
            <w:r>
              <w:rPr>
                <w:rFonts w:ascii="Arial" w:cs="Arial" w:eastAsia="Arial" w:hAnsi="Arial"/>
                <w:sz w:val="16"/>
                <w:szCs w:val="16"/>
                <w:color w:val="auto"/>
              </w:rPr>
              <w:t>  rTSR Comparison Group</w:t>
            </w:r>
          </w:p>
        </w:tc>
        <w:tc>
          <w:tcPr>
            <w:tcW w:w="8500" w:type="dxa"/>
            <w:vAlign w:val="bottom"/>
            <w:gridSpan w:val="14"/>
            <w:shd w:val="clear" w:color="auto" w:fill="E5F1F9"/>
          </w:tcPr>
          <w:p>
            <w:pPr>
              <w:ind w:left="340"/>
              <w:spacing w:after="0"/>
              <w:rPr>
                <w:sz w:val="20"/>
                <w:szCs w:val="20"/>
                <w:color w:val="auto"/>
              </w:rPr>
            </w:pPr>
            <w:r>
              <w:rPr>
                <w:rFonts w:ascii="Arial" w:cs="Arial" w:eastAsia="Arial" w:hAnsi="Arial"/>
                <w:sz w:val="16"/>
                <w:szCs w:val="16"/>
                <w:color w:val="auto"/>
              </w:rPr>
              <w:t>Comparator group includes the peer group used for executive compensation benchmarking in 2025 plus the NBI,</w:t>
            </w:r>
          </w:p>
        </w:tc>
        <w:tc>
          <w:tcPr>
            <w:tcW w:w="0" w:type="dxa"/>
            <w:vAlign w:val="bottom"/>
          </w:tcPr>
          <w:p>
            <w:pPr>
              <w:spacing w:after="0"/>
              <w:rPr>
                <w:sz w:val="1"/>
                <w:szCs w:val="1"/>
                <w:color w:val="auto"/>
              </w:rPr>
            </w:pPr>
          </w:p>
        </w:tc>
      </w:tr>
      <w:tr>
        <w:trPr>
          <w:trHeight w:val="251"/>
        </w:trPr>
        <w:tc>
          <w:tcPr>
            <w:tcW w:w="2520" w:type="dxa"/>
            <w:vAlign w:val="bottom"/>
            <w:tcBorders>
              <w:bottom w:val="single" w:sz="8" w:color="E5F1F9"/>
            </w:tcBorders>
            <w:shd w:val="clear" w:color="auto" w:fill="E5F1F9"/>
          </w:tcPr>
          <w:p>
            <w:pPr>
              <w:spacing w:after="0"/>
              <w:rPr>
                <w:sz w:val="21"/>
                <w:szCs w:val="21"/>
                <w:color w:val="auto"/>
              </w:rPr>
            </w:pPr>
          </w:p>
        </w:tc>
        <w:tc>
          <w:tcPr>
            <w:tcW w:w="6120" w:type="dxa"/>
            <w:vAlign w:val="bottom"/>
            <w:tcBorders>
              <w:bottom w:val="single" w:sz="8" w:color="E5F1F9"/>
            </w:tcBorders>
            <w:gridSpan w:val="9"/>
            <w:shd w:val="clear" w:color="auto" w:fill="E5F1F9"/>
          </w:tcPr>
          <w:p>
            <w:pPr>
              <w:ind w:left="340"/>
              <w:spacing w:after="0"/>
              <w:rPr>
                <w:sz w:val="20"/>
                <w:szCs w:val="20"/>
                <w:color w:val="auto"/>
              </w:rPr>
            </w:pPr>
            <w:r>
              <w:rPr>
                <w:rFonts w:ascii="Arial" w:cs="Arial" w:eastAsia="Arial" w:hAnsi="Arial"/>
                <w:sz w:val="16"/>
                <w:szCs w:val="16"/>
                <w:color w:val="auto"/>
              </w:rPr>
              <w:t>excluding companies with less than a $5B market capitalization.</w:t>
            </w:r>
          </w:p>
        </w:tc>
        <w:tc>
          <w:tcPr>
            <w:tcW w:w="280" w:type="dxa"/>
            <w:vAlign w:val="bottom"/>
            <w:tcBorders>
              <w:bottom w:val="single" w:sz="8" w:color="E5F1F9"/>
            </w:tcBorders>
            <w:shd w:val="clear" w:color="auto" w:fill="E5F1F9"/>
          </w:tcPr>
          <w:p>
            <w:pPr>
              <w:spacing w:after="0"/>
              <w:rPr>
                <w:sz w:val="21"/>
                <w:szCs w:val="21"/>
                <w:color w:val="auto"/>
              </w:rPr>
            </w:pPr>
          </w:p>
        </w:tc>
        <w:tc>
          <w:tcPr>
            <w:tcW w:w="340" w:type="dxa"/>
            <w:vAlign w:val="bottom"/>
            <w:tcBorders>
              <w:bottom w:val="single" w:sz="8" w:color="E5F1F9"/>
            </w:tcBorders>
            <w:shd w:val="clear" w:color="auto" w:fill="E5F1F9"/>
          </w:tcPr>
          <w:p>
            <w:pPr>
              <w:spacing w:after="0"/>
              <w:rPr>
                <w:sz w:val="21"/>
                <w:szCs w:val="21"/>
                <w:color w:val="auto"/>
              </w:rPr>
            </w:pPr>
          </w:p>
        </w:tc>
        <w:tc>
          <w:tcPr>
            <w:tcW w:w="400" w:type="dxa"/>
            <w:vAlign w:val="bottom"/>
            <w:tcBorders>
              <w:bottom w:val="single" w:sz="8" w:color="E5F1F9"/>
            </w:tcBorders>
            <w:shd w:val="clear" w:color="auto" w:fill="E5F1F9"/>
          </w:tcPr>
          <w:p>
            <w:pPr>
              <w:spacing w:after="0"/>
              <w:rPr>
                <w:sz w:val="21"/>
                <w:szCs w:val="21"/>
                <w:color w:val="auto"/>
              </w:rPr>
            </w:pPr>
          </w:p>
        </w:tc>
        <w:tc>
          <w:tcPr>
            <w:tcW w:w="340" w:type="dxa"/>
            <w:vAlign w:val="bottom"/>
            <w:tcBorders>
              <w:bottom w:val="single" w:sz="8" w:color="E5F1F9"/>
            </w:tcBorders>
            <w:shd w:val="clear" w:color="auto" w:fill="E5F1F9"/>
          </w:tcPr>
          <w:p>
            <w:pPr>
              <w:spacing w:after="0"/>
              <w:rPr>
                <w:sz w:val="21"/>
                <w:szCs w:val="21"/>
                <w:color w:val="auto"/>
              </w:rPr>
            </w:pPr>
          </w:p>
        </w:tc>
        <w:tc>
          <w:tcPr>
            <w:tcW w:w="1020" w:type="dxa"/>
            <w:vAlign w:val="bottom"/>
            <w:tcBorders>
              <w:bottom w:val="single" w:sz="8" w:color="E5F1F9"/>
            </w:tcBorders>
            <w:shd w:val="clear" w:color="auto" w:fill="E5F1F9"/>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B2D5EE"/>
          </w:tcPr>
          <w:p>
            <w:pPr>
              <w:spacing w:after="0"/>
              <w:rPr>
                <w:sz w:val="20"/>
                <w:szCs w:val="20"/>
                <w:color w:val="auto"/>
              </w:rPr>
            </w:pPr>
            <w:r>
              <w:rPr>
                <w:rFonts w:ascii="Arial" w:cs="Arial" w:eastAsia="Arial" w:hAnsi="Arial"/>
                <w:sz w:val="16"/>
                <w:szCs w:val="16"/>
                <w:color w:val="auto"/>
              </w:rPr>
              <w:t>  Performance Period</w:t>
            </w:r>
          </w:p>
        </w:tc>
        <w:tc>
          <w:tcPr>
            <w:tcW w:w="4200" w:type="dxa"/>
            <w:vAlign w:val="bottom"/>
            <w:gridSpan w:val="5"/>
            <w:shd w:val="clear" w:color="auto" w:fill="B2D5EE"/>
          </w:tcPr>
          <w:p>
            <w:pPr>
              <w:ind w:left="340"/>
              <w:spacing w:after="0"/>
              <w:rPr>
                <w:sz w:val="20"/>
                <w:szCs w:val="20"/>
                <w:color w:val="auto"/>
              </w:rPr>
            </w:pPr>
            <w:r>
              <w:rPr>
                <w:rFonts w:ascii="Arial" w:cs="Arial" w:eastAsia="Arial" w:hAnsi="Arial"/>
                <w:sz w:val="16"/>
                <w:szCs w:val="16"/>
                <w:color w:val="auto"/>
              </w:rPr>
              <w:t>3 years: 2025-2027</w:t>
            </w:r>
          </w:p>
        </w:tc>
        <w:tc>
          <w:tcPr>
            <w:tcW w:w="480" w:type="dxa"/>
            <w:vAlign w:val="bottom"/>
            <w:shd w:val="clear" w:color="auto" w:fill="B2D5EE"/>
          </w:tcPr>
          <w:p>
            <w:pPr>
              <w:spacing w:after="0"/>
              <w:rPr>
                <w:sz w:val="22"/>
                <w:szCs w:val="22"/>
                <w:color w:val="auto"/>
              </w:rPr>
            </w:pPr>
          </w:p>
        </w:tc>
        <w:tc>
          <w:tcPr>
            <w:tcW w:w="80" w:type="dxa"/>
            <w:vAlign w:val="bottom"/>
            <w:shd w:val="clear" w:color="auto" w:fill="B2D5EE"/>
          </w:tcPr>
          <w:p>
            <w:pPr>
              <w:spacing w:after="0"/>
              <w:rPr>
                <w:sz w:val="22"/>
                <w:szCs w:val="22"/>
                <w:color w:val="auto"/>
              </w:rPr>
            </w:pPr>
          </w:p>
        </w:tc>
        <w:tc>
          <w:tcPr>
            <w:tcW w:w="480" w:type="dxa"/>
            <w:vAlign w:val="bottom"/>
            <w:shd w:val="clear" w:color="auto" w:fill="B2D5EE"/>
          </w:tcPr>
          <w:p>
            <w:pPr>
              <w:spacing w:after="0"/>
              <w:rPr>
                <w:sz w:val="22"/>
                <w:szCs w:val="22"/>
                <w:color w:val="auto"/>
              </w:rPr>
            </w:pPr>
          </w:p>
        </w:tc>
        <w:tc>
          <w:tcPr>
            <w:tcW w:w="880" w:type="dxa"/>
            <w:vAlign w:val="bottom"/>
            <w:shd w:val="clear" w:color="auto" w:fill="B2D5EE"/>
          </w:tcPr>
          <w:p>
            <w:pPr>
              <w:spacing w:after="0"/>
              <w:rPr>
                <w:sz w:val="22"/>
                <w:szCs w:val="22"/>
                <w:color w:val="auto"/>
              </w:rPr>
            </w:pPr>
          </w:p>
        </w:tc>
        <w:tc>
          <w:tcPr>
            <w:tcW w:w="280" w:type="dxa"/>
            <w:vAlign w:val="bottom"/>
            <w:shd w:val="clear" w:color="auto" w:fill="B2D5EE"/>
          </w:tcPr>
          <w:p>
            <w:pPr>
              <w:spacing w:after="0"/>
              <w:rPr>
                <w:sz w:val="22"/>
                <w:szCs w:val="22"/>
                <w:color w:val="auto"/>
              </w:rPr>
            </w:pPr>
          </w:p>
        </w:tc>
        <w:tc>
          <w:tcPr>
            <w:tcW w:w="340" w:type="dxa"/>
            <w:vAlign w:val="bottom"/>
            <w:shd w:val="clear" w:color="auto" w:fill="B2D5EE"/>
          </w:tcPr>
          <w:p>
            <w:pPr>
              <w:spacing w:after="0"/>
              <w:rPr>
                <w:sz w:val="22"/>
                <w:szCs w:val="22"/>
                <w:color w:val="auto"/>
              </w:rPr>
            </w:pPr>
          </w:p>
        </w:tc>
        <w:tc>
          <w:tcPr>
            <w:tcW w:w="400" w:type="dxa"/>
            <w:vAlign w:val="bottom"/>
            <w:shd w:val="clear" w:color="auto" w:fill="B2D5EE"/>
          </w:tcPr>
          <w:p>
            <w:pPr>
              <w:spacing w:after="0"/>
              <w:rPr>
                <w:sz w:val="22"/>
                <w:szCs w:val="22"/>
                <w:color w:val="auto"/>
              </w:rPr>
            </w:pPr>
          </w:p>
        </w:tc>
        <w:tc>
          <w:tcPr>
            <w:tcW w:w="340" w:type="dxa"/>
            <w:vAlign w:val="bottom"/>
            <w:shd w:val="clear" w:color="auto" w:fill="B2D5EE"/>
          </w:tcPr>
          <w:p>
            <w:pPr>
              <w:spacing w:after="0"/>
              <w:rPr>
                <w:sz w:val="22"/>
                <w:szCs w:val="22"/>
                <w:color w:val="auto"/>
              </w:rPr>
            </w:pPr>
          </w:p>
        </w:tc>
        <w:tc>
          <w:tcPr>
            <w:tcW w:w="1020" w:type="dxa"/>
            <w:vAlign w:val="bottom"/>
            <w:shd w:val="clear" w:color="auto" w:fill="B2D5E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E5F1F9"/>
          </w:tcPr>
          <w:p>
            <w:pPr>
              <w:spacing w:after="0"/>
              <w:rPr>
                <w:sz w:val="19"/>
                <w:szCs w:val="19"/>
                <w:color w:val="auto"/>
              </w:rPr>
            </w:pPr>
          </w:p>
        </w:tc>
        <w:tc>
          <w:tcPr>
            <w:tcW w:w="1440" w:type="dxa"/>
            <w:vAlign w:val="bottom"/>
            <w:shd w:val="clear" w:color="auto" w:fill="E5F1F9"/>
          </w:tcPr>
          <w:p>
            <w:pPr>
              <w:spacing w:after="0"/>
              <w:rPr>
                <w:sz w:val="19"/>
                <w:szCs w:val="19"/>
                <w:color w:val="auto"/>
              </w:rPr>
            </w:pPr>
          </w:p>
        </w:tc>
        <w:tc>
          <w:tcPr>
            <w:tcW w:w="2760" w:type="dxa"/>
            <w:vAlign w:val="bottom"/>
            <w:gridSpan w:val="4"/>
            <w:shd w:val="clear" w:color="auto" w:fill="E5F1F9"/>
          </w:tcPr>
          <w:p>
            <w:pPr>
              <w:ind w:left="100"/>
              <w:spacing w:after="0"/>
              <w:rPr>
                <w:sz w:val="20"/>
                <w:szCs w:val="20"/>
                <w:color w:val="auto"/>
              </w:rPr>
            </w:pPr>
            <w:r>
              <w:rPr>
                <w:rFonts w:ascii="Arial" w:cs="Arial" w:eastAsia="Arial" w:hAnsi="Arial"/>
                <w:sz w:val="16"/>
                <w:szCs w:val="16"/>
                <w:b w:val="1"/>
                <w:bCs w:val="1"/>
                <w:color w:val="auto"/>
              </w:rPr>
              <w:t>Threshold</w:t>
            </w:r>
          </w:p>
        </w:tc>
        <w:tc>
          <w:tcPr>
            <w:tcW w:w="1920" w:type="dxa"/>
            <w:vAlign w:val="bottom"/>
            <w:gridSpan w:val="4"/>
            <w:shd w:val="clear" w:color="auto" w:fill="E5F1F9"/>
          </w:tcPr>
          <w:p>
            <w:pPr>
              <w:spacing w:after="0"/>
              <w:rPr>
                <w:sz w:val="20"/>
                <w:szCs w:val="20"/>
                <w:color w:val="auto"/>
              </w:rPr>
            </w:pPr>
            <w:r>
              <w:rPr>
                <w:rFonts w:ascii="Arial" w:cs="Arial" w:eastAsia="Arial" w:hAnsi="Arial"/>
                <w:sz w:val="16"/>
                <w:szCs w:val="16"/>
                <w:b w:val="1"/>
                <w:bCs w:val="1"/>
                <w:color w:val="auto"/>
              </w:rPr>
              <w:t>Target</w:t>
            </w:r>
          </w:p>
        </w:tc>
        <w:tc>
          <w:tcPr>
            <w:tcW w:w="2380" w:type="dxa"/>
            <w:vAlign w:val="bottom"/>
            <w:gridSpan w:val="5"/>
            <w:shd w:val="clear" w:color="auto" w:fill="E5F1F9"/>
          </w:tcPr>
          <w:p>
            <w:pPr>
              <w:ind w:left="280"/>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20"/>
        </w:trPr>
        <w:tc>
          <w:tcPr>
            <w:tcW w:w="2520" w:type="dxa"/>
            <w:vAlign w:val="bottom"/>
            <w:shd w:val="clear" w:color="auto" w:fill="E5F1F9"/>
          </w:tcPr>
          <w:p>
            <w:pPr>
              <w:spacing w:after="0" w:line="20" w:lineRule="exact"/>
              <w:rPr>
                <w:sz w:val="1"/>
                <w:szCs w:val="1"/>
                <w:color w:val="auto"/>
              </w:rPr>
            </w:pPr>
          </w:p>
        </w:tc>
        <w:tc>
          <w:tcPr>
            <w:tcW w:w="1440" w:type="dxa"/>
            <w:vAlign w:val="bottom"/>
            <w:shd w:val="clear" w:color="auto" w:fill="E5F1F9"/>
          </w:tcPr>
          <w:p>
            <w:pPr>
              <w:spacing w:after="0" w:line="20" w:lineRule="exact"/>
              <w:rPr>
                <w:sz w:val="1"/>
                <w:szCs w:val="1"/>
                <w:color w:val="auto"/>
              </w:rPr>
            </w:pPr>
          </w:p>
        </w:tc>
        <w:tc>
          <w:tcPr>
            <w:tcW w:w="100" w:type="dxa"/>
            <w:vAlign w:val="bottom"/>
            <w:shd w:val="clear" w:color="auto" w:fill="E5F1F9"/>
          </w:tcPr>
          <w:p>
            <w:pPr>
              <w:spacing w:after="0" w:line="20" w:lineRule="exact"/>
              <w:rPr>
                <w:sz w:val="1"/>
                <w:szCs w:val="1"/>
                <w:color w:val="auto"/>
              </w:rPr>
            </w:pPr>
          </w:p>
        </w:tc>
        <w:tc>
          <w:tcPr>
            <w:tcW w:w="800" w:type="dxa"/>
            <w:vAlign w:val="bottom"/>
            <w:tcBorders>
              <w:right w:val="single" w:sz="8" w:color="E5F1F9"/>
            </w:tcBorders>
            <w:shd w:val="clear" w:color="auto" w:fill="000000"/>
          </w:tcPr>
          <w:p>
            <w:pPr>
              <w:spacing w:after="0" w:line="20" w:lineRule="exact"/>
              <w:rPr>
                <w:sz w:val="1"/>
                <w:szCs w:val="1"/>
                <w:color w:val="auto"/>
              </w:rPr>
            </w:pPr>
          </w:p>
        </w:tc>
        <w:tc>
          <w:tcPr>
            <w:tcW w:w="800" w:type="dxa"/>
            <w:vAlign w:val="bottom"/>
            <w:shd w:val="clear" w:color="auto" w:fill="E5F1F9"/>
          </w:tcPr>
          <w:p>
            <w:pPr>
              <w:spacing w:after="0" w:line="20" w:lineRule="exact"/>
              <w:rPr>
                <w:sz w:val="1"/>
                <w:szCs w:val="1"/>
                <w:color w:val="auto"/>
              </w:rPr>
            </w:pPr>
          </w:p>
        </w:tc>
        <w:tc>
          <w:tcPr>
            <w:tcW w:w="1060" w:type="dxa"/>
            <w:vAlign w:val="bottom"/>
            <w:shd w:val="clear" w:color="auto" w:fill="E5F1F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E5F1F9"/>
          </w:tcPr>
          <w:p>
            <w:pPr>
              <w:spacing w:after="0" w:line="20" w:lineRule="exact"/>
              <w:rPr>
                <w:sz w:val="1"/>
                <w:szCs w:val="1"/>
                <w:color w:val="auto"/>
              </w:rPr>
            </w:pPr>
          </w:p>
        </w:tc>
        <w:tc>
          <w:tcPr>
            <w:tcW w:w="480" w:type="dxa"/>
            <w:vAlign w:val="bottom"/>
            <w:shd w:val="clear" w:color="auto" w:fill="E5F1F9"/>
          </w:tcPr>
          <w:p>
            <w:pPr>
              <w:spacing w:after="0" w:line="20" w:lineRule="exact"/>
              <w:rPr>
                <w:sz w:val="1"/>
                <w:szCs w:val="1"/>
                <w:color w:val="auto"/>
              </w:rPr>
            </w:pPr>
          </w:p>
        </w:tc>
        <w:tc>
          <w:tcPr>
            <w:tcW w:w="880" w:type="dxa"/>
            <w:vAlign w:val="bottom"/>
            <w:shd w:val="clear" w:color="auto" w:fill="E5F1F9"/>
          </w:tcPr>
          <w:p>
            <w:pPr>
              <w:spacing w:after="0" w:line="20" w:lineRule="exact"/>
              <w:rPr>
                <w:sz w:val="1"/>
                <w:szCs w:val="1"/>
                <w:color w:val="auto"/>
              </w:rPr>
            </w:pPr>
          </w:p>
        </w:tc>
        <w:tc>
          <w:tcPr>
            <w:tcW w:w="280" w:type="dxa"/>
            <w:vAlign w:val="bottom"/>
            <w:shd w:val="clear" w:color="auto" w:fill="E5F1F9"/>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E5F1F9"/>
          </w:tcPr>
          <w:p>
            <w:pPr>
              <w:spacing w:after="0" w:line="20" w:lineRule="exact"/>
              <w:rPr>
                <w:sz w:val="1"/>
                <w:szCs w:val="1"/>
                <w:color w:val="auto"/>
              </w:rPr>
            </w:pPr>
          </w:p>
        </w:tc>
        <w:tc>
          <w:tcPr>
            <w:tcW w:w="1020" w:type="dxa"/>
            <w:vAlign w:val="bottom"/>
            <w:shd w:val="clear" w:color="auto" w:fill="E5F1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20" w:type="dxa"/>
            <w:vAlign w:val="bottom"/>
            <w:vMerge w:val="restart"/>
            <w:shd w:val="clear" w:color="auto" w:fill="E5F1F9"/>
          </w:tcPr>
          <w:p>
            <w:pPr>
              <w:spacing w:after="0"/>
              <w:rPr>
                <w:sz w:val="20"/>
                <w:szCs w:val="20"/>
                <w:color w:val="auto"/>
              </w:rPr>
            </w:pPr>
            <w:r>
              <w:rPr>
                <w:rFonts w:ascii="Arial" w:cs="Arial" w:eastAsia="Arial" w:hAnsi="Arial"/>
                <w:sz w:val="16"/>
                <w:szCs w:val="16"/>
                <w:color w:val="auto"/>
              </w:rPr>
              <w:t>  Performance Goals &amp; Payouts</w:t>
            </w:r>
          </w:p>
        </w:tc>
        <w:tc>
          <w:tcPr>
            <w:tcW w:w="1440" w:type="dxa"/>
            <w:vAlign w:val="bottom"/>
            <w:shd w:val="clear" w:color="auto" w:fill="E5F1F9"/>
          </w:tcPr>
          <w:p>
            <w:pPr>
              <w:ind w:left="340"/>
              <w:spacing w:after="0"/>
              <w:rPr>
                <w:sz w:val="20"/>
                <w:szCs w:val="20"/>
                <w:color w:val="auto"/>
              </w:rPr>
            </w:pPr>
            <w:r>
              <w:rPr>
                <w:rFonts w:ascii="Arial" w:cs="Arial" w:eastAsia="Arial" w:hAnsi="Arial"/>
                <w:sz w:val="16"/>
                <w:szCs w:val="16"/>
                <w:color w:val="auto"/>
              </w:rPr>
              <w:t>Goal</w:t>
            </w:r>
          </w:p>
        </w:tc>
        <w:tc>
          <w:tcPr>
            <w:tcW w:w="2760" w:type="dxa"/>
            <w:vAlign w:val="bottom"/>
            <w:gridSpan w:val="4"/>
            <w:shd w:val="clear" w:color="auto" w:fill="E5F1F9"/>
          </w:tcPr>
          <w:p>
            <w:pPr>
              <w:ind w:left="100"/>
              <w:spacing w:after="0" w:line="264" w:lineRule="exact"/>
              <w:rPr>
                <w:sz w:val="20"/>
                <w:szCs w:val="20"/>
                <w:color w:val="auto"/>
              </w:rPr>
            </w:pPr>
            <w:r>
              <w:rPr>
                <w:rFonts w:ascii="Arial" w:cs="Arial" w:eastAsia="Arial" w:hAnsi="Arial"/>
                <w:sz w:val="16"/>
                <w:szCs w:val="16"/>
                <w:color w:val="auto"/>
              </w:rPr>
              <w:t>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tc>
        <w:tc>
          <w:tcPr>
            <w:tcW w:w="1920" w:type="dxa"/>
            <w:vAlign w:val="bottom"/>
            <w:gridSpan w:val="4"/>
            <w:shd w:val="clear" w:color="auto" w:fill="E5F1F9"/>
          </w:tcPr>
          <w:p>
            <w:pPr>
              <w:spacing w:after="0" w:line="264" w:lineRule="exact"/>
              <w:rPr>
                <w:sz w:val="20"/>
                <w:szCs w:val="20"/>
                <w:color w:val="auto"/>
              </w:rPr>
            </w:pPr>
            <w:r>
              <w:rPr>
                <w:rFonts w:ascii="Arial" w:cs="Arial" w:eastAsia="Arial" w:hAnsi="Arial"/>
                <w:sz w:val="16"/>
                <w:szCs w:val="16"/>
                <w:color w:val="auto"/>
              </w:rPr>
              <w:t>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tc>
        <w:tc>
          <w:tcPr>
            <w:tcW w:w="2380" w:type="dxa"/>
            <w:vAlign w:val="bottom"/>
            <w:gridSpan w:val="5"/>
            <w:shd w:val="clear" w:color="auto" w:fill="E5F1F9"/>
          </w:tcPr>
          <w:p>
            <w:pPr>
              <w:ind w:left="280"/>
              <w:spacing w:after="0" w:line="264" w:lineRule="exact"/>
              <w:rPr>
                <w:sz w:val="20"/>
                <w:szCs w:val="20"/>
                <w:color w:val="auto"/>
              </w:rPr>
            </w:pPr>
            <w:r>
              <w:rPr>
                <w:rFonts w:ascii="Arial" w:cs="Arial" w:eastAsia="Arial" w:hAnsi="Arial"/>
                <w:sz w:val="16"/>
                <w:szCs w:val="16"/>
                <w:color w:val="auto"/>
              </w:rPr>
              <w:t>75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tc>
        <w:tc>
          <w:tcPr>
            <w:tcW w:w="0" w:type="dxa"/>
            <w:vAlign w:val="bottom"/>
          </w:tcPr>
          <w:p>
            <w:pPr>
              <w:spacing w:after="0"/>
              <w:rPr>
                <w:sz w:val="1"/>
                <w:szCs w:val="1"/>
                <w:color w:val="auto"/>
              </w:rPr>
            </w:pPr>
          </w:p>
        </w:tc>
      </w:tr>
      <w:tr>
        <w:trPr>
          <w:trHeight w:val="215"/>
        </w:trPr>
        <w:tc>
          <w:tcPr>
            <w:tcW w:w="2520" w:type="dxa"/>
            <w:vAlign w:val="bottom"/>
            <w:vMerge w:val="continue"/>
            <w:shd w:val="clear" w:color="auto" w:fill="E5F1F9"/>
          </w:tcPr>
          <w:p>
            <w:pPr>
              <w:spacing w:after="0"/>
              <w:rPr>
                <w:sz w:val="18"/>
                <w:szCs w:val="18"/>
                <w:color w:val="auto"/>
              </w:rPr>
            </w:pPr>
          </w:p>
        </w:tc>
        <w:tc>
          <w:tcPr>
            <w:tcW w:w="1440" w:type="dxa"/>
            <w:vAlign w:val="bottom"/>
            <w:shd w:val="clear" w:color="auto" w:fill="E5F1F9"/>
          </w:tcPr>
          <w:p>
            <w:pPr>
              <w:ind w:left="340"/>
              <w:spacing w:after="0"/>
              <w:rPr>
                <w:sz w:val="20"/>
                <w:szCs w:val="20"/>
                <w:color w:val="auto"/>
              </w:rPr>
            </w:pPr>
            <w:r>
              <w:rPr>
                <w:rFonts w:ascii="Arial" w:cs="Arial" w:eastAsia="Arial" w:hAnsi="Arial"/>
                <w:sz w:val="16"/>
                <w:szCs w:val="16"/>
                <w:color w:val="auto"/>
              </w:rPr>
              <w:t>Payout</w:t>
            </w:r>
          </w:p>
        </w:tc>
        <w:tc>
          <w:tcPr>
            <w:tcW w:w="2760" w:type="dxa"/>
            <w:vAlign w:val="bottom"/>
            <w:gridSpan w:val="4"/>
            <w:shd w:val="clear" w:color="auto" w:fill="E5F1F9"/>
          </w:tcPr>
          <w:p>
            <w:pPr>
              <w:ind w:left="100"/>
              <w:spacing w:after="0"/>
              <w:rPr>
                <w:sz w:val="20"/>
                <w:szCs w:val="20"/>
                <w:color w:val="auto"/>
              </w:rPr>
            </w:pPr>
            <w:r>
              <w:rPr>
                <w:rFonts w:ascii="Arial" w:cs="Arial" w:eastAsia="Arial" w:hAnsi="Arial"/>
                <w:sz w:val="16"/>
                <w:szCs w:val="16"/>
                <w:color w:val="auto"/>
              </w:rPr>
              <w:t>25% of Target</w:t>
            </w:r>
          </w:p>
        </w:tc>
        <w:tc>
          <w:tcPr>
            <w:tcW w:w="1920" w:type="dxa"/>
            <w:vAlign w:val="bottom"/>
            <w:gridSpan w:val="4"/>
            <w:shd w:val="clear" w:color="auto" w:fill="E5F1F9"/>
          </w:tcPr>
          <w:p>
            <w:pPr>
              <w:spacing w:after="0"/>
              <w:rPr>
                <w:sz w:val="20"/>
                <w:szCs w:val="20"/>
                <w:color w:val="auto"/>
              </w:rPr>
            </w:pPr>
            <w:r>
              <w:rPr>
                <w:rFonts w:ascii="Arial" w:cs="Arial" w:eastAsia="Arial" w:hAnsi="Arial"/>
                <w:sz w:val="16"/>
                <w:szCs w:val="16"/>
                <w:color w:val="auto"/>
              </w:rPr>
              <w:t>100% of Target</w:t>
            </w:r>
          </w:p>
        </w:tc>
        <w:tc>
          <w:tcPr>
            <w:tcW w:w="2380" w:type="dxa"/>
            <w:vAlign w:val="bottom"/>
            <w:gridSpan w:val="5"/>
            <w:shd w:val="clear" w:color="auto" w:fill="E5F1F9"/>
          </w:tcPr>
          <w:p>
            <w:pPr>
              <w:ind w:left="280"/>
              <w:spacing w:after="0"/>
              <w:rPr>
                <w:sz w:val="20"/>
                <w:szCs w:val="20"/>
                <w:color w:val="auto"/>
              </w:rPr>
            </w:pPr>
            <w:r>
              <w:rPr>
                <w:rFonts w:ascii="Arial" w:cs="Arial" w:eastAsia="Arial" w:hAnsi="Arial"/>
                <w:sz w:val="16"/>
                <w:szCs w:val="16"/>
                <w:color w:val="auto"/>
              </w:rPr>
              <w:t>200% of Target</w:t>
            </w:r>
          </w:p>
        </w:tc>
        <w:tc>
          <w:tcPr>
            <w:tcW w:w="0" w:type="dxa"/>
            <w:vAlign w:val="bottom"/>
          </w:tcPr>
          <w:p>
            <w:pPr>
              <w:spacing w:after="0"/>
              <w:rPr>
                <w:sz w:val="1"/>
                <w:szCs w:val="1"/>
                <w:color w:val="auto"/>
              </w:rPr>
            </w:pPr>
          </w:p>
        </w:tc>
      </w:tr>
      <w:tr>
        <w:trPr>
          <w:trHeight w:val="217"/>
        </w:trPr>
        <w:tc>
          <w:tcPr>
            <w:tcW w:w="2520" w:type="dxa"/>
            <w:vAlign w:val="bottom"/>
            <w:shd w:val="clear" w:color="auto" w:fill="E5F1F9"/>
          </w:tcPr>
          <w:p>
            <w:pPr>
              <w:spacing w:after="0"/>
              <w:rPr>
                <w:sz w:val="18"/>
                <w:szCs w:val="18"/>
                <w:color w:val="auto"/>
              </w:rPr>
            </w:pPr>
          </w:p>
        </w:tc>
        <w:tc>
          <w:tcPr>
            <w:tcW w:w="8500" w:type="dxa"/>
            <w:vAlign w:val="bottom"/>
            <w:gridSpan w:val="14"/>
            <w:shd w:val="clear" w:color="auto" w:fill="E5F1F9"/>
          </w:tcPr>
          <w:p>
            <w:pPr>
              <w:ind w:left="340"/>
              <w:spacing w:after="0"/>
              <w:rPr>
                <w:sz w:val="20"/>
                <w:szCs w:val="20"/>
                <w:color w:val="auto"/>
              </w:rPr>
            </w:pPr>
            <w:r>
              <w:rPr>
                <w:rFonts w:ascii="Arial" w:cs="Arial" w:eastAsia="Arial" w:hAnsi="Arial"/>
                <w:sz w:val="16"/>
                <w:szCs w:val="16"/>
                <w:color w:val="auto"/>
              </w:rPr>
              <w:t>There is no payout for performance below threshold and payouts are capped at 200% of target. Payouts are</w:t>
            </w:r>
          </w:p>
        </w:tc>
        <w:tc>
          <w:tcPr>
            <w:tcW w:w="0" w:type="dxa"/>
            <w:vAlign w:val="bottom"/>
          </w:tcPr>
          <w:p>
            <w:pPr>
              <w:spacing w:after="0"/>
              <w:rPr>
                <w:sz w:val="1"/>
                <w:szCs w:val="1"/>
                <w:color w:val="auto"/>
              </w:rPr>
            </w:pPr>
          </w:p>
        </w:tc>
      </w:tr>
      <w:tr>
        <w:trPr>
          <w:trHeight w:val="237"/>
        </w:trPr>
        <w:tc>
          <w:tcPr>
            <w:tcW w:w="2520" w:type="dxa"/>
            <w:vAlign w:val="bottom"/>
            <w:tcBorders>
              <w:bottom w:val="single" w:sz="8" w:color="E5F1F9"/>
            </w:tcBorders>
            <w:shd w:val="clear" w:color="auto" w:fill="E5F1F9"/>
          </w:tcPr>
          <w:p>
            <w:pPr>
              <w:spacing w:after="0"/>
              <w:rPr>
                <w:sz w:val="20"/>
                <w:szCs w:val="20"/>
                <w:color w:val="auto"/>
              </w:rPr>
            </w:pPr>
          </w:p>
        </w:tc>
        <w:tc>
          <w:tcPr>
            <w:tcW w:w="6120" w:type="dxa"/>
            <w:vAlign w:val="bottom"/>
            <w:tcBorders>
              <w:bottom w:val="single" w:sz="8" w:color="E5F1F9"/>
            </w:tcBorders>
            <w:gridSpan w:val="9"/>
            <w:shd w:val="clear" w:color="auto" w:fill="E5F1F9"/>
          </w:tcPr>
          <w:p>
            <w:pPr>
              <w:ind w:left="340"/>
              <w:spacing w:after="0"/>
              <w:rPr>
                <w:sz w:val="20"/>
                <w:szCs w:val="20"/>
                <w:color w:val="auto"/>
              </w:rPr>
            </w:pPr>
            <w:r>
              <w:rPr>
                <w:rFonts w:ascii="Arial" w:cs="Arial" w:eastAsia="Arial" w:hAnsi="Arial"/>
                <w:sz w:val="16"/>
                <w:szCs w:val="16"/>
                <w:color w:val="auto"/>
              </w:rPr>
              <w:t>interpolated for performance between threshold, target and maximum.</w:t>
            </w:r>
          </w:p>
        </w:tc>
        <w:tc>
          <w:tcPr>
            <w:tcW w:w="280" w:type="dxa"/>
            <w:vAlign w:val="bottom"/>
            <w:tcBorders>
              <w:bottom w:val="single" w:sz="8" w:color="E5F1F9"/>
            </w:tcBorders>
            <w:shd w:val="clear" w:color="auto" w:fill="E5F1F9"/>
          </w:tcPr>
          <w:p>
            <w:pPr>
              <w:spacing w:after="0"/>
              <w:rPr>
                <w:sz w:val="20"/>
                <w:szCs w:val="20"/>
                <w:color w:val="auto"/>
              </w:rPr>
            </w:pPr>
          </w:p>
        </w:tc>
        <w:tc>
          <w:tcPr>
            <w:tcW w:w="340" w:type="dxa"/>
            <w:vAlign w:val="bottom"/>
            <w:tcBorders>
              <w:bottom w:val="single" w:sz="8" w:color="E5F1F9"/>
            </w:tcBorders>
            <w:shd w:val="clear" w:color="auto" w:fill="E5F1F9"/>
          </w:tcPr>
          <w:p>
            <w:pPr>
              <w:spacing w:after="0"/>
              <w:rPr>
                <w:sz w:val="20"/>
                <w:szCs w:val="20"/>
                <w:color w:val="auto"/>
              </w:rPr>
            </w:pPr>
          </w:p>
        </w:tc>
        <w:tc>
          <w:tcPr>
            <w:tcW w:w="400" w:type="dxa"/>
            <w:vAlign w:val="bottom"/>
            <w:tcBorders>
              <w:bottom w:val="single" w:sz="8" w:color="E5F1F9"/>
            </w:tcBorders>
            <w:shd w:val="clear" w:color="auto" w:fill="E5F1F9"/>
          </w:tcPr>
          <w:p>
            <w:pPr>
              <w:spacing w:after="0"/>
              <w:rPr>
                <w:sz w:val="20"/>
                <w:szCs w:val="20"/>
                <w:color w:val="auto"/>
              </w:rPr>
            </w:pPr>
          </w:p>
        </w:tc>
        <w:tc>
          <w:tcPr>
            <w:tcW w:w="340" w:type="dxa"/>
            <w:vAlign w:val="bottom"/>
            <w:tcBorders>
              <w:bottom w:val="single" w:sz="8" w:color="E5F1F9"/>
            </w:tcBorders>
            <w:shd w:val="clear" w:color="auto" w:fill="E5F1F9"/>
          </w:tcPr>
          <w:p>
            <w:pPr>
              <w:spacing w:after="0"/>
              <w:rPr>
                <w:sz w:val="20"/>
                <w:szCs w:val="20"/>
                <w:color w:val="auto"/>
              </w:rPr>
            </w:pPr>
          </w:p>
        </w:tc>
        <w:tc>
          <w:tcPr>
            <w:tcW w:w="1020" w:type="dxa"/>
            <w:vAlign w:val="bottom"/>
            <w:tcBorders>
              <w:bottom w:val="single" w:sz="8" w:color="E5F1F9"/>
            </w:tcBorders>
            <w:shd w:val="clear" w:color="auto" w:fill="E5F1F9"/>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520" w:type="dxa"/>
            <w:vAlign w:val="bottom"/>
            <w:shd w:val="clear" w:color="auto" w:fill="B2D5EE"/>
          </w:tcPr>
          <w:p>
            <w:pPr>
              <w:spacing w:after="0"/>
              <w:rPr>
                <w:sz w:val="21"/>
                <w:szCs w:val="21"/>
                <w:color w:val="auto"/>
              </w:rPr>
            </w:pPr>
          </w:p>
        </w:tc>
        <w:tc>
          <w:tcPr>
            <w:tcW w:w="8500" w:type="dxa"/>
            <w:vAlign w:val="bottom"/>
            <w:gridSpan w:val="14"/>
            <w:shd w:val="clear" w:color="auto" w:fill="B2D5EE"/>
          </w:tcPr>
          <w:p>
            <w:pPr>
              <w:ind w:left="340"/>
              <w:spacing w:after="0"/>
              <w:rPr>
                <w:sz w:val="20"/>
                <w:szCs w:val="20"/>
                <w:color w:val="auto"/>
              </w:rPr>
            </w:pPr>
            <w:r>
              <w:rPr>
                <w:rFonts w:ascii="Arial" w:cs="Arial" w:eastAsia="Arial" w:hAnsi="Arial"/>
                <w:sz w:val="16"/>
                <w:szCs w:val="16"/>
                <w:color w:val="auto"/>
              </w:rPr>
              <w:t>In the event our absolute TSR performance over the 2025-2027 period is negative, any payouts under this</w:t>
            </w:r>
          </w:p>
        </w:tc>
        <w:tc>
          <w:tcPr>
            <w:tcW w:w="0" w:type="dxa"/>
            <w:vAlign w:val="bottom"/>
          </w:tcPr>
          <w:p>
            <w:pPr>
              <w:spacing w:after="0"/>
              <w:rPr>
                <w:sz w:val="1"/>
                <w:szCs w:val="1"/>
                <w:color w:val="auto"/>
              </w:rPr>
            </w:pPr>
          </w:p>
        </w:tc>
      </w:tr>
      <w:tr>
        <w:trPr>
          <w:trHeight w:val="230"/>
        </w:trPr>
        <w:tc>
          <w:tcPr>
            <w:tcW w:w="2520" w:type="dxa"/>
            <w:vAlign w:val="bottom"/>
            <w:shd w:val="clear" w:color="auto" w:fill="B2D5EE"/>
          </w:tcPr>
          <w:p>
            <w:pPr>
              <w:spacing w:after="0"/>
              <w:rPr>
                <w:sz w:val="20"/>
                <w:szCs w:val="20"/>
                <w:color w:val="auto"/>
              </w:rPr>
            </w:pPr>
            <w:r>
              <w:rPr>
                <w:rFonts w:ascii="Arial" w:cs="Arial" w:eastAsia="Arial" w:hAnsi="Arial"/>
                <w:sz w:val="16"/>
                <w:szCs w:val="16"/>
                <w:color w:val="auto"/>
              </w:rPr>
              <w:t>  Absolute TSR Cap</w:t>
            </w:r>
          </w:p>
        </w:tc>
        <w:tc>
          <w:tcPr>
            <w:tcW w:w="6120" w:type="dxa"/>
            <w:vAlign w:val="bottom"/>
            <w:gridSpan w:val="9"/>
            <w:shd w:val="clear" w:color="auto" w:fill="B2D5EE"/>
          </w:tcPr>
          <w:p>
            <w:pPr>
              <w:ind w:left="340"/>
              <w:spacing w:after="0"/>
              <w:rPr>
                <w:sz w:val="20"/>
                <w:szCs w:val="20"/>
                <w:color w:val="auto"/>
              </w:rPr>
            </w:pPr>
            <w:r>
              <w:rPr>
                <w:rFonts w:ascii="Arial" w:cs="Arial" w:eastAsia="Arial" w:hAnsi="Arial"/>
                <w:sz w:val="16"/>
                <w:szCs w:val="16"/>
                <w:color w:val="auto"/>
              </w:rPr>
              <w:t>program will be capped at target, irrespective of rTSR performance.</w:t>
            </w:r>
          </w:p>
        </w:tc>
        <w:tc>
          <w:tcPr>
            <w:tcW w:w="280" w:type="dxa"/>
            <w:vAlign w:val="bottom"/>
            <w:shd w:val="clear" w:color="auto" w:fill="B2D5EE"/>
          </w:tcPr>
          <w:p>
            <w:pPr>
              <w:spacing w:after="0"/>
              <w:rPr>
                <w:sz w:val="20"/>
                <w:szCs w:val="20"/>
                <w:color w:val="auto"/>
              </w:rPr>
            </w:pPr>
          </w:p>
        </w:tc>
        <w:tc>
          <w:tcPr>
            <w:tcW w:w="340" w:type="dxa"/>
            <w:vAlign w:val="bottom"/>
            <w:shd w:val="clear" w:color="auto" w:fill="B2D5EE"/>
          </w:tcPr>
          <w:p>
            <w:pPr>
              <w:spacing w:after="0"/>
              <w:rPr>
                <w:sz w:val="20"/>
                <w:szCs w:val="20"/>
                <w:color w:val="auto"/>
              </w:rPr>
            </w:pPr>
          </w:p>
        </w:tc>
        <w:tc>
          <w:tcPr>
            <w:tcW w:w="400" w:type="dxa"/>
            <w:vAlign w:val="bottom"/>
            <w:shd w:val="clear" w:color="auto" w:fill="B2D5EE"/>
          </w:tcPr>
          <w:p>
            <w:pPr>
              <w:spacing w:after="0"/>
              <w:rPr>
                <w:sz w:val="20"/>
                <w:szCs w:val="20"/>
                <w:color w:val="auto"/>
              </w:rPr>
            </w:pPr>
          </w:p>
        </w:tc>
        <w:tc>
          <w:tcPr>
            <w:tcW w:w="340" w:type="dxa"/>
            <w:vAlign w:val="bottom"/>
            <w:shd w:val="clear" w:color="auto" w:fill="B2D5EE"/>
          </w:tcPr>
          <w:p>
            <w:pPr>
              <w:spacing w:after="0"/>
              <w:rPr>
                <w:sz w:val="20"/>
                <w:szCs w:val="20"/>
                <w:color w:val="auto"/>
              </w:rPr>
            </w:pPr>
          </w:p>
        </w:tc>
        <w:tc>
          <w:tcPr>
            <w:tcW w:w="1020" w:type="dxa"/>
            <w:vAlign w:val="bottom"/>
            <w:shd w:val="clear" w:color="auto" w:fill="B2D5E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52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6"/>
                <w:szCs w:val="16"/>
                <w:color w:val="FFFFFF"/>
              </w:rPr>
              <w:t>  EPS CAGR</w:t>
            </w:r>
          </w:p>
        </w:tc>
        <w:tc>
          <w:tcPr>
            <w:tcW w:w="1440" w:type="dxa"/>
            <w:vAlign w:val="bottom"/>
            <w:tcBorders>
              <w:bottom w:val="single" w:sz="8" w:color="0075C9"/>
            </w:tcBorders>
            <w:shd w:val="clear" w:color="auto" w:fill="0075C9"/>
          </w:tcPr>
          <w:p>
            <w:pPr>
              <w:ind w:left="100"/>
              <w:spacing w:after="0"/>
              <w:rPr>
                <w:sz w:val="20"/>
                <w:szCs w:val="20"/>
                <w:color w:val="auto"/>
              </w:rPr>
            </w:pPr>
            <w:r>
              <w:rPr>
                <w:rFonts w:ascii="Arial" w:cs="Arial" w:eastAsia="Arial" w:hAnsi="Arial"/>
                <w:sz w:val="16"/>
                <w:szCs w:val="16"/>
                <w:color w:val="FFFFFF"/>
              </w:rPr>
              <w:t>Description</w:t>
            </w:r>
          </w:p>
        </w:tc>
        <w:tc>
          <w:tcPr>
            <w:tcW w:w="100" w:type="dxa"/>
            <w:vAlign w:val="bottom"/>
            <w:tcBorders>
              <w:bottom w:val="single" w:sz="8" w:color="0075C9"/>
            </w:tcBorders>
            <w:shd w:val="clear" w:color="auto" w:fill="0075C9"/>
          </w:tcPr>
          <w:p>
            <w:pPr>
              <w:spacing w:after="0"/>
              <w:rPr>
                <w:sz w:val="24"/>
                <w:szCs w:val="24"/>
                <w:color w:val="auto"/>
              </w:rPr>
            </w:pPr>
          </w:p>
        </w:tc>
        <w:tc>
          <w:tcPr>
            <w:tcW w:w="800" w:type="dxa"/>
            <w:vAlign w:val="bottom"/>
            <w:tcBorders>
              <w:bottom w:val="single" w:sz="8" w:color="0075C9"/>
              <w:right w:val="single" w:sz="8" w:color="0075C9"/>
            </w:tcBorders>
            <w:shd w:val="clear" w:color="auto" w:fill="0075C9"/>
          </w:tcPr>
          <w:p>
            <w:pPr>
              <w:spacing w:after="0"/>
              <w:rPr>
                <w:sz w:val="24"/>
                <w:szCs w:val="24"/>
                <w:color w:val="auto"/>
              </w:rPr>
            </w:pPr>
          </w:p>
        </w:tc>
        <w:tc>
          <w:tcPr>
            <w:tcW w:w="800" w:type="dxa"/>
            <w:vAlign w:val="bottom"/>
            <w:tcBorders>
              <w:bottom w:val="single" w:sz="8" w:color="0075C9"/>
            </w:tcBorders>
            <w:shd w:val="clear" w:color="auto" w:fill="0075C9"/>
          </w:tcPr>
          <w:p>
            <w:pPr>
              <w:spacing w:after="0"/>
              <w:rPr>
                <w:sz w:val="24"/>
                <w:szCs w:val="24"/>
                <w:color w:val="auto"/>
              </w:rPr>
            </w:pPr>
          </w:p>
        </w:tc>
        <w:tc>
          <w:tcPr>
            <w:tcW w:w="106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880" w:type="dxa"/>
            <w:vAlign w:val="bottom"/>
            <w:tcBorders>
              <w:bottom w:val="single" w:sz="8" w:color="0075C9"/>
            </w:tcBorders>
            <w:shd w:val="clear" w:color="auto" w:fill="0075C9"/>
          </w:tcPr>
          <w:p>
            <w:pPr>
              <w:spacing w:after="0"/>
              <w:rPr>
                <w:sz w:val="24"/>
                <w:szCs w:val="24"/>
                <w:color w:val="auto"/>
              </w:rPr>
            </w:pPr>
          </w:p>
        </w:tc>
        <w:tc>
          <w:tcPr>
            <w:tcW w:w="280" w:type="dxa"/>
            <w:vAlign w:val="bottom"/>
            <w:tcBorders>
              <w:bottom w:val="single" w:sz="8" w:color="0075C9"/>
            </w:tcBorders>
            <w:shd w:val="clear" w:color="auto" w:fill="0075C9"/>
          </w:tcPr>
          <w:p>
            <w:pPr>
              <w:spacing w:after="0"/>
              <w:rPr>
                <w:sz w:val="24"/>
                <w:szCs w:val="24"/>
                <w:color w:val="auto"/>
              </w:rPr>
            </w:pPr>
          </w:p>
        </w:tc>
        <w:tc>
          <w:tcPr>
            <w:tcW w:w="340" w:type="dxa"/>
            <w:vAlign w:val="bottom"/>
            <w:tcBorders>
              <w:bottom w:val="single" w:sz="8" w:color="0075C9"/>
            </w:tcBorders>
            <w:shd w:val="clear" w:color="auto" w:fill="0075C9"/>
          </w:tcPr>
          <w:p>
            <w:pPr>
              <w:spacing w:after="0"/>
              <w:rPr>
                <w:sz w:val="24"/>
                <w:szCs w:val="24"/>
                <w:color w:val="auto"/>
              </w:rPr>
            </w:pPr>
          </w:p>
        </w:tc>
        <w:tc>
          <w:tcPr>
            <w:tcW w:w="400" w:type="dxa"/>
            <w:vAlign w:val="bottom"/>
            <w:tcBorders>
              <w:bottom w:val="single" w:sz="8" w:color="0075C9"/>
            </w:tcBorders>
            <w:shd w:val="clear" w:color="auto" w:fill="0075C9"/>
          </w:tcPr>
          <w:p>
            <w:pPr>
              <w:spacing w:after="0"/>
              <w:rPr>
                <w:sz w:val="24"/>
                <w:szCs w:val="24"/>
                <w:color w:val="auto"/>
              </w:rPr>
            </w:pPr>
          </w:p>
        </w:tc>
        <w:tc>
          <w:tcPr>
            <w:tcW w:w="340" w:type="dxa"/>
            <w:vAlign w:val="bottom"/>
            <w:tcBorders>
              <w:bottom w:val="single" w:sz="8" w:color="0075C9"/>
            </w:tcBorders>
            <w:shd w:val="clear" w:color="auto" w:fill="0075C9"/>
          </w:tcPr>
          <w:p>
            <w:pPr>
              <w:spacing w:after="0"/>
              <w:rPr>
                <w:sz w:val="24"/>
                <w:szCs w:val="24"/>
                <w:color w:val="auto"/>
              </w:rPr>
            </w:pPr>
          </w:p>
        </w:tc>
        <w:tc>
          <w:tcPr>
            <w:tcW w:w="1020" w:type="dxa"/>
            <w:vAlign w:val="bottom"/>
            <w:tcBorders>
              <w:bottom w:val="single" w:sz="8" w:color="0075C9"/>
            </w:tcBorders>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520" w:type="dxa"/>
            <w:vAlign w:val="bottom"/>
            <w:shd w:val="clear" w:color="auto" w:fill="B2D5EE"/>
          </w:tcPr>
          <w:p>
            <w:pPr>
              <w:spacing w:after="0"/>
              <w:rPr>
                <w:sz w:val="20"/>
                <w:szCs w:val="20"/>
                <w:color w:val="auto"/>
              </w:rPr>
            </w:pPr>
            <w:r>
              <w:rPr>
                <w:rFonts w:ascii="Arial" w:cs="Arial" w:eastAsia="Arial" w:hAnsi="Arial"/>
                <w:sz w:val="16"/>
                <w:szCs w:val="16"/>
                <w:color w:val="auto"/>
              </w:rPr>
              <w:t>  Performance Period</w:t>
            </w:r>
          </w:p>
        </w:tc>
        <w:tc>
          <w:tcPr>
            <w:tcW w:w="6120" w:type="dxa"/>
            <w:vAlign w:val="bottom"/>
            <w:gridSpan w:val="9"/>
            <w:shd w:val="clear" w:color="auto" w:fill="B2D5EE"/>
          </w:tcPr>
          <w:p>
            <w:pPr>
              <w:ind w:left="100"/>
              <w:spacing w:after="0"/>
              <w:rPr>
                <w:sz w:val="20"/>
                <w:szCs w:val="20"/>
                <w:color w:val="auto"/>
              </w:rPr>
            </w:pPr>
            <w:r>
              <w:rPr>
                <w:rFonts w:ascii="Arial" w:cs="Arial" w:eastAsia="Arial" w:hAnsi="Arial"/>
                <w:sz w:val="16"/>
                <w:szCs w:val="16"/>
                <w:color w:val="auto"/>
              </w:rPr>
              <w:t>3-year CAGR of EPS Growth: 2025-2027 actual financial results</w:t>
            </w:r>
          </w:p>
        </w:tc>
        <w:tc>
          <w:tcPr>
            <w:tcW w:w="280" w:type="dxa"/>
            <w:vAlign w:val="bottom"/>
            <w:shd w:val="clear" w:color="auto" w:fill="B2D5EE"/>
          </w:tcPr>
          <w:p>
            <w:pPr>
              <w:spacing w:after="0"/>
              <w:rPr>
                <w:sz w:val="22"/>
                <w:szCs w:val="22"/>
                <w:color w:val="auto"/>
              </w:rPr>
            </w:pPr>
          </w:p>
        </w:tc>
        <w:tc>
          <w:tcPr>
            <w:tcW w:w="340" w:type="dxa"/>
            <w:vAlign w:val="bottom"/>
            <w:shd w:val="clear" w:color="auto" w:fill="B2D5EE"/>
          </w:tcPr>
          <w:p>
            <w:pPr>
              <w:spacing w:after="0"/>
              <w:rPr>
                <w:sz w:val="22"/>
                <w:szCs w:val="22"/>
                <w:color w:val="auto"/>
              </w:rPr>
            </w:pPr>
          </w:p>
        </w:tc>
        <w:tc>
          <w:tcPr>
            <w:tcW w:w="400" w:type="dxa"/>
            <w:vAlign w:val="bottom"/>
            <w:shd w:val="clear" w:color="auto" w:fill="B2D5EE"/>
          </w:tcPr>
          <w:p>
            <w:pPr>
              <w:spacing w:after="0"/>
              <w:rPr>
                <w:sz w:val="22"/>
                <w:szCs w:val="22"/>
                <w:color w:val="auto"/>
              </w:rPr>
            </w:pPr>
          </w:p>
        </w:tc>
        <w:tc>
          <w:tcPr>
            <w:tcW w:w="340" w:type="dxa"/>
            <w:vAlign w:val="bottom"/>
            <w:shd w:val="clear" w:color="auto" w:fill="B2D5EE"/>
          </w:tcPr>
          <w:p>
            <w:pPr>
              <w:spacing w:after="0"/>
              <w:rPr>
                <w:sz w:val="22"/>
                <w:szCs w:val="22"/>
                <w:color w:val="auto"/>
              </w:rPr>
            </w:pPr>
          </w:p>
        </w:tc>
        <w:tc>
          <w:tcPr>
            <w:tcW w:w="1020" w:type="dxa"/>
            <w:vAlign w:val="bottom"/>
            <w:shd w:val="clear" w:color="auto" w:fill="B2D5E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20" w:type="dxa"/>
            <w:vAlign w:val="bottom"/>
            <w:shd w:val="clear" w:color="auto" w:fill="E5F1F9"/>
          </w:tcPr>
          <w:p>
            <w:pPr>
              <w:spacing w:after="0"/>
              <w:rPr>
                <w:sz w:val="23"/>
                <w:szCs w:val="23"/>
                <w:color w:val="auto"/>
              </w:rPr>
            </w:pPr>
          </w:p>
        </w:tc>
        <w:tc>
          <w:tcPr>
            <w:tcW w:w="4200" w:type="dxa"/>
            <w:vAlign w:val="bottom"/>
            <w:gridSpan w:val="5"/>
            <w:shd w:val="clear" w:color="auto" w:fill="E5F1F9"/>
          </w:tcPr>
          <w:p>
            <w:pPr>
              <w:ind w:left="100"/>
              <w:spacing w:after="0"/>
              <w:rPr>
                <w:sz w:val="20"/>
                <w:szCs w:val="20"/>
                <w:color w:val="auto"/>
              </w:rPr>
            </w:pPr>
            <w:r>
              <w:rPr>
                <w:rFonts w:ascii="Arial" w:cs="Arial" w:eastAsia="Arial" w:hAnsi="Arial"/>
                <w:sz w:val="16"/>
                <w:szCs w:val="16"/>
                <w:color w:val="auto"/>
              </w:rPr>
              <w:t>Goal payouts based on various levels of EPS CAGR</w:t>
            </w:r>
          </w:p>
        </w:tc>
        <w:tc>
          <w:tcPr>
            <w:tcW w:w="480" w:type="dxa"/>
            <w:vAlign w:val="bottom"/>
            <w:shd w:val="clear" w:color="auto" w:fill="E5F1F9"/>
          </w:tcPr>
          <w:p>
            <w:pPr>
              <w:spacing w:after="0"/>
              <w:rPr>
                <w:sz w:val="23"/>
                <w:szCs w:val="23"/>
                <w:color w:val="auto"/>
              </w:rPr>
            </w:pPr>
          </w:p>
        </w:tc>
        <w:tc>
          <w:tcPr>
            <w:tcW w:w="80" w:type="dxa"/>
            <w:vAlign w:val="bottom"/>
            <w:shd w:val="clear" w:color="auto" w:fill="E5F1F9"/>
          </w:tcPr>
          <w:p>
            <w:pPr>
              <w:spacing w:after="0"/>
              <w:rPr>
                <w:sz w:val="23"/>
                <w:szCs w:val="23"/>
                <w:color w:val="auto"/>
              </w:rPr>
            </w:pPr>
          </w:p>
        </w:tc>
        <w:tc>
          <w:tcPr>
            <w:tcW w:w="480" w:type="dxa"/>
            <w:vAlign w:val="bottom"/>
            <w:shd w:val="clear" w:color="auto" w:fill="E5F1F9"/>
          </w:tcPr>
          <w:p>
            <w:pPr>
              <w:spacing w:after="0"/>
              <w:rPr>
                <w:sz w:val="23"/>
                <w:szCs w:val="23"/>
                <w:color w:val="auto"/>
              </w:rPr>
            </w:pPr>
          </w:p>
        </w:tc>
        <w:tc>
          <w:tcPr>
            <w:tcW w:w="880" w:type="dxa"/>
            <w:vAlign w:val="bottom"/>
            <w:shd w:val="clear" w:color="auto" w:fill="E5F1F9"/>
          </w:tcPr>
          <w:p>
            <w:pPr>
              <w:spacing w:after="0"/>
              <w:rPr>
                <w:sz w:val="23"/>
                <w:szCs w:val="23"/>
                <w:color w:val="auto"/>
              </w:rPr>
            </w:pPr>
          </w:p>
        </w:tc>
        <w:tc>
          <w:tcPr>
            <w:tcW w:w="280" w:type="dxa"/>
            <w:vAlign w:val="bottom"/>
            <w:shd w:val="clear" w:color="auto" w:fill="E5F1F9"/>
          </w:tcPr>
          <w:p>
            <w:pPr>
              <w:spacing w:after="0"/>
              <w:rPr>
                <w:sz w:val="23"/>
                <w:szCs w:val="23"/>
                <w:color w:val="auto"/>
              </w:rPr>
            </w:pPr>
          </w:p>
        </w:tc>
        <w:tc>
          <w:tcPr>
            <w:tcW w:w="340" w:type="dxa"/>
            <w:vAlign w:val="bottom"/>
            <w:shd w:val="clear" w:color="auto" w:fill="E5F1F9"/>
          </w:tcPr>
          <w:p>
            <w:pPr>
              <w:spacing w:after="0"/>
              <w:rPr>
                <w:sz w:val="23"/>
                <w:szCs w:val="23"/>
                <w:color w:val="auto"/>
              </w:rPr>
            </w:pPr>
          </w:p>
        </w:tc>
        <w:tc>
          <w:tcPr>
            <w:tcW w:w="400" w:type="dxa"/>
            <w:vAlign w:val="bottom"/>
            <w:shd w:val="clear" w:color="auto" w:fill="E5F1F9"/>
          </w:tcPr>
          <w:p>
            <w:pPr>
              <w:spacing w:after="0"/>
              <w:rPr>
                <w:sz w:val="23"/>
                <w:szCs w:val="23"/>
                <w:color w:val="auto"/>
              </w:rPr>
            </w:pPr>
          </w:p>
        </w:tc>
        <w:tc>
          <w:tcPr>
            <w:tcW w:w="340" w:type="dxa"/>
            <w:vAlign w:val="bottom"/>
            <w:shd w:val="clear" w:color="auto" w:fill="E5F1F9"/>
          </w:tcPr>
          <w:p>
            <w:pPr>
              <w:spacing w:after="0"/>
              <w:rPr>
                <w:sz w:val="23"/>
                <w:szCs w:val="23"/>
                <w:color w:val="auto"/>
              </w:rPr>
            </w:pPr>
          </w:p>
        </w:tc>
        <w:tc>
          <w:tcPr>
            <w:tcW w:w="1020" w:type="dxa"/>
            <w:vAlign w:val="bottom"/>
            <w:shd w:val="clear" w:color="auto" w:fill="E5F1F9"/>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E5F1F9"/>
          </w:tcPr>
          <w:p>
            <w:pPr>
              <w:spacing w:after="0"/>
              <w:rPr>
                <w:sz w:val="20"/>
                <w:szCs w:val="20"/>
                <w:color w:val="auto"/>
              </w:rPr>
            </w:pPr>
            <w:r>
              <w:rPr>
                <w:rFonts w:ascii="Arial" w:cs="Arial" w:eastAsia="Arial" w:hAnsi="Arial"/>
                <w:sz w:val="16"/>
                <w:szCs w:val="16"/>
                <w:color w:val="auto"/>
              </w:rPr>
              <w:t>  Performance Goals &amp; Payouts</w:t>
            </w:r>
          </w:p>
        </w:tc>
        <w:tc>
          <w:tcPr>
            <w:tcW w:w="1440" w:type="dxa"/>
            <w:vAlign w:val="bottom"/>
            <w:shd w:val="clear" w:color="auto" w:fill="E5F1F9"/>
          </w:tcPr>
          <w:p>
            <w:pPr>
              <w:spacing w:after="0"/>
              <w:rPr>
                <w:sz w:val="18"/>
                <w:szCs w:val="18"/>
                <w:color w:val="auto"/>
              </w:rPr>
            </w:pPr>
          </w:p>
        </w:tc>
        <w:tc>
          <w:tcPr>
            <w:tcW w:w="100" w:type="dxa"/>
            <w:vAlign w:val="bottom"/>
            <w:shd w:val="clear" w:color="auto" w:fill="E5F1F9"/>
          </w:tcPr>
          <w:p>
            <w:pPr>
              <w:spacing w:after="0"/>
              <w:rPr>
                <w:sz w:val="18"/>
                <w:szCs w:val="18"/>
                <w:color w:val="auto"/>
              </w:rPr>
            </w:pPr>
          </w:p>
        </w:tc>
        <w:tc>
          <w:tcPr>
            <w:tcW w:w="800" w:type="dxa"/>
            <w:vAlign w:val="bottom"/>
            <w:tcBorders>
              <w:right w:val="single" w:sz="8" w:color="E5F1F9"/>
            </w:tcBorders>
            <w:shd w:val="clear" w:color="auto" w:fill="E5F1F9"/>
          </w:tcPr>
          <w:p>
            <w:pPr>
              <w:spacing w:after="0"/>
              <w:rPr>
                <w:sz w:val="18"/>
                <w:szCs w:val="18"/>
                <w:color w:val="auto"/>
              </w:rPr>
            </w:pPr>
          </w:p>
        </w:tc>
        <w:tc>
          <w:tcPr>
            <w:tcW w:w="800" w:type="dxa"/>
            <w:vAlign w:val="bottom"/>
            <w:shd w:val="clear" w:color="auto" w:fill="E5F1F9"/>
          </w:tcPr>
          <w:p>
            <w:pPr>
              <w:spacing w:after="0"/>
              <w:rPr>
                <w:sz w:val="20"/>
                <w:szCs w:val="20"/>
                <w:color w:val="auto"/>
              </w:rPr>
            </w:pPr>
            <w:r>
              <w:rPr>
                <w:rFonts w:ascii="Arial" w:cs="Arial" w:eastAsia="Arial" w:hAnsi="Arial"/>
                <w:sz w:val="16"/>
                <w:szCs w:val="16"/>
                <w:b w:val="1"/>
                <w:bCs w:val="1"/>
                <w:color w:val="auto"/>
              </w:rPr>
              <w:t>Threshold</w:t>
            </w:r>
          </w:p>
        </w:tc>
        <w:tc>
          <w:tcPr>
            <w:tcW w:w="1060" w:type="dxa"/>
            <w:vAlign w:val="bottom"/>
            <w:shd w:val="clear" w:color="auto" w:fill="E5F1F9"/>
          </w:tcPr>
          <w:p>
            <w:pPr>
              <w:spacing w:after="0"/>
              <w:rPr>
                <w:sz w:val="18"/>
                <w:szCs w:val="18"/>
                <w:color w:val="auto"/>
              </w:rPr>
            </w:pPr>
          </w:p>
        </w:tc>
        <w:tc>
          <w:tcPr>
            <w:tcW w:w="480" w:type="dxa"/>
            <w:vAlign w:val="bottom"/>
            <w:shd w:val="clear" w:color="auto" w:fill="E5F1F9"/>
          </w:tcPr>
          <w:p>
            <w:pPr>
              <w:spacing w:after="0"/>
              <w:rPr>
                <w:sz w:val="18"/>
                <w:szCs w:val="18"/>
                <w:color w:val="auto"/>
              </w:rPr>
            </w:pPr>
          </w:p>
        </w:tc>
        <w:tc>
          <w:tcPr>
            <w:tcW w:w="80" w:type="dxa"/>
            <w:vAlign w:val="bottom"/>
            <w:shd w:val="clear" w:color="auto" w:fill="E5F1F9"/>
          </w:tcPr>
          <w:p>
            <w:pPr>
              <w:spacing w:after="0"/>
              <w:rPr>
                <w:sz w:val="18"/>
                <w:szCs w:val="18"/>
                <w:color w:val="auto"/>
              </w:rPr>
            </w:pPr>
          </w:p>
        </w:tc>
        <w:tc>
          <w:tcPr>
            <w:tcW w:w="1360" w:type="dxa"/>
            <w:vAlign w:val="bottom"/>
            <w:gridSpan w:val="2"/>
            <w:shd w:val="clear" w:color="auto" w:fill="E5F1F9"/>
          </w:tcPr>
          <w:p>
            <w:pPr>
              <w:spacing w:after="0"/>
              <w:rPr>
                <w:sz w:val="20"/>
                <w:szCs w:val="20"/>
                <w:color w:val="auto"/>
              </w:rPr>
            </w:pPr>
            <w:r>
              <w:rPr>
                <w:rFonts w:ascii="Arial" w:cs="Arial" w:eastAsia="Arial" w:hAnsi="Arial"/>
                <w:sz w:val="16"/>
                <w:szCs w:val="16"/>
                <w:b w:val="1"/>
                <w:bCs w:val="1"/>
                <w:color w:val="auto"/>
              </w:rPr>
              <w:t>Target</w:t>
            </w:r>
          </w:p>
        </w:tc>
        <w:tc>
          <w:tcPr>
            <w:tcW w:w="280" w:type="dxa"/>
            <w:vAlign w:val="bottom"/>
            <w:shd w:val="clear" w:color="auto" w:fill="E5F1F9"/>
          </w:tcPr>
          <w:p>
            <w:pPr>
              <w:spacing w:after="0"/>
              <w:rPr>
                <w:sz w:val="18"/>
                <w:szCs w:val="18"/>
                <w:color w:val="auto"/>
              </w:rPr>
            </w:pPr>
          </w:p>
        </w:tc>
        <w:tc>
          <w:tcPr>
            <w:tcW w:w="340" w:type="dxa"/>
            <w:vAlign w:val="bottom"/>
            <w:shd w:val="clear" w:color="auto" w:fill="E5F1F9"/>
          </w:tcPr>
          <w:p>
            <w:pPr>
              <w:spacing w:after="0"/>
              <w:rPr>
                <w:sz w:val="18"/>
                <w:szCs w:val="18"/>
                <w:color w:val="auto"/>
              </w:rPr>
            </w:pPr>
          </w:p>
        </w:tc>
        <w:tc>
          <w:tcPr>
            <w:tcW w:w="1760" w:type="dxa"/>
            <w:vAlign w:val="bottom"/>
            <w:gridSpan w:val="3"/>
            <w:shd w:val="clear" w:color="auto" w:fill="E5F1F9"/>
          </w:tcPr>
          <w:p>
            <w:pPr>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20"/>
        </w:trPr>
        <w:tc>
          <w:tcPr>
            <w:tcW w:w="2520" w:type="dxa"/>
            <w:vAlign w:val="bottom"/>
            <w:shd w:val="clear" w:color="auto" w:fill="E5F1F9"/>
          </w:tcPr>
          <w:p>
            <w:pPr>
              <w:spacing w:after="0" w:line="20" w:lineRule="exact"/>
              <w:rPr>
                <w:sz w:val="1"/>
                <w:szCs w:val="1"/>
                <w:color w:val="auto"/>
              </w:rPr>
            </w:pPr>
          </w:p>
        </w:tc>
        <w:tc>
          <w:tcPr>
            <w:tcW w:w="1440" w:type="dxa"/>
            <w:vAlign w:val="bottom"/>
            <w:shd w:val="clear" w:color="auto" w:fill="E5F1F9"/>
          </w:tcPr>
          <w:p>
            <w:pPr>
              <w:spacing w:after="0" w:line="20" w:lineRule="exact"/>
              <w:rPr>
                <w:sz w:val="1"/>
                <w:szCs w:val="1"/>
                <w:color w:val="auto"/>
              </w:rPr>
            </w:pPr>
          </w:p>
        </w:tc>
        <w:tc>
          <w:tcPr>
            <w:tcW w:w="100" w:type="dxa"/>
            <w:vAlign w:val="bottom"/>
            <w:shd w:val="clear" w:color="auto" w:fill="E5F1F9"/>
          </w:tcPr>
          <w:p>
            <w:pPr>
              <w:spacing w:after="0" w:line="20" w:lineRule="exact"/>
              <w:rPr>
                <w:sz w:val="1"/>
                <w:szCs w:val="1"/>
                <w:color w:val="auto"/>
              </w:rPr>
            </w:pPr>
          </w:p>
        </w:tc>
        <w:tc>
          <w:tcPr>
            <w:tcW w:w="800" w:type="dxa"/>
            <w:vAlign w:val="bottom"/>
            <w:tcBorders>
              <w:right w:val="single" w:sz="8" w:color="E5F1F9"/>
            </w:tcBorders>
            <w:shd w:val="clear" w:color="auto" w:fill="E5F1F9"/>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shd w:val="clear" w:color="auto" w:fill="E5F1F9"/>
          </w:tcPr>
          <w:p>
            <w:pPr>
              <w:spacing w:after="0" w:line="20" w:lineRule="exact"/>
              <w:rPr>
                <w:sz w:val="1"/>
                <w:szCs w:val="1"/>
                <w:color w:val="auto"/>
              </w:rPr>
            </w:pPr>
          </w:p>
        </w:tc>
        <w:tc>
          <w:tcPr>
            <w:tcW w:w="480" w:type="dxa"/>
            <w:vAlign w:val="bottom"/>
            <w:shd w:val="clear" w:color="auto" w:fill="E5F1F9"/>
          </w:tcPr>
          <w:p>
            <w:pPr>
              <w:spacing w:after="0" w:line="20" w:lineRule="exact"/>
              <w:rPr>
                <w:sz w:val="1"/>
                <w:szCs w:val="1"/>
                <w:color w:val="auto"/>
              </w:rPr>
            </w:pPr>
          </w:p>
        </w:tc>
        <w:tc>
          <w:tcPr>
            <w:tcW w:w="80" w:type="dxa"/>
            <w:vAlign w:val="bottom"/>
            <w:shd w:val="clear" w:color="auto" w:fill="E5F1F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E5F1F9"/>
          </w:tcPr>
          <w:p>
            <w:pPr>
              <w:spacing w:after="0" w:line="20" w:lineRule="exact"/>
              <w:rPr>
                <w:sz w:val="1"/>
                <w:szCs w:val="1"/>
                <w:color w:val="auto"/>
              </w:rPr>
            </w:pPr>
          </w:p>
        </w:tc>
        <w:tc>
          <w:tcPr>
            <w:tcW w:w="280" w:type="dxa"/>
            <w:vAlign w:val="bottom"/>
            <w:shd w:val="clear" w:color="auto" w:fill="E5F1F9"/>
          </w:tcPr>
          <w:p>
            <w:pPr>
              <w:spacing w:after="0" w:line="20" w:lineRule="exact"/>
              <w:rPr>
                <w:sz w:val="1"/>
                <w:szCs w:val="1"/>
                <w:color w:val="auto"/>
              </w:rPr>
            </w:pPr>
          </w:p>
        </w:tc>
        <w:tc>
          <w:tcPr>
            <w:tcW w:w="340" w:type="dxa"/>
            <w:vAlign w:val="bottom"/>
            <w:shd w:val="clear" w:color="auto" w:fill="E5F1F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E5F1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520" w:type="dxa"/>
            <w:vAlign w:val="bottom"/>
            <w:shd w:val="clear" w:color="auto" w:fill="E5F1F9"/>
          </w:tcPr>
          <w:p>
            <w:pPr>
              <w:spacing w:after="0"/>
              <w:rPr>
                <w:sz w:val="23"/>
                <w:szCs w:val="23"/>
                <w:color w:val="auto"/>
              </w:rPr>
            </w:pPr>
          </w:p>
        </w:tc>
        <w:tc>
          <w:tcPr>
            <w:tcW w:w="1440" w:type="dxa"/>
            <w:vAlign w:val="bottom"/>
            <w:shd w:val="clear" w:color="auto" w:fill="E5F1F9"/>
          </w:tcPr>
          <w:p>
            <w:pPr>
              <w:ind w:left="100"/>
              <w:spacing w:after="0"/>
              <w:rPr>
                <w:sz w:val="20"/>
                <w:szCs w:val="20"/>
                <w:color w:val="auto"/>
              </w:rPr>
            </w:pPr>
            <w:r>
              <w:rPr>
                <w:rFonts w:ascii="Arial" w:cs="Arial" w:eastAsia="Arial" w:hAnsi="Arial"/>
                <w:sz w:val="16"/>
                <w:szCs w:val="16"/>
                <w:color w:val="auto"/>
              </w:rPr>
              <w:t>Payout</w:t>
            </w:r>
          </w:p>
        </w:tc>
        <w:tc>
          <w:tcPr>
            <w:tcW w:w="100" w:type="dxa"/>
            <w:vAlign w:val="bottom"/>
            <w:shd w:val="clear" w:color="auto" w:fill="E5F1F9"/>
          </w:tcPr>
          <w:p>
            <w:pPr>
              <w:spacing w:after="0"/>
              <w:rPr>
                <w:sz w:val="23"/>
                <w:szCs w:val="23"/>
                <w:color w:val="auto"/>
              </w:rPr>
            </w:pPr>
          </w:p>
        </w:tc>
        <w:tc>
          <w:tcPr>
            <w:tcW w:w="800" w:type="dxa"/>
            <w:vAlign w:val="bottom"/>
            <w:tcBorders>
              <w:right w:val="single" w:sz="8" w:color="E5F1F9"/>
            </w:tcBorders>
            <w:shd w:val="clear" w:color="auto" w:fill="E5F1F9"/>
          </w:tcPr>
          <w:p>
            <w:pPr>
              <w:spacing w:after="0"/>
              <w:rPr>
                <w:sz w:val="23"/>
                <w:szCs w:val="23"/>
                <w:color w:val="auto"/>
              </w:rPr>
            </w:pPr>
          </w:p>
        </w:tc>
        <w:tc>
          <w:tcPr>
            <w:tcW w:w="1860" w:type="dxa"/>
            <w:vAlign w:val="bottom"/>
            <w:gridSpan w:val="2"/>
            <w:shd w:val="clear" w:color="auto" w:fill="E5F1F9"/>
          </w:tcPr>
          <w:p>
            <w:pPr>
              <w:spacing w:after="0"/>
              <w:rPr>
                <w:sz w:val="20"/>
                <w:szCs w:val="20"/>
                <w:color w:val="auto"/>
              </w:rPr>
            </w:pPr>
            <w:r>
              <w:rPr>
                <w:rFonts w:ascii="Arial" w:cs="Arial" w:eastAsia="Arial" w:hAnsi="Arial"/>
                <w:sz w:val="16"/>
                <w:szCs w:val="16"/>
                <w:color w:val="auto"/>
              </w:rPr>
              <w:t>50% of Target</w:t>
            </w:r>
          </w:p>
        </w:tc>
        <w:tc>
          <w:tcPr>
            <w:tcW w:w="480" w:type="dxa"/>
            <w:vAlign w:val="bottom"/>
            <w:shd w:val="clear" w:color="auto" w:fill="E5F1F9"/>
          </w:tcPr>
          <w:p>
            <w:pPr>
              <w:spacing w:after="0"/>
              <w:rPr>
                <w:sz w:val="23"/>
                <w:szCs w:val="23"/>
                <w:color w:val="auto"/>
              </w:rPr>
            </w:pPr>
          </w:p>
        </w:tc>
        <w:tc>
          <w:tcPr>
            <w:tcW w:w="80" w:type="dxa"/>
            <w:vAlign w:val="bottom"/>
            <w:shd w:val="clear" w:color="auto" w:fill="E5F1F9"/>
          </w:tcPr>
          <w:p>
            <w:pPr>
              <w:spacing w:after="0"/>
              <w:rPr>
                <w:sz w:val="23"/>
                <w:szCs w:val="23"/>
                <w:color w:val="auto"/>
              </w:rPr>
            </w:pPr>
          </w:p>
        </w:tc>
        <w:tc>
          <w:tcPr>
            <w:tcW w:w="1360" w:type="dxa"/>
            <w:vAlign w:val="bottom"/>
            <w:gridSpan w:val="2"/>
            <w:shd w:val="clear" w:color="auto" w:fill="E5F1F9"/>
          </w:tcPr>
          <w:p>
            <w:pPr>
              <w:spacing w:after="0"/>
              <w:rPr>
                <w:sz w:val="20"/>
                <w:szCs w:val="20"/>
                <w:color w:val="auto"/>
              </w:rPr>
            </w:pPr>
            <w:r>
              <w:rPr>
                <w:rFonts w:ascii="Arial" w:cs="Arial" w:eastAsia="Arial" w:hAnsi="Arial"/>
                <w:sz w:val="16"/>
                <w:szCs w:val="16"/>
                <w:color w:val="auto"/>
              </w:rPr>
              <w:t>100% of Target</w:t>
            </w:r>
          </w:p>
        </w:tc>
        <w:tc>
          <w:tcPr>
            <w:tcW w:w="280" w:type="dxa"/>
            <w:vAlign w:val="bottom"/>
            <w:shd w:val="clear" w:color="auto" w:fill="E5F1F9"/>
          </w:tcPr>
          <w:p>
            <w:pPr>
              <w:spacing w:after="0"/>
              <w:rPr>
                <w:sz w:val="23"/>
                <w:szCs w:val="23"/>
                <w:color w:val="auto"/>
              </w:rPr>
            </w:pPr>
          </w:p>
        </w:tc>
        <w:tc>
          <w:tcPr>
            <w:tcW w:w="340" w:type="dxa"/>
            <w:vAlign w:val="bottom"/>
            <w:shd w:val="clear" w:color="auto" w:fill="E5F1F9"/>
          </w:tcPr>
          <w:p>
            <w:pPr>
              <w:spacing w:after="0"/>
              <w:rPr>
                <w:sz w:val="23"/>
                <w:szCs w:val="23"/>
                <w:color w:val="auto"/>
              </w:rPr>
            </w:pPr>
          </w:p>
        </w:tc>
        <w:tc>
          <w:tcPr>
            <w:tcW w:w="1760" w:type="dxa"/>
            <w:vAlign w:val="bottom"/>
            <w:gridSpan w:val="3"/>
            <w:shd w:val="clear" w:color="auto" w:fill="E5F1F9"/>
          </w:tcPr>
          <w:p>
            <w:pPr>
              <w:spacing w:after="0"/>
              <w:rPr>
                <w:sz w:val="20"/>
                <w:szCs w:val="20"/>
                <w:color w:val="auto"/>
              </w:rPr>
            </w:pPr>
            <w:r>
              <w:rPr>
                <w:rFonts w:ascii="Arial" w:cs="Arial" w:eastAsia="Arial" w:hAnsi="Arial"/>
                <w:sz w:val="16"/>
                <w:szCs w:val="16"/>
                <w:color w:val="auto"/>
              </w:rPr>
              <w:t>200% of Target</w:t>
            </w:r>
          </w:p>
        </w:tc>
        <w:tc>
          <w:tcPr>
            <w:tcW w:w="0" w:type="dxa"/>
            <w:vAlign w:val="bottom"/>
          </w:tcPr>
          <w:p>
            <w:pPr>
              <w:spacing w:after="0"/>
              <w:rPr>
                <w:sz w:val="1"/>
                <w:szCs w:val="1"/>
                <w:color w:val="auto"/>
              </w:rPr>
            </w:pPr>
          </w:p>
        </w:tc>
      </w:tr>
      <w:tr>
        <w:trPr>
          <w:trHeight w:val="56"/>
        </w:trPr>
        <w:tc>
          <w:tcPr>
            <w:tcW w:w="2520" w:type="dxa"/>
            <w:vAlign w:val="bottom"/>
            <w:shd w:val="clear" w:color="auto" w:fill="E5F1F9"/>
          </w:tcPr>
          <w:p>
            <w:pPr>
              <w:spacing w:after="0"/>
              <w:rPr>
                <w:sz w:val="4"/>
                <w:szCs w:val="4"/>
                <w:color w:val="auto"/>
              </w:rPr>
            </w:pPr>
          </w:p>
        </w:tc>
        <w:tc>
          <w:tcPr>
            <w:tcW w:w="1440" w:type="dxa"/>
            <w:vAlign w:val="bottom"/>
            <w:shd w:val="clear" w:color="auto" w:fill="E5F1F9"/>
          </w:tcPr>
          <w:p>
            <w:pPr>
              <w:spacing w:after="0"/>
              <w:rPr>
                <w:sz w:val="4"/>
                <w:szCs w:val="4"/>
                <w:color w:val="auto"/>
              </w:rPr>
            </w:pPr>
          </w:p>
        </w:tc>
        <w:tc>
          <w:tcPr>
            <w:tcW w:w="100" w:type="dxa"/>
            <w:vAlign w:val="bottom"/>
            <w:shd w:val="clear" w:color="auto" w:fill="E5F1F9"/>
          </w:tcPr>
          <w:p>
            <w:pPr>
              <w:spacing w:after="0"/>
              <w:rPr>
                <w:sz w:val="4"/>
                <w:szCs w:val="4"/>
                <w:color w:val="auto"/>
              </w:rPr>
            </w:pPr>
          </w:p>
        </w:tc>
        <w:tc>
          <w:tcPr>
            <w:tcW w:w="800" w:type="dxa"/>
            <w:vAlign w:val="bottom"/>
            <w:tcBorders>
              <w:right w:val="single" w:sz="8" w:color="E5F1F9"/>
            </w:tcBorders>
            <w:shd w:val="clear" w:color="auto" w:fill="E5F1F9"/>
          </w:tcPr>
          <w:p>
            <w:pPr>
              <w:spacing w:after="0"/>
              <w:rPr>
                <w:sz w:val="4"/>
                <w:szCs w:val="4"/>
                <w:color w:val="auto"/>
              </w:rPr>
            </w:pPr>
          </w:p>
        </w:tc>
        <w:tc>
          <w:tcPr>
            <w:tcW w:w="800" w:type="dxa"/>
            <w:vAlign w:val="bottom"/>
            <w:shd w:val="clear" w:color="auto" w:fill="E5F1F9"/>
          </w:tcPr>
          <w:p>
            <w:pPr>
              <w:spacing w:after="0"/>
              <w:rPr>
                <w:sz w:val="4"/>
                <w:szCs w:val="4"/>
                <w:color w:val="auto"/>
              </w:rPr>
            </w:pPr>
          </w:p>
        </w:tc>
        <w:tc>
          <w:tcPr>
            <w:tcW w:w="1060" w:type="dxa"/>
            <w:vAlign w:val="bottom"/>
            <w:shd w:val="clear" w:color="auto" w:fill="E5F1F9"/>
          </w:tcPr>
          <w:p>
            <w:pPr>
              <w:spacing w:after="0"/>
              <w:rPr>
                <w:sz w:val="4"/>
                <w:szCs w:val="4"/>
                <w:color w:val="auto"/>
              </w:rPr>
            </w:pPr>
          </w:p>
        </w:tc>
        <w:tc>
          <w:tcPr>
            <w:tcW w:w="480" w:type="dxa"/>
            <w:vAlign w:val="bottom"/>
            <w:shd w:val="clear" w:color="auto" w:fill="E5F1F9"/>
          </w:tcPr>
          <w:p>
            <w:pPr>
              <w:spacing w:after="0"/>
              <w:rPr>
                <w:sz w:val="4"/>
                <w:szCs w:val="4"/>
                <w:color w:val="auto"/>
              </w:rPr>
            </w:pPr>
          </w:p>
        </w:tc>
        <w:tc>
          <w:tcPr>
            <w:tcW w:w="80" w:type="dxa"/>
            <w:vAlign w:val="bottom"/>
            <w:shd w:val="clear" w:color="auto" w:fill="E5F1F9"/>
          </w:tcPr>
          <w:p>
            <w:pPr>
              <w:spacing w:after="0"/>
              <w:rPr>
                <w:sz w:val="4"/>
                <w:szCs w:val="4"/>
                <w:color w:val="auto"/>
              </w:rPr>
            </w:pPr>
          </w:p>
        </w:tc>
        <w:tc>
          <w:tcPr>
            <w:tcW w:w="480" w:type="dxa"/>
            <w:vAlign w:val="bottom"/>
            <w:shd w:val="clear" w:color="auto" w:fill="E5F1F9"/>
          </w:tcPr>
          <w:p>
            <w:pPr>
              <w:spacing w:after="0"/>
              <w:rPr>
                <w:sz w:val="4"/>
                <w:szCs w:val="4"/>
                <w:color w:val="auto"/>
              </w:rPr>
            </w:pPr>
          </w:p>
        </w:tc>
        <w:tc>
          <w:tcPr>
            <w:tcW w:w="880" w:type="dxa"/>
            <w:vAlign w:val="bottom"/>
            <w:shd w:val="clear" w:color="auto" w:fill="E5F1F9"/>
          </w:tcPr>
          <w:p>
            <w:pPr>
              <w:spacing w:after="0"/>
              <w:rPr>
                <w:sz w:val="4"/>
                <w:szCs w:val="4"/>
                <w:color w:val="auto"/>
              </w:rPr>
            </w:pPr>
          </w:p>
        </w:tc>
        <w:tc>
          <w:tcPr>
            <w:tcW w:w="280" w:type="dxa"/>
            <w:vAlign w:val="bottom"/>
            <w:shd w:val="clear" w:color="auto" w:fill="E5F1F9"/>
          </w:tcPr>
          <w:p>
            <w:pPr>
              <w:spacing w:after="0"/>
              <w:rPr>
                <w:sz w:val="4"/>
                <w:szCs w:val="4"/>
                <w:color w:val="auto"/>
              </w:rPr>
            </w:pPr>
          </w:p>
        </w:tc>
        <w:tc>
          <w:tcPr>
            <w:tcW w:w="340" w:type="dxa"/>
            <w:vAlign w:val="bottom"/>
            <w:shd w:val="clear" w:color="auto" w:fill="E5F1F9"/>
          </w:tcPr>
          <w:p>
            <w:pPr>
              <w:spacing w:after="0"/>
              <w:rPr>
                <w:sz w:val="4"/>
                <w:szCs w:val="4"/>
                <w:color w:val="auto"/>
              </w:rPr>
            </w:pPr>
          </w:p>
        </w:tc>
        <w:tc>
          <w:tcPr>
            <w:tcW w:w="400" w:type="dxa"/>
            <w:vAlign w:val="bottom"/>
            <w:shd w:val="clear" w:color="auto" w:fill="E5F1F9"/>
          </w:tcPr>
          <w:p>
            <w:pPr>
              <w:spacing w:after="0"/>
              <w:rPr>
                <w:sz w:val="4"/>
                <w:szCs w:val="4"/>
                <w:color w:val="auto"/>
              </w:rPr>
            </w:pPr>
          </w:p>
        </w:tc>
        <w:tc>
          <w:tcPr>
            <w:tcW w:w="340" w:type="dxa"/>
            <w:vAlign w:val="bottom"/>
            <w:shd w:val="clear" w:color="auto" w:fill="E5F1F9"/>
          </w:tcPr>
          <w:p>
            <w:pPr>
              <w:spacing w:after="0"/>
              <w:rPr>
                <w:sz w:val="4"/>
                <w:szCs w:val="4"/>
                <w:color w:val="auto"/>
              </w:rPr>
            </w:pPr>
          </w:p>
        </w:tc>
        <w:tc>
          <w:tcPr>
            <w:tcW w:w="1020" w:type="dxa"/>
            <w:vAlign w:val="bottom"/>
            <w:shd w:val="clear" w:color="auto" w:fill="E5F1F9"/>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20" w:right="240"/>
        <w:spacing w:after="0" w:line="266" w:lineRule="auto"/>
        <w:rPr>
          <w:sz w:val="20"/>
          <w:szCs w:val="20"/>
          <w:color w:val="auto"/>
        </w:rPr>
      </w:pPr>
      <w:r>
        <w:rPr>
          <w:rFonts w:ascii="Arial" w:cs="Arial" w:eastAsia="Arial" w:hAnsi="Arial"/>
          <w:sz w:val="16"/>
          <w:szCs w:val="16"/>
          <w:color w:val="auto"/>
        </w:rPr>
        <w:t>We do not disclose our forward-looking EPS CAGR targets, which is consistent with industry practice, because such disclosure could be interpreted as premature guidance and potentially competitively harmful. While we are not disclosing the specific EPS CAGR targets, we believe that achievement of target performance under these awards is challenging but achievable, requiring</w:t>
      </w:r>
    </w:p>
    <w:p>
      <w:pPr>
        <w:spacing w:after="0" w:line="11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-44-</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660"/>
        <w:spacing w:after="0"/>
        <w:rPr>
          <w:sz w:val="20"/>
          <w:szCs w:val="20"/>
          <w:color w:val="auto"/>
        </w:rPr>
      </w:pPr>
      <w:r>
        <w:rPr>
          <w:rFonts w:ascii="Arial" w:cs="Arial" w:eastAsia="Arial" w:hAnsi="Arial"/>
          <w:sz w:val="19"/>
          <w:szCs w:val="19"/>
          <w:color w:val="0075C9"/>
        </w:rPr>
        <w:t>Compensation Discussion and Analysis</w:t>
      </w:r>
    </w:p>
    <w:p>
      <w:pPr>
        <w:spacing w:after="0" w:line="154"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color w:val="auto"/>
        </w:rPr>
        <w:t>strong operational execution over the three-year performance period. We will continue to disclose performance achievement at the end of the 3-year performance period. The actual value that will be realized from annual PSU awards depends on the degree of achievement of performance goals, with 100% of the PSUs (based on the grant date target value) settled in our common stock based upon achievement of a cumulative three-year rTSR metric and a three-year EPS CAGR. The actual value that will be realized from PSU awards depends on the closing stock price on each of the dates such awards vest. If the vesting price is higher than the grant price, the value of stock that vest will increase and in contrast, if the vesting price is lower than the grant price, the value of stock that vest will be decreased. Our common stock price is influenced by the company’s performance as well as external market factors.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2024 LTI Program</w:t>
      </w:r>
    </w:p>
    <w:p>
      <w:pPr>
        <w:spacing w:after="0" w:line="108"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Our LTI program for our executive officers in 2024 operates with the same design as the 2025 program. We will disclose the details of the 2024 PSU award payout following the completion of the performance period.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252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6"/>
                <w:szCs w:val="16"/>
                <w:color w:val="FFFFFF"/>
              </w:rPr>
              <w:t>  rTSR</w:t>
            </w:r>
          </w:p>
        </w:tc>
        <w:tc>
          <w:tcPr>
            <w:tcW w:w="1440" w:type="dxa"/>
            <w:vAlign w:val="bottom"/>
            <w:tcBorders>
              <w:bottom w:val="single" w:sz="8" w:color="0075C9"/>
            </w:tcBorders>
            <w:shd w:val="clear" w:color="auto" w:fill="0075C9"/>
          </w:tcPr>
          <w:p>
            <w:pPr>
              <w:ind w:left="340"/>
              <w:spacing w:after="0"/>
              <w:rPr>
                <w:sz w:val="20"/>
                <w:szCs w:val="20"/>
                <w:color w:val="auto"/>
              </w:rPr>
            </w:pPr>
            <w:r>
              <w:rPr>
                <w:rFonts w:ascii="Arial" w:cs="Arial" w:eastAsia="Arial" w:hAnsi="Arial"/>
                <w:sz w:val="16"/>
                <w:szCs w:val="16"/>
                <w:color w:val="FFFFFF"/>
              </w:rPr>
              <w:t>Description</w:t>
            </w:r>
          </w:p>
        </w:tc>
        <w:tc>
          <w:tcPr>
            <w:tcW w:w="100" w:type="dxa"/>
            <w:vAlign w:val="bottom"/>
            <w:tcBorders>
              <w:bottom w:val="single" w:sz="8" w:color="0075C9"/>
            </w:tcBorders>
            <w:shd w:val="clear" w:color="auto" w:fill="0075C9"/>
          </w:tcPr>
          <w:p>
            <w:pPr>
              <w:spacing w:after="0"/>
              <w:rPr>
                <w:sz w:val="24"/>
                <w:szCs w:val="24"/>
                <w:color w:val="auto"/>
              </w:rPr>
            </w:pPr>
          </w:p>
        </w:tc>
        <w:tc>
          <w:tcPr>
            <w:tcW w:w="800" w:type="dxa"/>
            <w:vAlign w:val="bottom"/>
            <w:tcBorders>
              <w:bottom w:val="single" w:sz="8" w:color="0075C9"/>
              <w:right w:val="single" w:sz="8" w:color="0075C9"/>
            </w:tcBorders>
            <w:shd w:val="clear" w:color="auto" w:fill="0075C9"/>
          </w:tcPr>
          <w:p>
            <w:pPr>
              <w:spacing w:after="0"/>
              <w:rPr>
                <w:sz w:val="24"/>
                <w:szCs w:val="24"/>
                <w:color w:val="auto"/>
              </w:rPr>
            </w:pPr>
          </w:p>
        </w:tc>
        <w:tc>
          <w:tcPr>
            <w:tcW w:w="800" w:type="dxa"/>
            <w:vAlign w:val="bottom"/>
            <w:tcBorders>
              <w:bottom w:val="single" w:sz="8" w:color="0075C9"/>
            </w:tcBorders>
            <w:shd w:val="clear" w:color="auto" w:fill="0075C9"/>
          </w:tcPr>
          <w:p>
            <w:pPr>
              <w:spacing w:after="0"/>
              <w:rPr>
                <w:sz w:val="24"/>
                <w:szCs w:val="24"/>
                <w:color w:val="auto"/>
              </w:rPr>
            </w:pPr>
          </w:p>
        </w:tc>
        <w:tc>
          <w:tcPr>
            <w:tcW w:w="106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880" w:type="dxa"/>
            <w:vAlign w:val="bottom"/>
            <w:tcBorders>
              <w:bottom w:val="single" w:sz="8" w:color="0075C9"/>
            </w:tcBorders>
            <w:shd w:val="clear" w:color="auto" w:fill="0075C9"/>
          </w:tcPr>
          <w:p>
            <w:pPr>
              <w:spacing w:after="0"/>
              <w:rPr>
                <w:sz w:val="24"/>
                <w:szCs w:val="24"/>
                <w:color w:val="auto"/>
              </w:rPr>
            </w:pPr>
          </w:p>
        </w:tc>
        <w:tc>
          <w:tcPr>
            <w:tcW w:w="280" w:type="dxa"/>
            <w:vAlign w:val="bottom"/>
            <w:tcBorders>
              <w:bottom w:val="single" w:sz="8" w:color="0075C9"/>
            </w:tcBorders>
            <w:shd w:val="clear" w:color="auto" w:fill="0075C9"/>
          </w:tcPr>
          <w:p>
            <w:pPr>
              <w:spacing w:after="0"/>
              <w:rPr>
                <w:sz w:val="24"/>
                <w:szCs w:val="24"/>
                <w:color w:val="auto"/>
              </w:rPr>
            </w:pPr>
          </w:p>
        </w:tc>
        <w:tc>
          <w:tcPr>
            <w:tcW w:w="340" w:type="dxa"/>
            <w:vAlign w:val="bottom"/>
            <w:tcBorders>
              <w:bottom w:val="single" w:sz="8" w:color="0075C9"/>
            </w:tcBorders>
            <w:shd w:val="clear" w:color="auto" w:fill="0075C9"/>
          </w:tcPr>
          <w:p>
            <w:pPr>
              <w:spacing w:after="0"/>
              <w:rPr>
                <w:sz w:val="24"/>
                <w:szCs w:val="24"/>
                <w:color w:val="auto"/>
              </w:rPr>
            </w:pPr>
          </w:p>
        </w:tc>
        <w:tc>
          <w:tcPr>
            <w:tcW w:w="400" w:type="dxa"/>
            <w:vAlign w:val="bottom"/>
            <w:tcBorders>
              <w:bottom w:val="single" w:sz="8" w:color="0075C9"/>
            </w:tcBorders>
            <w:shd w:val="clear" w:color="auto" w:fill="0075C9"/>
          </w:tcPr>
          <w:p>
            <w:pPr>
              <w:spacing w:after="0"/>
              <w:rPr>
                <w:sz w:val="24"/>
                <w:szCs w:val="24"/>
                <w:color w:val="auto"/>
              </w:rPr>
            </w:pPr>
          </w:p>
        </w:tc>
        <w:tc>
          <w:tcPr>
            <w:tcW w:w="340" w:type="dxa"/>
            <w:vAlign w:val="bottom"/>
            <w:tcBorders>
              <w:bottom w:val="single" w:sz="8" w:color="0075C9"/>
            </w:tcBorders>
            <w:shd w:val="clear" w:color="auto" w:fill="0075C9"/>
          </w:tcPr>
          <w:p>
            <w:pPr>
              <w:spacing w:after="0"/>
              <w:rPr>
                <w:sz w:val="24"/>
                <w:szCs w:val="24"/>
                <w:color w:val="auto"/>
              </w:rPr>
            </w:pPr>
          </w:p>
        </w:tc>
        <w:tc>
          <w:tcPr>
            <w:tcW w:w="1020" w:type="dxa"/>
            <w:vAlign w:val="bottom"/>
            <w:tcBorders>
              <w:bottom w:val="single" w:sz="8" w:color="0075C9"/>
            </w:tcBorders>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520" w:type="dxa"/>
            <w:vAlign w:val="bottom"/>
            <w:shd w:val="clear" w:color="auto" w:fill="E5F1F9"/>
          </w:tcPr>
          <w:p>
            <w:pPr>
              <w:spacing w:after="0"/>
              <w:rPr>
                <w:sz w:val="20"/>
                <w:szCs w:val="20"/>
                <w:color w:val="auto"/>
              </w:rPr>
            </w:pPr>
            <w:r>
              <w:rPr>
                <w:rFonts w:ascii="Arial" w:cs="Arial" w:eastAsia="Arial" w:hAnsi="Arial"/>
                <w:sz w:val="16"/>
                <w:szCs w:val="16"/>
                <w:color w:val="auto"/>
              </w:rPr>
              <w:t>  rTSR Comparison Group</w:t>
            </w:r>
          </w:p>
        </w:tc>
        <w:tc>
          <w:tcPr>
            <w:tcW w:w="8500" w:type="dxa"/>
            <w:vAlign w:val="bottom"/>
            <w:gridSpan w:val="14"/>
            <w:shd w:val="clear" w:color="auto" w:fill="E5F1F9"/>
          </w:tcPr>
          <w:p>
            <w:pPr>
              <w:ind w:left="340"/>
              <w:spacing w:after="0"/>
              <w:rPr>
                <w:sz w:val="20"/>
                <w:szCs w:val="20"/>
                <w:color w:val="auto"/>
              </w:rPr>
            </w:pPr>
            <w:r>
              <w:rPr>
                <w:rFonts w:ascii="Arial" w:cs="Arial" w:eastAsia="Arial" w:hAnsi="Arial"/>
                <w:sz w:val="16"/>
                <w:szCs w:val="16"/>
                <w:color w:val="auto"/>
              </w:rPr>
              <w:t>Comparator group includes the peer group used for executive compensation benchmarking in 2024 plus the NBI,</w:t>
            </w:r>
          </w:p>
        </w:tc>
        <w:tc>
          <w:tcPr>
            <w:tcW w:w="0" w:type="dxa"/>
            <w:vAlign w:val="bottom"/>
          </w:tcPr>
          <w:p>
            <w:pPr>
              <w:spacing w:after="0"/>
              <w:rPr>
                <w:sz w:val="1"/>
                <w:szCs w:val="1"/>
                <w:color w:val="auto"/>
              </w:rPr>
            </w:pPr>
          </w:p>
        </w:tc>
      </w:tr>
      <w:tr>
        <w:trPr>
          <w:trHeight w:val="251"/>
        </w:trPr>
        <w:tc>
          <w:tcPr>
            <w:tcW w:w="2520" w:type="dxa"/>
            <w:vAlign w:val="bottom"/>
            <w:tcBorders>
              <w:bottom w:val="single" w:sz="8" w:color="E5F1F9"/>
            </w:tcBorders>
            <w:shd w:val="clear" w:color="auto" w:fill="E5F1F9"/>
          </w:tcPr>
          <w:p>
            <w:pPr>
              <w:spacing w:after="0"/>
              <w:rPr>
                <w:sz w:val="21"/>
                <w:szCs w:val="21"/>
                <w:color w:val="auto"/>
              </w:rPr>
            </w:pPr>
          </w:p>
        </w:tc>
        <w:tc>
          <w:tcPr>
            <w:tcW w:w="6120" w:type="dxa"/>
            <w:vAlign w:val="bottom"/>
            <w:tcBorders>
              <w:bottom w:val="single" w:sz="8" w:color="E5F1F9"/>
            </w:tcBorders>
            <w:gridSpan w:val="9"/>
            <w:shd w:val="clear" w:color="auto" w:fill="E5F1F9"/>
          </w:tcPr>
          <w:p>
            <w:pPr>
              <w:ind w:left="340"/>
              <w:spacing w:after="0"/>
              <w:rPr>
                <w:sz w:val="20"/>
                <w:szCs w:val="20"/>
                <w:color w:val="auto"/>
              </w:rPr>
            </w:pPr>
            <w:r>
              <w:rPr>
                <w:rFonts w:ascii="Arial" w:cs="Arial" w:eastAsia="Arial" w:hAnsi="Arial"/>
                <w:sz w:val="16"/>
                <w:szCs w:val="16"/>
                <w:color w:val="auto"/>
              </w:rPr>
              <w:t>excluding companies with less than a $5B market capitalization.</w:t>
            </w:r>
          </w:p>
        </w:tc>
        <w:tc>
          <w:tcPr>
            <w:tcW w:w="280" w:type="dxa"/>
            <w:vAlign w:val="bottom"/>
            <w:tcBorders>
              <w:bottom w:val="single" w:sz="8" w:color="E5F1F9"/>
            </w:tcBorders>
            <w:shd w:val="clear" w:color="auto" w:fill="E5F1F9"/>
          </w:tcPr>
          <w:p>
            <w:pPr>
              <w:spacing w:after="0"/>
              <w:rPr>
                <w:sz w:val="21"/>
                <w:szCs w:val="21"/>
                <w:color w:val="auto"/>
              </w:rPr>
            </w:pPr>
          </w:p>
        </w:tc>
        <w:tc>
          <w:tcPr>
            <w:tcW w:w="340" w:type="dxa"/>
            <w:vAlign w:val="bottom"/>
            <w:tcBorders>
              <w:bottom w:val="single" w:sz="8" w:color="E5F1F9"/>
            </w:tcBorders>
            <w:shd w:val="clear" w:color="auto" w:fill="E5F1F9"/>
          </w:tcPr>
          <w:p>
            <w:pPr>
              <w:spacing w:after="0"/>
              <w:rPr>
                <w:sz w:val="21"/>
                <w:szCs w:val="21"/>
                <w:color w:val="auto"/>
              </w:rPr>
            </w:pPr>
          </w:p>
        </w:tc>
        <w:tc>
          <w:tcPr>
            <w:tcW w:w="400" w:type="dxa"/>
            <w:vAlign w:val="bottom"/>
            <w:tcBorders>
              <w:bottom w:val="single" w:sz="8" w:color="E5F1F9"/>
            </w:tcBorders>
            <w:shd w:val="clear" w:color="auto" w:fill="E5F1F9"/>
          </w:tcPr>
          <w:p>
            <w:pPr>
              <w:spacing w:after="0"/>
              <w:rPr>
                <w:sz w:val="21"/>
                <w:szCs w:val="21"/>
                <w:color w:val="auto"/>
              </w:rPr>
            </w:pPr>
          </w:p>
        </w:tc>
        <w:tc>
          <w:tcPr>
            <w:tcW w:w="340" w:type="dxa"/>
            <w:vAlign w:val="bottom"/>
            <w:tcBorders>
              <w:bottom w:val="single" w:sz="8" w:color="E5F1F9"/>
            </w:tcBorders>
            <w:shd w:val="clear" w:color="auto" w:fill="E5F1F9"/>
          </w:tcPr>
          <w:p>
            <w:pPr>
              <w:spacing w:after="0"/>
              <w:rPr>
                <w:sz w:val="21"/>
                <w:szCs w:val="21"/>
                <w:color w:val="auto"/>
              </w:rPr>
            </w:pPr>
          </w:p>
        </w:tc>
        <w:tc>
          <w:tcPr>
            <w:tcW w:w="1020" w:type="dxa"/>
            <w:vAlign w:val="bottom"/>
            <w:tcBorders>
              <w:bottom w:val="single" w:sz="8" w:color="E5F1F9"/>
            </w:tcBorders>
            <w:shd w:val="clear" w:color="auto" w:fill="E5F1F9"/>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B2D5EE"/>
          </w:tcPr>
          <w:p>
            <w:pPr>
              <w:spacing w:after="0"/>
              <w:rPr>
                <w:sz w:val="20"/>
                <w:szCs w:val="20"/>
                <w:color w:val="auto"/>
              </w:rPr>
            </w:pPr>
            <w:r>
              <w:rPr>
                <w:rFonts w:ascii="Arial" w:cs="Arial" w:eastAsia="Arial" w:hAnsi="Arial"/>
                <w:sz w:val="16"/>
                <w:szCs w:val="16"/>
                <w:color w:val="auto"/>
              </w:rPr>
              <w:t>  Performance Period</w:t>
            </w:r>
          </w:p>
        </w:tc>
        <w:tc>
          <w:tcPr>
            <w:tcW w:w="4200" w:type="dxa"/>
            <w:vAlign w:val="bottom"/>
            <w:gridSpan w:val="5"/>
            <w:shd w:val="clear" w:color="auto" w:fill="B2D5EE"/>
          </w:tcPr>
          <w:p>
            <w:pPr>
              <w:ind w:left="340"/>
              <w:spacing w:after="0"/>
              <w:rPr>
                <w:sz w:val="20"/>
                <w:szCs w:val="20"/>
                <w:color w:val="auto"/>
              </w:rPr>
            </w:pPr>
            <w:r>
              <w:rPr>
                <w:rFonts w:ascii="Arial" w:cs="Arial" w:eastAsia="Arial" w:hAnsi="Arial"/>
                <w:sz w:val="16"/>
                <w:szCs w:val="16"/>
                <w:color w:val="auto"/>
              </w:rPr>
              <w:t>3 years: 2024-2026</w:t>
            </w:r>
          </w:p>
        </w:tc>
        <w:tc>
          <w:tcPr>
            <w:tcW w:w="480" w:type="dxa"/>
            <w:vAlign w:val="bottom"/>
            <w:shd w:val="clear" w:color="auto" w:fill="B2D5EE"/>
          </w:tcPr>
          <w:p>
            <w:pPr>
              <w:spacing w:after="0"/>
              <w:rPr>
                <w:sz w:val="22"/>
                <w:szCs w:val="22"/>
                <w:color w:val="auto"/>
              </w:rPr>
            </w:pPr>
          </w:p>
        </w:tc>
        <w:tc>
          <w:tcPr>
            <w:tcW w:w="80" w:type="dxa"/>
            <w:vAlign w:val="bottom"/>
            <w:shd w:val="clear" w:color="auto" w:fill="B2D5EE"/>
          </w:tcPr>
          <w:p>
            <w:pPr>
              <w:spacing w:after="0"/>
              <w:rPr>
                <w:sz w:val="22"/>
                <w:szCs w:val="22"/>
                <w:color w:val="auto"/>
              </w:rPr>
            </w:pPr>
          </w:p>
        </w:tc>
        <w:tc>
          <w:tcPr>
            <w:tcW w:w="480" w:type="dxa"/>
            <w:vAlign w:val="bottom"/>
            <w:shd w:val="clear" w:color="auto" w:fill="B2D5EE"/>
          </w:tcPr>
          <w:p>
            <w:pPr>
              <w:spacing w:after="0"/>
              <w:rPr>
                <w:sz w:val="22"/>
                <w:szCs w:val="22"/>
                <w:color w:val="auto"/>
              </w:rPr>
            </w:pPr>
          </w:p>
        </w:tc>
        <w:tc>
          <w:tcPr>
            <w:tcW w:w="880" w:type="dxa"/>
            <w:vAlign w:val="bottom"/>
            <w:shd w:val="clear" w:color="auto" w:fill="B2D5EE"/>
          </w:tcPr>
          <w:p>
            <w:pPr>
              <w:spacing w:after="0"/>
              <w:rPr>
                <w:sz w:val="22"/>
                <w:szCs w:val="22"/>
                <w:color w:val="auto"/>
              </w:rPr>
            </w:pPr>
          </w:p>
        </w:tc>
        <w:tc>
          <w:tcPr>
            <w:tcW w:w="280" w:type="dxa"/>
            <w:vAlign w:val="bottom"/>
            <w:shd w:val="clear" w:color="auto" w:fill="B2D5EE"/>
          </w:tcPr>
          <w:p>
            <w:pPr>
              <w:spacing w:after="0"/>
              <w:rPr>
                <w:sz w:val="22"/>
                <w:szCs w:val="22"/>
                <w:color w:val="auto"/>
              </w:rPr>
            </w:pPr>
          </w:p>
        </w:tc>
        <w:tc>
          <w:tcPr>
            <w:tcW w:w="340" w:type="dxa"/>
            <w:vAlign w:val="bottom"/>
            <w:shd w:val="clear" w:color="auto" w:fill="B2D5EE"/>
          </w:tcPr>
          <w:p>
            <w:pPr>
              <w:spacing w:after="0"/>
              <w:rPr>
                <w:sz w:val="22"/>
                <w:szCs w:val="22"/>
                <w:color w:val="auto"/>
              </w:rPr>
            </w:pPr>
          </w:p>
        </w:tc>
        <w:tc>
          <w:tcPr>
            <w:tcW w:w="400" w:type="dxa"/>
            <w:vAlign w:val="bottom"/>
            <w:shd w:val="clear" w:color="auto" w:fill="B2D5EE"/>
          </w:tcPr>
          <w:p>
            <w:pPr>
              <w:spacing w:after="0"/>
              <w:rPr>
                <w:sz w:val="22"/>
                <w:szCs w:val="22"/>
                <w:color w:val="auto"/>
              </w:rPr>
            </w:pPr>
          </w:p>
        </w:tc>
        <w:tc>
          <w:tcPr>
            <w:tcW w:w="340" w:type="dxa"/>
            <w:vAlign w:val="bottom"/>
            <w:shd w:val="clear" w:color="auto" w:fill="B2D5EE"/>
          </w:tcPr>
          <w:p>
            <w:pPr>
              <w:spacing w:after="0"/>
              <w:rPr>
                <w:sz w:val="22"/>
                <w:szCs w:val="22"/>
                <w:color w:val="auto"/>
              </w:rPr>
            </w:pPr>
          </w:p>
        </w:tc>
        <w:tc>
          <w:tcPr>
            <w:tcW w:w="1020" w:type="dxa"/>
            <w:vAlign w:val="bottom"/>
            <w:shd w:val="clear" w:color="auto" w:fill="B2D5E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E5F1F9"/>
          </w:tcPr>
          <w:p>
            <w:pPr>
              <w:spacing w:after="0"/>
              <w:rPr>
                <w:sz w:val="19"/>
                <w:szCs w:val="19"/>
                <w:color w:val="auto"/>
              </w:rPr>
            </w:pPr>
          </w:p>
        </w:tc>
        <w:tc>
          <w:tcPr>
            <w:tcW w:w="1440" w:type="dxa"/>
            <w:vAlign w:val="bottom"/>
            <w:shd w:val="clear" w:color="auto" w:fill="E5F1F9"/>
          </w:tcPr>
          <w:p>
            <w:pPr>
              <w:spacing w:after="0"/>
              <w:rPr>
                <w:sz w:val="19"/>
                <w:szCs w:val="19"/>
                <w:color w:val="auto"/>
              </w:rPr>
            </w:pPr>
          </w:p>
        </w:tc>
        <w:tc>
          <w:tcPr>
            <w:tcW w:w="2760" w:type="dxa"/>
            <w:vAlign w:val="bottom"/>
            <w:gridSpan w:val="4"/>
            <w:shd w:val="clear" w:color="auto" w:fill="E5F1F9"/>
          </w:tcPr>
          <w:p>
            <w:pPr>
              <w:ind w:left="100"/>
              <w:spacing w:after="0"/>
              <w:rPr>
                <w:sz w:val="20"/>
                <w:szCs w:val="20"/>
                <w:color w:val="auto"/>
              </w:rPr>
            </w:pPr>
            <w:r>
              <w:rPr>
                <w:rFonts w:ascii="Arial" w:cs="Arial" w:eastAsia="Arial" w:hAnsi="Arial"/>
                <w:sz w:val="16"/>
                <w:szCs w:val="16"/>
                <w:b w:val="1"/>
                <w:bCs w:val="1"/>
                <w:color w:val="auto"/>
              </w:rPr>
              <w:t>Threshold</w:t>
            </w:r>
          </w:p>
        </w:tc>
        <w:tc>
          <w:tcPr>
            <w:tcW w:w="1920" w:type="dxa"/>
            <w:vAlign w:val="bottom"/>
            <w:gridSpan w:val="4"/>
            <w:shd w:val="clear" w:color="auto" w:fill="E5F1F9"/>
          </w:tcPr>
          <w:p>
            <w:pPr>
              <w:spacing w:after="0"/>
              <w:rPr>
                <w:sz w:val="20"/>
                <w:szCs w:val="20"/>
                <w:color w:val="auto"/>
              </w:rPr>
            </w:pPr>
            <w:r>
              <w:rPr>
                <w:rFonts w:ascii="Arial" w:cs="Arial" w:eastAsia="Arial" w:hAnsi="Arial"/>
                <w:sz w:val="16"/>
                <w:szCs w:val="16"/>
                <w:b w:val="1"/>
                <w:bCs w:val="1"/>
                <w:color w:val="auto"/>
              </w:rPr>
              <w:t>Target</w:t>
            </w:r>
          </w:p>
        </w:tc>
        <w:tc>
          <w:tcPr>
            <w:tcW w:w="2380" w:type="dxa"/>
            <w:vAlign w:val="bottom"/>
            <w:gridSpan w:val="5"/>
            <w:shd w:val="clear" w:color="auto" w:fill="E5F1F9"/>
          </w:tcPr>
          <w:p>
            <w:pPr>
              <w:ind w:left="280"/>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20"/>
        </w:trPr>
        <w:tc>
          <w:tcPr>
            <w:tcW w:w="2520" w:type="dxa"/>
            <w:vAlign w:val="bottom"/>
            <w:shd w:val="clear" w:color="auto" w:fill="E5F1F9"/>
          </w:tcPr>
          <w:p>
            <w:pPr>
              <w:spacing w:after="0" w:line="20" w:lineRule="exact"/>
              <w:rPr>
                <w:sz w:val="1"/>
                <w:szCs w:val="1"/>
                <w:color w:val="auto"/>
              </w:rPr>
            </w:pPr>
          </w:p>
        </w:tc>
        <w:tc>
          <w:tcPr>
            <w:tcW w:w="1440" w:type="dxa"/>
            <w:vAlign w:val="bottom"/>
            <w:shd w:val="clear" w:color="auto" w:fill="E5F1F9"/>
          </w:tcPr>
          <w:p>
            <w:pPr>
              <w:spacing w:after="0" w:line="20" w:lineRule="exact"/>
              <w:rPr>
                <w:sz w:val="1"/>
                <w:szCs w:val="1"/>
                <w:color w:val="auto"/>
              </w:rPr>
            </w:pPr>
          </w:p>
        </w:tc>
        <w:tc>
          <w:tcPr>
            <w:tcW w:w="100" w:type="dxa"/>
            <w:vAlign w:val="bottom"/>
            <w:shd w:val="clear" w:color="auto" w:fill="E5F1F9"/>
          </w:tcPr>
          <w:p>
            <w:pPr>
              <w:spacing w:after="0" w:line="20" w:lineRule="exact"/>
              <w:rPr>
                <w:sz w:val="1"/>
                <w:szCs w:val="1"/>
                <w:color w:val="auto"/>
              </w:rPr>
            </w:pPr>
          </w:p>
        </w:tc>
        <w:tc>
          <w:tcPr>
            <w:tcW w:w="800" w:type="dxa"/>
            <w:vAlign w:val="bottom"/>
            <w:tcBorders>
              <w:right w:val="single" w:sz="8" w:color="E5F1F9"/>
            </w:tcBorders>
            <w:shd w:val="clear" w:color="auto" w:fill="000000"/>
          </w:tcPr>
          <w:p>
            <w:pPr>
              <w:spacing w:after="0" w:line="20" w:lineRule="exact"/>
              <w:rPr>
                <w:sz w:val="1"/>
                <w:szCs w:val="1"/>
                <w:color w:val="auto"/>
              </w:rPr>
            </w:pPr>
          </w:p>
        </w:tc>
        <w:tc>
          <w:tcPr>
            <w:tcW w:w="800" w:type="dxa"/>
            <w:vAlign w:val="bottom"/>
            <w:shd w:val="clear" w:color="auto" w:fill="E5F1F9"/>
          </w:tcPr>
          <w:p>
            <w:pPr>
              <w:spacing w:after="0" w:line="20" w:lineRule="exact"/>
              <w:rPr>
                <w:sz w:val="1"/>
                <w:szCs w:val="1"/>
                <w:color w:val="auto"/>
              </w:rPr>
            </w:pPr>
          </w:p>
        </w:tc>
        <w:tc>
          <w:tcPr>
            <w:tcW w:w="1060" w:type="dxa"/>
            <w:vAlign w:val="bottom"/>
            <w:shd w:val="clear" w:color="auto" w:fill="E5F1F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E5F1F9"/>
          </w:tcPr>
          <w:p>
            <w:pPr>
              <w:spacing w:after="0" w:line="20" w:lineRule="exact"/>
              <w:rPr>
                <w:sz w:val="1"/>
                <w:szCs w:val="1"/>
                <w:color w:val="auto"/>
              </w:rPr>
            </w:pPr>
          </w:p>
        </w:tc>
        <w:tc>
          <w:tcPr>
            <w:tcW w:w="480" w:type="dxa"/>
            <w:vAlign w:val="bottom"/>
            <w:shd w:val="clear" w:color="auto" w:fill="E5F1F9"/>
          </w:tcPr>
          <w:p>
            <w:pPr>
              <w:spacing w:after="0" w:line="20" w:lineRule="exact"/>
              <w:rPr>
                <w:sz w:val="1"/>
                <w:szCs w:val="1"/>
                <w:color w:val="auto"/>
              </w:rPr>
            </w:pPr>
          </w:p>
        </w:tc>
        <w:tc>
          <w:tcPr>
            <w:tcW w:w="880" w:type="dxa"/>
            <w:vAlign w:val="bottom"/>
            <w:shd w:val="clear" w:color="auto" w:fill="E5F1F9"/>
          </w:tcPr>
          <w:p>
            <w:pPr>
              <w:spacing w:after="0" w:line="20" w:lineRule="exact"/>
              <w:rPr>
                <w:sz w:val="1"/>
                <w:szCs w:val="1"/>
                <w:color w:val="auto"/>
              </w:rPr>
            </w:pPr>
          </w:p>
        </w:tc>
        <w:tc>
          <w:tcPr>
            <w:tcW w:w="280" w:type="dxa"/>
            <w:vAlign w:val="bottom"/>
            <w:shd w:val="clear" w:color="auto" w:fill="E5F1F9"/>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E5F1F9"/>
          </w:tcPr>
          <w:p>
            <w:pPr>
              <w:spacing w:after="0" w:line="20" w:lineRule="exact"/>
              <w:rPr>
                <w:sz w:val="1"/>
                <w:szCs w:val="1"/>
                <w:color w:val="auto"/>
              </w:rPr>
            </w:pPr>
          </w:p>
        </w:tc>
        <w:tc>
          <w:tcPr>
            <w:tcW w:w="1020" w:type="dxa"/>
            <w:vAlign w:val="bottom"/>
            <w:shd w:val="clear" w:color="auto" w:fill="E5F1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520" w:type="dxa"/>
            <w:vAlign w:val="bottom"/>
            <w:vMerge w:val="restart"/>
            <w:shd w:val="clear" w:color="auto" w:fill="E5F1F9"/>
          </w:tcPr>
          <w:p>
            <w:pPr>
              <w:spacing w:after="0"/>
              <w:rPr>
                <w:sz w:val="20"/>
                <w:szCs w:val="20"/>
                <w:color w:val="auto"/>
              </w:rPr>
            </w:pPr>
            <w:r>
              <w:rPr>
                <w:rFonts w:ascii="Arial" w:cs="Arial" w:eastAsia="Arial" w:hAnsi="Arial"/>
                <w:sz w:val="16"/>
                <w:szCs w:val="16"/>
                <w:color w:val="auto"/>
              </w:rPr>
              <w:t>  Performance Goals &amp; Payouts</w:t>
            </w:r>
          </w:p>
        </w:tc>
        <w:tc>
          <w:tcPr>
            <w:tcW w:w="1440" w:type="dxa"/>
            <w:vAlign w:val="bottom"/>
            <w:shd w:val="clear" w:color="auto" w:fill="E5F1F9"/>
          </w:tcPr>
          <w:p>
            <w:pPr>
              <w:ind w:left="340"/>
              <w:spacing w:after="0"/>
              <w:rPr>
                <w:sz w:val="20"/>
                <w:szCs w:val="20"/>
                <w:color w:val="auto"/>
              </w:rPr>
            </w:pPr>
            <w:r>
              <w:rPr>
                <w:rFonts w:ascii="Arial" w:cs="Arial" w:eastAsia="Arial" w:hAnsi="Arial"/>
                <w:sz w:val="16"/>
                <w:szCs w:val="16"/>
                <w:color w:val="auto"/>
              </w:rPr>
              <w:t>Goal</w:t>
            </w:r>
          </w:p>
        </w:tc>
        <w:tc>
          <w:tcPr>
            <w:tcW w:w="2760" w:type="dxa"/>
            <w:vAlign w:val="bottom"/>
            <w:gridSpan w:val="4"/>
            <w:shd w:val="clear" w:color="auto" w:fill="E5F1F9"/>
          </w:tcPr>
          <w:p>
            <w:pPr>
              <w:ind w:left="100"/>
              <w:spacing w:after="0" w:line="264" w:lineRule="exact"/>
              <w:rPr>
                <w:sz w:val="20"/>
                <w:szCs w:val="20"/>
                <w:color w:val="auto"/>
              </w:rPr>
            </w:pPr>
            <w:r>
              <w:rPr>
                <w:rFonts w:ascii="Arial" w:cs="Arial" w:eastAsia="Arial" w:hAnsi="Arial"/>
                <w:sz w:val="16"/>
                <w:szCs w:val="16"/>
                <w:color w:val="auto"/>
              </w:rPr>
              <w:t>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tc>
        <w:tc>
          <w:tcPr>
            <w:tcW w:w="1920" w:type="dxa"/>
            <w:vAlign w:val="bottom"/>
            <w:gridSpan w:val="4"/>
            <w:shd w:val="clear" w:color="auto" w:fill="E5F1F9"/>
          </w:tcPr>
          <w:p>
            <w:pPr>
              <w:spacing w:after="0" w:line="264" w:lineRule="exact"/>
              <w:rPr>
                <w:sz w:val="20"/>
                <w:szCs w:val="20"/>
                <w:color w:val="auto"/>
              </w:rPr>
            </w:pPr>
            <w:r>
              <w:rPr>
                <w:rFonts w:ascii="Arial" w:cs="Arial" w:eastAsia="Arial" w:hAnsi="Arial"/>
                <w:sz w:val="16"/>
                <w:szCs w:val="16"/>
                <w:color w:val="auto"/>
              </w:rPr>
              <w:t>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tc>
        <w:tc>
          <w:tcPr>
            <w:tcW w:w="2380" w:type="dxa"/>
            <w:vAlign w:val="bottom"/>
            <w:gridSpan w:val="5"/>
            <w:shd w:val="clear" w:color="auto" w:fill="E5F1F9"/>
          </w:tcPr>
          <w:p>
            <w:pPr>
              <w:ind w:left="280"/>
              <w:spacing w:after="0" w:line="264" w:lineRule="exact"/>
              <w:rPr>
                <w:sz w:val="20"/>
                <w:szCs w:val="20"/>
                <w:color w:val="auto"/>
              </w:rPr>
            </w:pPr>
            <w:r>
              <w:rPr>
                <w:rFonts w:ascii="Arial" w:cs="Arial" w:eastAsia="Arial" w:hAnsi="Arial"/>
                <w:sz w:val="16"/>
                <w:szCs w:val="16"/>
                <w:color w:val="auto"/>
              </w:rPr>
              <w:t>75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tc>
        <w:tc>
          <w:tcPr>
            <w:tcW w:w="0" w:type="dxa"/>
            <w:vAlign w:val="bottom"/>
          </w:tcPr>
          <w:p>
            <w:pPr>
              <w:spacing w:after="0"/>
              <w:rPr>
                <w:sz w:val="1"/>
                <w:szCs w:val="1"/>
                <w:color w:val="auto"/>
              </w:rPr>
            </w:pPr>
          </w:p>
        </w:tc>
      </w:tr>
      <w:tr>
        <w:trPr>
          <w:trHeight w:val="215"/>
        </w:trPr>
        <w:tc>
          <w:tcPr>
            <w:tcW w:w="2520" w:type="dxa"/>
            <w:vAlign w:val="bottom"/>
            <w:vMerge w:val="continue"/>
            <w:shd w:val="clear" w:color="auto" w:fill="E5F1F9"/>
          </w:tcPr>
          <w:p>
            <w:pPr>
              <w:spacing w:after="0"/>
              <w:rPr>
                <w:sz w:val="18"/>
                <w:szCs w:val="18"/>
                <w:color w:val="auto"/>
              </w:rPr>
            </w:pPr>
          </w:p>
        </w:tc>
        <w:tc>
          <w:tcPr>
            <w:tcW w:w="1440" w:type="dxa"/>
            <w:vAlign w:val="bottom"/>
            <w:shd w:val="clear" w:color="auto" w:fill="E5F1F9"/>
          </w:tcPr>
          <w:p>
            <w:pPr>
              <w:ind w:left="340"/>
              <w:spacing w:after="0"/>
              <w:rPr>
                <w:sz w:val="20"/>
                <w:szCs w:val="20"/>
                <w:color w:val="auto"/>
              </w:rPr>
            </w:pPr>
            <w:r>
              <w:rPr>
                <w:rFonts w:ascii="Arial" w:cs="Arial" w:eastAsia="Arial" w:hAnsi="Arial"/>
                <w:sz w:val="16"/>
                <w:szCs w:val="16"/>
                <w:color w:val="auto"/>
              </w:rPr>
              <w:t>Payout</w:t>
            </w:r>
          </w:p>
        </w:tc>
        <w:tc>
          <w:tcPr>
            <w:tcW w:w="2760" w:type="dxa"/>
            <w:vAlign w:val="bottom"/>
            <w:gridSpan w:val="4"/>
            <w:shd w:val="clear" w:color="auto" w:fill="E5F1F9"/>
          </w:tcPr>
          <w:p>
            <w:pPr>
              <w:ind w:left="100"/>
              <w:spacing w:after="0"/>
              <w:rPr>
                <w:sz w:val="20"/>
                <w:szCs w:val="20"/>
                <w:color w:val="auto"/>
              </w:rPr>
            </w:pPr>
            <w:r>
              <w:rPr>
                <w:rFonts w:ascii="Arial" w:cs="Arial" w:eastAsia="Arial" w:hAnsi="Arial"/>
                <w:sz w:val="16"/>
                <w:szCs w:val="16"/>
                <w:color w:val="auto"/>
              </w:rPr>
              <w:t>25% of Target</w:t>
            </w:r>
          </w:p>
        </w:tc>
        <w:tc>
          <w:tcPr>
            <w:tcW w:w="1920" w:type="dxa"/>
            <w:vAlign w:val="bottom"/>
            <w:gridSpan w:val="4"/>
            <w:shd w:val="clear" w:color="auto" w:fill="E5F1F9"/>
          </w:tcPr>
          <w:p>
            <w:pPr>
              <w:spacing w:after="0"/>
              <w:rPr>
                <w:sz w:val="20"/>
                <w:szCs w:val="20"/>
                <w:color w:val="auto"/>
              </w:rPr>
            </w:pPr>
            <w:r>
              <w:rPr>
                <w:rFonts w:ascii="Arial" w:cs="Arial" w:eastAsia="Arial" w:hAnsi="Arial"/>
                <w:sz w:val="16"/>
                <w:szCs w:val="16"/>
                <w:color w:val="auto"/>
              </w:rPr>
              <w:t>100% of Target</w:t>
            </w:r>
          </w:p>
        </w:tc>
        <w:tc>
          <w:tcPr>
            <w:tcW w:w="2380" w:type="dxa"/>
            <w:vAlign w:val="bottom"/>
            <w:gridSpan w:val="5"/>
            <w:shd w:val="clear" w:color="auto" w:fill="E5F1F9"/>
          </w:tcPr>
          <w:p>
            <w:pPr>
              <w:ind w:left="280"/>
              <w:spacing w:after="0"/>
              <w:rPr>
                <w:sz w:val="20"/>
                <w:szCs w:val="20"/>
                <w:color w:val="auto"/>
              </w:rPr>
            </w:pPr>
            <w:r>
              <w:rPr>
                <w:rFonts w:ascii="Arial" w:cs="Arial" w:eastAsia="Arial" w:hAnsi="Arial"/>
                <w:sz w:val="16"/>
                <w:szCs w:val="16"/>
                <w:color w:val="auto"/>
              </w:rPr>
              <w:t>200% of Target</w:t>
            </w:r>
          </w:p>
        </w:tc>
        <w:tc>
          <w:tcPr>
            <w:tcW w:w="0" w:type="dxa"/>
            <w:vAlign w:val="bottom"/>
          </w:tcPr>
          <w:p>
            <w:pPr>
              <w:spacing w:after="0"/>
              <w:rPr>
                <w:sz w:val="1"/>
                <w:szCs w:val="1"/>
                <w:color w:val="auto"/>
              </w:rPr>
            </w:pPr>
          </w:p>
        </w:tc>
      </w:tr>
      <w:tr>
        <w:trPr>
          <w:trHeight w:val="217"/>
        </w:trPr>
        <w:tc>
          <w:tcPr>
            <w:tcW w:w="2520" w:type="dxa"/>
            <w:vAlign w:val="bottom"/>
            <w:shd w:val="clear" w:color="auto" w:fill="E5F1F9"/>
          </w:tcPr>
          <w:p>
            <w:pPr>
              <w:spacing w:after="0"/>
              <w:rPr>
                <w:sz w:val="18"/>
                <w:szCs w:val="18"/>
                <w:color w:val="auto"/>
              </w:rPr>
            </w:pPr>
          </w:p>
        </w:tc>
        <w:tc>
          <w:tcPr>
            <w:tcW w:w="8500" w:type="dxa"/>
            <w:vAlign w:val="bottom"/>
            <w:gridSpan w:val="14"/>
            <w:shd w:val="clear" w:color="auto" w:fill="E5F1F9"/>
          </w:tcPr>
          <w:p>
            <w:pPr>
              <w:ind w:left="340"/>
              <w:spacing w:after="0"/>
              <w:rPr>
                <w:sz w:val="20"/>
                <w:szCs w:val="20"/>
                <w:color w:val="auto"/>
              </w:rPr>
            </w:pPr>
            <w:r>
              <w:rPr>
                <w:rFonts w:ascii="Arial" w:cs="Arial" w:eastAsia="Arial" w:hAnsi="Arial"/>
                <w:sz w:val="16"/>
                <w:szCs w:val="16"/>
                <w:color w:val="auto"/>
              </w:rPr>
              <w:t>There is no payout for performance below threshold and payouts are capped at 200% of target. Payouts are</w:t>
            </w:r>
          </w:p>
        </w:tc>
        <w:tc>
          <w:tcPr>
            <w:tcW w:w="0" w:type="dxa"/>
            <w:vAlign w:val="bottom"/>
          </w:tcPr>
          <w:p>
            <w:pPr>
              <w:spacing w:after="0"/>
              <w:rPr>
                <w:sz w:val="1"/>
                <w:szCs w:val="1"/>
                <w:color w:val="auto"/>
              </w:rPr>
            </w:pPr>
          </w:p>
        </w:tc>
      </w:tr>
      <w:tr>
        <w:trPr>
          <w:trHeight w:val="237"/>
        </w:trPr>
        <w:tc>
          <w:tcPr>
            <w:tcW w:w="2520" w:type="dxa"/>
            <w:vAlign w:val="bottom"/>
            <w:tcBorders>
              <w:bottom w:val="single" w:sz="8" w:color="E5F1F9"/>
            </w:tcBorders>
            <w:shd w:val="clear" w:color="auto" w:fill="E5F1F9"/>
          </w:tcPr>
          <w:p>
            <w:pPr>
              <w:spacing w:after="0"/>
              <w:rPr>
                <w:sz w:val="20"/>
                <w:szCs w:val="20"/>
                <w:color w:val="auto"/>
              </w:rPr>
            </w:pPr>
          </w:p>
        </w:tc>
        <w:tc>
          <w:tcPr>
            <w:tcW w:w="6120" w:type="dxa"/>
            <w:vAlign w:val="bottom"/>
            <w:tcBorders>
              <w:bottom w:val="single" w:sz="8" w:color="E5F1F9"/>
            </w:tcBorders>
            <w:gridSpan w:val="9"/>
            <w:shd w:val="clear" w:color="auto" w:fill="E5F1F9"/>
          </w:tcPr>
          <w:p>
            <w:pPr>
              <w:ind w:left="340"/>
              <w:spacing w:after="0"/>
              <w:rPr>
                <w:sz w:val="20"/>
                <w:szCs w:val="20"/>
                <w:color w:val="auto"/>
              </w:rPr>
            </w:pPr>
            <w:r>
              <w:rPr>
                <w:rFonts w:ascii="Arial" w:cs="Arial" w:eastAsia="Arial" w:hAnsi="Arial"/>
                <w:sz w:val="16"/>
                <w:szCs w:val="16"/>
                <w:color w:val="auto"/>
              </w:rPr>
              <w:t>interpolated for performance between threshold, target and maximum.</w:t>
            </w:r>
          </w:p>
        </w:tc>
        <w:tc>
          <w:tcPr>
            <w:tcW w:w="280" w:type="dxa"/>
            <w:vAlign w:val="bottom"/>
            <w:tcBorders>
              <w:bottom w:val="single" w:sz="8" w:color="E5F1F9"/>
            </w:tcBorders>
            <w:shd w:val="clear" w:color="auto" w:fill="E5F1F9"/>
          </w:tcPr>
          <w:p>
            <w:pPr>
              <w:spacing w:after="0"/>
              <w:rPr>
                <w:sz w:val="20"/>
                <w:szCs w:val="20"/>
                <w:color w:val="auto"/>
              </w:rPr>
            </w:pPr>
          </w:p>
        </w:tc>
        <w:tc>
          <w:tcPr>
            <w:tcW w:w="340" w:type="dxa"/>
            <w:vAlign w:val="bottom"/>
            <w:tcBorders>
              <w:bottom w:val="single" w:sz="8" w:color="E5F1F9"/>
            </w:tcBorders>
            <w:shd w:val="clear" w:color="auto" w:fill="E5F1F9"/>
          </w:tcPr>
          <w:p>
            <w:pPr>
              <w:spacing w:after="0"/>
              <w:rPr>
                <w:sz w:val="20"/>
                <w:szCs w:val="20"/>
                <w:color w:val="auto"/>
              </w:rPr>
            </w:pPr>
          </w:p>
        </w:tc>
        <w:tc>
          <w:tcPr>
            <w:tcW w:w="400" w:type="dxa"/>
            <w:vAlign w:val="bottom"/>
            <w:tcBorders>
              <w:bottom w:val="single" w:sz="8" w:color="E5F1F9"/>
            </w:tcBorders>
            <w:shd w:val="clear" w:color="auto" w:fill="E5F1F9"/>
          </w:tcPr>
          <w:p>
            <w:pPr>
              <w:spacing w:after="0"/>
              <w:rPr>
                <w:sz w:val="20"/>
                <w:szCs w:val="20"/>
                <w:color w:val="auto"/>
              </w:rPr>
            </w:pPr>
          </w:p>
        </w:tc>
        <w:tc>
          <w:tcPr>
            <w:tcW w:w="340" w:type="dxa"/>
            <w:vAlign w:val="bottom"/>
            <w:tcBorders>
              <w:bottom w:val="single" w:sz="8" w:color="E5F1F9"/>
            </w:tcBorders>
            <w:shd w:val="clear" w:color="auto" w:fill="E5F1F9"/>
          </w:tcPr>
          <w:p>
            <w:pPr>
              <w:spacing w:after="0"/>
              <w:rPr>
                <w:sz w:val="20"/>
                <w:szCs w:val="20"/>
                <w:color w:val="auto"/>
              </w:rPr>
            </w:pPr>
          </w:p>
        </w:tc>
        <w:tc>
          <w:tcPr>
            <w:tcW w:w="1020" w:type="dxa"/>
            <w:vAlign w:val="bottom"/>
            <w:tcBorders>
              <w:bottom w:val="single" w:sz="8" w:color="E5F1F9"/>
            </w:tcBorders>
            <w:shd w:val="clear" w:color="auto" w:fill="E5F1F9"/>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520" w:type="dxa"/>
            <w:vAlign w:val="bottom"/>
            <w:shd w:val="clear" w:color="auto" w:fill="B2D5EE"/>
          </w:tcPr>
          <w:p>
            <w:pPr>
              <w:spacing w:after="0"/>
              <w:rPr>
                <w:sz w:val="21"/>
                <w:szCs w:val="21"/>
                <w:color w:val="auto"/>
              </w:rPr>
            </w:pPr>
          </w:p>
        </w:tc>
        <w:tc>
          <w:tcPr>
            <w:tcW w:w="8500" w:type="dxa"/>
            <w:vAlign w:val="bottom"/>
            <w:gridSpan w:val="14"/>
            <w:shd w:val="clear" w:color="auto" w:fill="B2D5EE"/>
          </w:tcPr>
          <w:p>
            <w:pPr>
              <w:ind w:left="340"/>
              <w:spacing w:after="0"/>
              <w:rPr>
                <w:sz w:val="20"/>
                <w:szCs w:val="20"/>
                <w:color w:val="auto"/>
              </w:rPr>
            </w:pPr>
            <w:r>
              <w:rPr>
                <w:rFonts w:ascii="Arial" w:cs="Arial" w:eastAsia="Arial" w:hAnsi="Arial"/>
                <w:sz w:val="16"/>
                <w:szCs w:val="16"/>
                <w:color w:val="auto"/>
              </w:rPr>
              <w:t>In the event our absolute TSR performance over the 2024-2026 period is negative, any payouts under this</w:t>
            </w:r>
          </w:p>
        </w:tc>
        <w:tc>
          <w:tcPr>
            <w:tcW w:w="0" w:type="dxa"/>
            <w:vAlign w:val="bottom"/>
          </w:tcPr>
          <w:p>
            <w:pPr>
              <w:spacing w:after="0"/>
              <w:rPr>
                <w:sz w:val="1"/>
                <w:szCs w:val="1"/>
                <w:color w:val="auto"/>
              </w:rPr>
            </w:pPr>
          </w:p>
        </w:tc>
      </w:tr>
      <w:tr>
        <w:trPr>
          <w:trHeight w:val="230"/>
        </w:trPr>
        <w:tc>
          <w:tcPr>
            <w:tcW w:w="2520" w:type="dxa"/>
            <w:vAlign w:val="bottom"/>
            <w:shd w:val="clear" w:color="auto" w:fill="B2D5EE"/>
          </w:tcPr>
          <w:p>
            <w:pPr>
              <w:spacing w:after="0"/>
              <w:rPr>
                <w:sz w:val="20"/>
                <w:szCs w:val="20"/>
                <w:color w:val="auto"/>
              </w:rPr>
            </w:pPr>
            <w:r>
              <w:rPr>
                <w:rFonts w:ascii="Arial" w:cs="Arial" w:eastAsia="Arial" w:hAnsi="Arial"/>
                <w:sz w:val="16"/>
                <w:szCs w:val="16"/>
                <w:color w:val="auto"/>
              </w:rPr>
              <w:t>  Absolute TSR Cap</w:t>
            </w:r>
          </w:p>
        </w:tc>
        <w:tc>
          <w:tcPr>
            <w:tcW w:w="6120" w:type="dxa"/>
            <w:vAlign w:val="bottom"/>
            <w:gridSpan w:val="9"/>
            <w:shd w:val="clear" w:color="auto" w:fill="B2D5EE"/>
          </w:tcPr>
          <w:p>
            <w:pPr>
              <w:ind w:left="340"/>
              <w:spacing w:after="0"/>
              <w:rPr>
                <w:sz w:val="20"/>
                <w:szCs w:val="20"/>
                <w:color w:val="auto"/>
              </w:rPr>
            </w:pPr>
            <w:r>
              <w:rPr>
                <w:rFonts w:ascii="Arial" w:cs="Arial" w:eastAsia="Arial" w:hAnsi="Arial"/>
                <w:sz w:val="16"/>
                <w:szCs w:val="16"/>
                <w:color w:val="auto"/>
              </w:rPr>
              <w:t>program will be capped at target, irrespective of rTSR performance.</w:t>
            </w:r>
          </w:p>
        </w:tc>
        <w:tc>
          <w:tcPr>
            <w:tcW w:w="280" w:type="dxa"/>
            <w:vAlign w:val="bottom"/>
            <w:shd w:val="clear" w:color="auto" w:fill="B2D5EE"/>
          </w:tcPr>
          <w:p>
            <w:pPr>
              <w:spacing w:after="0"/>
              <w:rPr>
                <w:sz w:val="20"/>
                <w:szCs w:val="20"/>
                <w:color w:val="auto"/>
              </w:rPr>
            </w:pPr>
          </w:p>
        </w:tc>
        <w:tc>
          <w:tcPr>
            <w:tcW w:w="340" w:type="dxa"/>
            <w:vAlign w:val="bottom"/>
            <w:shd w:val="clear" w:color="auto" w:fill="B2D5EE"/>
          </w:tcPr>
          <w:p>
            <w:pPr>
              <w:spacing w:after="0"/>
              <w:rPr>
                <w:sz w:val="20"/>
                <w:szCs w:val="20"/>
                <w:color w:val="auto"/>
              </w:rPr>
            </w:pPr>
          </w:p>
        </w:tc>
        <w:tc>
          <w:tcPr>
            <w:tcW w:w="400" w:type="dxa"/>
            <w:vAlign w:val="bottom"/>
            <w:shd w:val="clear" w:color="auto" w:fill="B2D5EE"/>
          </w:tcPr>
          <w:p>
            <w:pPr>
              <w:spacing w:after="0"/>
              <w:rPr>
                <w:sz w:val="20"/>
                <w:szCs w:val="20"/>
                <w:color w:val="auto"/>
              </w:rPr>
            </w:pPr>
          </w:p>
        </w:tc>
        <w:tc>
          <w:tcPr>
            <w:tcW w:w="340" w:type="dxa"/>
            <w:vAlign w:val="bottom"/>
            <w:shd w:val="clear" w:color="auto" w:fill="B2D5EE"/>
          </w:tcPr>
          <w:p>
            <w:pPr>
              <w:spacing w:after="0"/>
              <w:rPr>
                <w:sz w:val="20"/>
                <w:szCs w:val="20"/>
                <w:color w:val="auto"/>
              </w:rPr>
            </w:pPr>
          </w:p>
        </w:tc>
        <w:tc>
          <w:tcPr>
            <w:tcW w:w="1020" w:type="dxa"/>
            <w:vAlign w:val="bottom"/>
            <w:shd w:val="clear" w:color="auto" w:fill="B2D5E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52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6"/>
                <w:szCs w:val="16"/>
                <w:color w:val="FFFFFF"/>
              </w:rPr>
              <w:t>  EPS CAGR</w:t>
            </w:r>
          </w:p>
        </w:tc>
        <w:tc>
          <w:tcPr>
            <w:tcW w:w="1440" w:type="dxa"/>
            <w:vAlign w:val="bottom"/>
            <w:tcBorders>
              <w:bottom w:val="single" w:sz="8" w:color="0075C9"/>
            </w:tcBorders>
            <w:shd w:val="clear" w:color="auto" w:fill="0075C9"/>
          </w:tcPr>
          <w:p>
            <w:pPr>
              <w:ind w:left="100"/>
              <w:spacing w:after="0"/>
              <w:rPr>
                <w:sz w:val="20"/>
                <w:szCs w:val="20"/>
                <w:color w:val="auto"/>
              </w:rPr>
            </w:pPr>
            <w:r>
              <w:rPr>
                <w:rFonts w:ascii="Arial" w:cs="Arial" w:eastAsia="Arial" w:hAnsi="Arial"/>
                <w:sz w:val="16"/>
                <w:szCs w:val="16"/>
                <w:color w:val="FFFFFF"/>
              </w:rPr>
              <w:t>Description</w:t>
            </w:r>
          </w:p>
        </w:tc>
        <w:tc>
          <w:tcPr>
            <w:tcW w:w="100" w:type="dxa"/>
            <w:vAlign w:val="bottom"/>
            <w:tcBorders>
              <w:bottom w:val="single" w:sz="8" w:color="0075C9"/>
            </w:tcBorders>
            <w:shd w:val="clear" w:color="auto" w:fill="0075C9"/>
          </w:tcPr>
          <w:p>
            <w:pPr>
              <w:spacing w:after="0"/>
              <w:rPr>
                <w:sz w:val="24"/>
                <w:szCs w:val="24"/>
                <w:color w:val="auto"/>
              </w:rPr>
            </w:pPr>
          </w:p>
        </w:tc>
        <w:tc>
          <w:tcPr>
            <w:tcW w:w="800" w:type="dxa"/>
            <w:vAlign w:val="bottom"/>
            <w:tcBorders>
              <w:bottom w:val="single" w:sz="8" w:color="0075C9"/>
              <w:right w:val="single" w:sz="8" w:color="0075C9"/>
            </w:tcBorders>
            <w:shd w:val="clear" w:color="auto" w:fill="0075C9"/>
          </w:tcPr>
          <w:p>
            <w:pPr>
              <w:spacing w:after="0"/>
              <w:rPr>
                <w:sz w:val="24"/>
                <w:szCs w:val="24"/>
                <w:color w:val="auto"/>
              </w:rPr>
            </w:pPr>
          </w:p>
        </w:tc>
        <w:tc>
          <w:tcPr>
            <w:tcW w:w="800" w:type="dxa"/>
            <w:vAlign w:val="bottom"/>
            <w:tcBorders>
              <w:bottom w:val="single" w:sz="8" w:color="0075C9"/>
            </w:tcBorders>
            <w:shd w:val="clear" w:color="auto" w:fill="0075C9"/>
          </w:tcPr>
          <w:p>
            <w:pPr>
              <w:spacing w:after="0"/>
              <w:rPr>
                <w:sz w:val="24"/>
                <w:szCs w:val="24"/>
                <w:color w:val="auto"/>
              </w:rPr>
            </w:pPr>
          </w:p>
        </w:tc>
        <w:tc>
          <w:tcPr>
            <w:tcW w:w="106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880" w:type="dxa"/>
            <w:vAlign w:val="bottom"/>
            <w:tcBorders>
              <w:bottom w:val="single" w:sz="8" w:color="0075C9"/>
            </w:tcBorders>
            <w:shd w:val="clear" w:color="auto" w:fill="0075C9"/>
          </w:tcPr>
          <w:p>
            <w:pPr>
              <w:spacing w:after="0"/>
              <w:rPr>
                <w:sz w:val="24"/>
                <w:szCs w:val="24"/>
                <w:color w:val="auto"/>
              </w:rPr>
            </w:pPr>
          </w:p>
        </w:tc>
        <w:tc>
          <w:tcPr>
            <w:tcW w:w="280" w:type="dxa"/>
            <w:vAlign w:val="bottom"/>
            <w:tcBorders>
              <w:bottom w:val="single" w:sz="8" w:color="0075C9"/>
            </w:tcBorders>
            <w:shd w:val="clear" w:color="auto" w:fill="0075C9"/>
          </w:tcPr>
          <w:p>
            <w:pPr>
              <w:spacing w:after="0"/>
              <w:rPr>
                <w:sz w:val="24"/>
                <w:szCs w:val="24"/>
                <w:color w:val="auto"/>
              </w:rPr>
            </w:pPr>
          </w:p>
        </w:tc>
        <w:tc>
          <w:tcPr>
            <w:tcW w:w="340" w:type="dxa"/>
            <w:vAlign w:val="bottom"/>
            <w:tcBorders>
              <w:bottom w:val="single" w:sz="8" w:color="0075C9"/>
            </w:tcBorders>
            <w:shd w:val="clear" w:color="auto" w:fill="0075C9"/>
          </w:tcPr>
          <w:p>
            <w:pPr>
              <w:spacing w:after="0"/>
              <w:rPr>
                <w:sz w:val="24"/>
                <w:szCs w:val="24"/>
                <w:color w:val="auto"/>
              </w:rPr>
            </w:pPr>
          </w:p>
        </w:tc>
        <w:tc>
          <w:tcPr>
            <w:tcW w:w="400" w:type="dxa"/>
            <w:vAlign w:val="bottom"/>
            <w:tcBorders>
              <w:bottom w:val="single" w:sz="8" w:color="0075C9"/>
            </w:tcBorders>
            <w:shd w:val="clear" w:color="auto" w:fill="0075C9"/>
          </w:tcPr>
          <w:p>
            <w:pPr>
              <w:spacing w:after="0"/>
              <w:rPr>
                <w:sz w:val="24"/>
                <w:szCs w:val="24"/>
                <w:color w:val="auto"/>
              </w:rPr>
            </w:pPr>
          </w:p>
        </w:tc>
        <w:tc>
          <w:tcPr>
            <w:tcW w:w="340" w:type="dxa"/>
            <w:vAlign w:val="bottom"/>
            <w:tcBorders>
              <w:bottom w:val="single" w:sz="8" w:color="0075C9"/>
            </w:tcBorders>
            <w:shd w:val="clear" w:color="auto" w:fill="0075C9"/>
          </w:tcPr>
          <w:p>
            <w:pPr>
              <w:spacing w:after="0"/>
              <w:rPr>
                <w:sz w:val="24"/>
                <w:szCs w:val="24"/>
                <w:color w:val="auto"/>
              </w:rPr>
            </w:pPr>
          </w:p>
        </w:tc>
        <w:tc>
          <w:tcPr>
            <w:tcW w:w="1020" w:type="dxa"/>
            <w:vAlign w:val="bottom"/>
            <w:tcBorders>
              <w:bottom w:val="single" w:sz="8" w:color="0075C9"/>
            </w:tcBorders>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B2D5EE"/>
          </w:tcPr>
          <w:p>
            <w:pPr>
              <w:spacing w:after="0"/>
              <w:rPr>
                <w:sz w:val="20"/>
                <w:szCs w:val="20"/>
                <w:color w:val="auto"/>
              </w:rPr>
            </w:pPr>
            <w:r>
              <w:rPr>
                <w:rFonts w:ascii="Arial" w:cs="Arial" w:eastAsia="Arial" w:hAnsi="Arial"/>
                <w:sz w:val="16"/>
                <w:szCs w:val="16"/>
                <w:color w:val="auto"/>
              </w:rPr>
              <w:t>  Performance Period</w:t>
            </w:r>
          </w:p>
        </w:tc>
        <w:tc>
          <w:tcPr>
            <w:tcW w:w="6120" w:type="dxa"/>
            <w:vAlign w:val="bottom"/>
            <w:gridSpan w:val="9"/>
            <w:shd w:val="clear" w:color="auto" w:fill="B2D5EE"/>
          </w:tcPr>
          <w:p>
            <w:pPr>
              <w:ind w:left="100"/>
              <w:spacing w:after="0"/>
              <w:rPr>
                <w:sz w:val="20"/>
                <w:szCs w:val="20"/>
                <w:color w:val="auto"/>
              </w:rPr>
            </w:pPr>
            <w:r>
              <w:rPr>
                <w:rFonts w:ascii="Arial" w:cs="Arial" w:eastAsia="Arial" w:hAnsi="Arial"/>
                <w:sz w:val="16"/>
                <w:szCs w:val="16"/>
                <w:color w:val="auto"/>
              </w:rPr>
              <w:t>3-year CAGR of EPS Growth: 2024-2026 actual financial results</w:t>
            </w:r>
          </w:p>
        </w:tc>
        <w:tc>
          <w:tcPr>
            <w:tcW w:w="280" w:type="dxa"/>
            <w:vAlign w:val="bottom"/>
            <w:shd w:val="clear" w:color="auto" w:fill="B2D5EE"/>
          </w:tcPr>
          <w:p>
            <w:pPr>
              <w:spacing w:after="0"/>
              <w:rPr>
                <w:sz w:val="22"/>
                <w:szCs w:val="22"/>
                <w:color w:val="auto"/>
              </w:rPr>
            </w:pPr>
          </w:p>
        </w:tc>
        <w:tc>
          <w:tcPr>
            <w:tcW w:w="340" w:type="dxa"/>
            <w:vAlign w:val="bottom"/>
            <w:shd w:val="clear" w:color="auto" w:fill="B2D5EE"/>
          </w:tcPr>
          <w:p>
            <w:pPr>
              <w:spacing w:after="0"/>
              <w:rPr>
                <w:sz w:val="22"/>
                <w:szCs w:val="22"/>
                <w:color w:val="auto"/>
              </w:rPr>
            </w:pPr>
          </w:p>
        </w:tc>
        <w:tc>
          <w:tcPr>
            <w:tcW w:w="400" w:type="dxa"/>
            <w:vAlign w:val="bottom"/>
            <w:shd w:val="clear" w:color="auto" w:fill="B2D5EE"/>
          </w:tcPr>
          <w:p>
            <w:pPr>
              <w:spacing w:after="0"/>
              <w:rPr>
                <w:sz w:val="22"/>
                <w:szCs w:val="22"/>
                <w:color w:val="auto"/>
              </w:rPr>
            </w:pPr>
          </w:p>
        </w:tc>
        <w:tc>
          <w:tcPr>
            <w:tcW w:w="340" w:type="dxa"/>
            <w:vAlign w:val="bottom"/>
            <w:shd w:val="clear" w:color="auto" w:fill="B2D5EE"/>
          </w:tcPr>
          <w:p>
            <w:pPr>
              <w:spacing w:after="0"/>
              <w:rPr>
                <w:sz w:val="22"/>
                <w:szCs w:val="22"/>
                <w:color w:val="auto"/>
              </w:rPr>
            </w:pPr>
          </w:p>
        </w:tc>
        <w:tc>
          <w:tcPr>
            <w:tcW w:w="1020" w:type="dxa"/>
            <w:vAlign w:val="bottom"/>
            <w:shd w:val="clear" w:color="auto" w:fill="B2D5E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20" w:type="dxa"/>
            <w:vAlign w:val="bottom"/>
            <w:shd w:val="clear" w:color="auto" w:fill="E5F1F9"/>
          </w:tcPr>
          <w:p>
            <w:pPr>
              <w:spacing w:after="0"/>
              <w:rPr>
                <w:sz w:val="23"/>
                <w:szCs w:val="23"/>
                <w:color w:val="auto"/>
              </w:rPr>
            </w:pPr>
          </w:p>
        </w:tc>
        <w:tc>
          <w:tcPr>
            <w:tcW w:w="4200" w:type="dxa"/>
            <w:vAlign w:val="bottom"/>
            <w:gridSpan w:val="5"/>
            <w:shd w:val="clear" w:color="auto" w:fill="E5F1F9"/>
          </w:tcPr>
          <w:p>
            <w:pPr>
              <w:ind w:left="100"/>
              <w:spacing w:after="0"/>
              <w:rPr>
                <w:sz w:val="20"/>
                <w:szCs w:val="20"/>
                <w:color w:val="auto"/>
              </w:rPr>
            </w:pPr>
            <w:r>
              <w:rPr>
                <w:rFonts w:ascii="Arial" w:cs="Arial" w:eastAsia="Arial" w:hAnsi="Arial"/>
                <w:sz w:val="16"/>
                <w:szCs w:val="16"/>
                <w:color w:val="auto"/>
              </w:rPr>
              <w:t>Goal payouts based on various levels of EPS CAGR</w:t>
            </w:r>
          </w:p>
        </w:tc>
        <w:tc>
          <w:tcPr>
            <w:tcW w:w="480" w:type="dxa"/>
            <w:vAlign w:val="bottom"/>
            <w:shd w:val="clear" w:color="auto" w:fill="E5F1F9"/>
          </w:tcPr>
          <w:p>
            <w:pPr>
              <w:spacing w:after="0"/>
              <w:rPr>
                <w:sz w:val="23"/>
                <w:szCs w:val="23"/>
                <w:color w:val="auto"/>
              </w:rPr>
            </w:pPr>
          </w:p>
        </w:tc>
        <w:tc>
          <w:tcPr>
            <w:tcW w:w="80" w:type="dxa"/>
            <w:vAlign w:val="bottom"/>
            <w:shd w:val="clear" w:color="auto" w:fill="E5F1F9"/>
          </w:tcPr>
          <w:p>
            <w:pPr>
              <w:spacing w:after="0"/>
              <w:rPr>
                <w:sz w:val="23"/>
                <w:szCs w:val="23"/>
                <w:color w:val="auto"/>
              </w:rPr>
            </w:pPr>
          </w:p>
        </w:tc>
        <w:tc>
          <w:tcPr>
            <w:tcW w:w="480" w:type="dxa"/>
            <w:vAlign w:val="bottom"/>
            <w:shd w:val="clear" w:color="auto" w:fill="E5F1F9"/>
          </w:tcPr>
          <w:p>
            <w:pPr>
              <w:spacing w:after="0"/>
              <w:rPr>
                <w:sz w:val="23"/>
                <w:szCs w:val="23"/>
                <w:color w:val="auto"/>
              </w:rPr>
            </w:pPr>
          </w:p>
        </w:tc>
        <w:tc>
          <w:tcPr>
            <w:tcW w:w="880" w:type="dxa"/>
            <w:vAlign w:val="bottom"/>
            <w:shd w:val="clear" w:color="auto" w:fill="E5F1F9"/>
          </w:tcPr>
          <w:p>
            <w:pPr>
              <w:spacing w:after="0"/>
              <w:rPr>
                <w:sz w:val="23"/>
                <w:szCs w:val="23"/>
                <w:color w:val="auto"/>
              </w:rPr>
            </w:pPr>
          </w:p>
        </w:tc>
        <w:tc>
          <w:tcPr>
            <w:tcW w:w="280" w:type="dxa"/>
            <w:vAlign w:val="bottom"/>
            <w:shd w:val="clear" w:color="auto" w:fill="E5F1F9"/>
          </w:tcPr>
          <w:p>
            <w:pPr>
              <w:spacing w:after="0"/>
              <w:rPr>
                <w:sz w:val="23"/>
                <w:szCs w:val="23"/>
                <w:color w:val="auto"/>
              </w:rPr>
            </w:pPr>
          </w:p>
        </w:tc>
        <w:tc>
          <w:tcPr>
            <w:tcW w:w="340" w:type="dxa"/>
            <w:vAlign w:val="bottom"/>
            <w:shd w:val="clear" w:color="auto" w:fill="E5F1F9"/>
          </w:tcPr>
          <w:p>
            <w:pPr>
              <w:spacing w:after="0"/>
              <w:rPr>
                <w:sz w:val="23"/>
                <w:szCs w:val="23"/>
                <w:color w:val="auto"/>
              </w:rPr>
            </w:pPr>
          </w:p>
        </w:tc>
        <w:tc>
          <w:tcPr>
            <w:tcW w:w="400" w:type="dxa"/>
            <w:vAlign w:val="bottom"/>
            <w:shd w:val="clear" w:color="auto" w:fill="E5F1F9"/>
          </w:tcPr>
          <w:p>
            <w:pPr>
              <w:spacing w:after="0"/>
              <w:rPr>
                <w:sz w:val="23"/>
                <w:szCs w:val="23"/>
                <w:color w:val="auto"/>
              </w:rPr>
            </w:pPr>
          </w:p>
        </w:tc>
        <w:tc>
          <w:tcPr>
            <w:tcW w:w="340" w:type="dxa"/>
            <w:vAlign w:val="bottom"/>
            <w:shd w:val="clear" w:color="auto" w:fill="E5F1F9"/>
          </w:tcPr>
          <w:p>
            <w:pPr>
              <w:spacing w:after="0"/>
              <w:rPr>
                <w:sz w:val="23"/>
                <w:szCs w:val="23"/>
                <w:color w:val="auto"/>
              </w:rPr>
            </w:pPr>
          </w:p>
        </w:tc>
        <w:tc>
          <w:tcPr>
            <w:tcW w:w="1020" w:type="dxa"/>
            <w:vAlign w:val="bottom"/>
            <w:shd w:val="clear" w:color="auto" w:fill="E5F1F9"/>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E5F1F9"/>
          </w:tcPr>
          <w:p>
            <w:pPr>
              <w:spacing w:after="0"/>
              <w:rPr>
                <w:sz w:val="20"/>
                <w:szCs w:val="20"/>
                <w:color w:val="auto"/>
              </w:rPr>
            </w:pPr>
            <w:r>
              <w:rPr>
                <w:rFonts w:ascii="Arial" w:cs="Arial" w:eastAsia="Arial" w:hAnsi="Arial"/>
                <w:sz w:val="16"/>
                <w:szCs w:val="16"/>
                <w:color w:val="auto"/>
              </w:rPr>
              <w:t>  Performance Goals &amp; Payouts</w:t>
            </w:r>
          </w:p>
        </w:tc>
        <w:tc>
          <w:tcPr>
            <w:tcW w:w="1440" w:type="dxa"/>
            <w:vAlign w:val="bottom"/>
            <w:shd w:val="clear" w:color="auto" w:fill="E5F1F9"/>
          </w:tcPr>
          <w:p>
            <w:pPr>
              <w:spacing w:after="0"/>
              <w:rPr>
                <w:sz w:val="18"/>
                <w:szCs w:val="18"/>
                <w:color w:val="auto"/>
              </w:rPr>
            </w:pPr>
          </w:p>
        </w:tc>
        <w:tc>
          <w:tcPr>
            <w:tcW w:w="100" w:type="dxa"/>
            <w:vAlign w:val="bottom"/>
            <w:shd w:val="clear" w:color="auto" w:fill="E5F1F9"/>
          </w:tcPr>
          <w:p>
            <w:pPr>
              <w:spacing w:after="0"/>
              <w:rPr>
                <w:sz w:val="18"/>
                <w:szCs w:val="18"/>
                <w:color w:val="auto"/>
              </w:rPr>
            </w:pPr>
          </w:p>
        </w:tc>
        <w:tc>
          <w:tcPr>
            <w:tcW w:w="800" w:type="dxa"/>
            <w:vAlign w:val="bottom"/>
            <w:tcBorders>
              <w:right w:val="single" w:sz="8" w:color="E5F1F9"/>
            </w:tcBorders>
            <w:shd w:val="clear" w:color="auto" w:fill="E5F1F9"/>
          </w:tcPr>
          <w:p>
            <w:pPr>
              <w:spacing w:after="0"/>
              <w:rPr>
                <w:sz w:val="18"/>
                <w:szCs w:val="18"/>
                <w:color w:val="auto"/>
              </w:rPr>
            </w:pPr>
          </w:p>
        </w:tc>
        <w:tc>
          <w:tcPr>
            <w:tcW w:w="800" w:type="dxa"/>
            <w:vAlign w:val="bottom"/>
            <w:shd w:val="clear" w:color="auto" w:fill="E5F1F9"/>
          </w:tcPr>
          <w:p>
            <w:pPr>
              <w:spacing w:after="0"/>
              <w:rPr>
                <w:sz w:val="20"/>
                <w:szCs w:val="20"/>
                <w:color w:val="auto"/>
              </w:rPr>
            </w:pPr>
            <w:r>
              <w:rPr>
                <w:rFonts w:ascii="Arial" w:cs="Arial" w:eastAsia="Arial" w:hAnsi="Arial"/>
                <w:sz w:val="16"/>
                <w:szCs w:val="16"/>
                <w:b w:val="1"/>
                <w:bCs w:val="1"/>
                <w:color w:val="auto"/>
              </w:rPr>
              <w:t>Threshold</w:t>
            </w:r>
          </w:p>
        </w:tc>
        <w:tc>
          <w:tcPr>
            <w:tcW w:w="1060" w:type="dxa"/>
            <w:vAlign w:val="bottom"/>
            <w:shd w:val="clear" w:color="auto" w:fill="E5F1F9"/>
          </w:tcPr>
          <w:p>
            <w:pPr>
              <w:spacing w:after="0"/>
              <w:rPr>
                <w:sz w:val="18"/>
                <w:szCs w:val="18"/>
                <w:color w:val="auto"/>
              </w:rPr>
            </w:pPr>
          </w:p>
        </w:tc>
        <w:tc>
          <w:tcPr>
            <w:tcW w:w="480" w:type="dxa"/>
            <w:vAlign w:val="bottom"/>
            <w:shd w:val="clear" w:color="auto" w:fill="E5F1F9"/>
          </w:tcPr>
          <w:p>
            <w:pPr>
              <w:spacing w:after="0"/>
              <w:rPr>
                <w:sz w:val="18"/>
                <w:szCs w:val="18"/>
                <w:color w:val="auto"/>
              </w:rPr>
            </w:pPr>
          </w:p>
        </w:tc>
        <w:tc>
          <w:tcPr>
            <w:tcW w:w="80" w:type="dxa"/>
            <w:vAlign w:val="bottom"/>
            <w:shd w:val="clear" w:color="auto" w:fill="E5F1F9"/>
          </w:tcPr>
          <w:p>
            <w:pPr>
              <w:spacing w:after="0"/>
              <w:rPr>
                <w:sz w:val="18"/>
                <w:szCs w:val="18"/>
                <w:color w:val="auto"/>
              </w:rPr>
            </w:pPr>
          </w:p>
        </w:tc>
        <w:tc>
          <w:tcPr>
            <w:tcW w:w="1360" w:type="dxa"/>
            <w:vAlign w:val="bottom"/>
            <w:gridSpan w:val="2"/>
            <w:shd w:val="clear" w:color="auto" w:fill="E5F1F9"/>
          </w:tcPr>
          <w:p>
            <w:pPr>
              <w:spacing w:after="0"/>
              <w:rPr>
                <w:sz w:val="20"/>
                <w:szCs w:val="20"/>
                <w:color w:val="auto"/>
              </w:rPr>
            </w:pPr>
            <w:r>
              <w:rPr>
                <w:rFonts w:ascii="Arial" w:cs="Arial" w:eastAsia="Arial" w:hAnsi="Arial"/>
                <w:sz w:val="16"/>
                <w:szCs w:val="16"/>
                <w:b w:val="1"/>
                <w:bCs w:val="1"/>
                <w:color w:val="auto"/>
              </w:rPr>
              <w:t>Target</w:t>
            </w:r>
          </w:p>
        </w:tc>
        <w:tc>
          <w:tcPr>
            <w:tcW w:w="280" w:type="dxa"/>
            <w:vAlign w:val="bottom"/>
            <w:shd w:val="clear" w:color="auto" w:fill="E5F1F9"/>
          </w:tcPr>
          <w:p>
            <w:pPr>
              <w:spacing w:after="0"/>
              <w:rPr>
                <w:sz w:val="18"/>
                <w:szCs w:val="18"/>
                <w:color w:val="auto"/>
              </w:rPr>
            </w:pPr>
          </w:p>
        </w:tc>
        <w:tc>
          <w:tcPr>
            <w:tcW w:w="340" w:type="dxa"/>
            <w:vAlign w:val="bottom"/>
            <w:shd w:val="clear" w:color="auto" w:fill="E5F1F9"/>
          </w:tcPr>
          <w:p>
            <w:pPr>
              <w:spacing w:after="0"/>
              <w:rPr>
                <w:sz w:val="18"/>
                <w:szCs w:val="18"/>
                <w:color w:val="auto"/>
              </w:rPr>
            </w:pPr>
          </w:p>
        </w:tc>
        <w:tc>
          <w:tcPr>
            <w:tcW w:w="1760" w:type="dxa"/>
            <w:vAlign w:val="bottom"/>
            <w:gridSpan w:val="3"/>
            <w:shd w:val="clear" w:color="auto" w:fill="E5F1F9"/>
          </w:tcPr>
          <w:p>
            <w:pPr>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20"/>
        </w:trPr>
        <w:tc>
          <w:tcPr>
            <w:tcW w:w="2520" w:type="dxa"/>
            <w:vAlign w:val="bottom"/>
            <w:shd w:val="clear" w:color="auto" w:fill="E5F1F9"/>
          </w:tcPr>
          <w:p>
            <w:pPr>
              <w:spacing w:after="0" w:line="20" w:lineRule="exact"/>
              <w:rPr>
                <w:sz w:val="1"/>
                <w:szCs w:val="1"/>
                <w:color w:val="auto"/>
              </w:rPr>
            </w:pPr>
          </w:p>
        </w:tc>
        <w:tc>
          <w:tcPr>
            <w:tcW w:w="1440" w:type="dxa"/>
            <w:vAlign w:val="bottom"/>
            <w:shd w:val="clear" w:color="auto" w:fill="E5F1F9"/>
          </w:tcPr>
          <w:p>
            <w:pPr>
              <w:spacing w:after="0" w:line="20" w:lineRule="exact"/>
              <w:rPr>
                <w:sz w:val="1"/>
                <w:szCs w:val="1"/>
                <w:color w:val="auto"/>
              </w:rPr>
            </w:pPr>
          </w:p>
        </w:tc>
        <w:tc>
          <w:tcPr>
            <w:tcW w:w="100" w:type="dxa"/>
            <w:vAlign w:val="bottom"/>
            <w:shd w:val="clear" w:color="auto" w:fill="E5F1F9"/>
          </w:tcPr>
          <w:p>
            <w:pPr>
              <w:spacing w:after="0" w:line="20" w:lineRule="exact"/>
              <w:rPr>
                <w:sz w:val="1"/>
                <w:szCs w:val="1"/>
                <w:color w:val="auto"/>
              </w:rPr>
            </w:pPr>
          </w:p>
        </w:tc>
        <w:tc>
          <w:tcPr>
            <w:tcW w:w="800" w:type="dxa"/>
            <w:vAlign w:val="bottom"/>
            <w:tcBorders>
              <w:right w:val="single" w:sz="8" w:color="E5F1F9"/>
            </w:tcBorders>
            <w:shd w:val="clear" w:color="auto" w:fill="E5F1F9"/>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shd w:val="clear" w:color="auto" w:fill="E5F1F9"/>
          </w:tcPr>
          <w:p>
            <w:pPr>
              <w:spacing w:after="0" w:line="20" w:lineRule="exact"/>
              <w:rPr>
                <w:sz w:val="1"/>
                <w:szCs w:val="1"/>
                <w:color w:val="auto"/>
              </w:rPr>
            </w:pPr>
          </w:p>
        </w:tc>
        <w:tc>
          <w:tcPr>
            <w:tcW w:w="480" w:type="dxa"/>
            <w:vAlign w:val="bottom"/>
            <w:shd w:val="clear" w:color="auto" w:fill="E5F1F9"/>
          </w:tcPr>
          <w:p>
            <w:pPr>
              <w:spacing w:after="0" w:line="20" w:lineRule="exact"/>
              <w:rPr>
                <w:sz w:val="1"/>
                <w:szCs w:val="1"/>
                <w:color w:val="auto"/>
              </w:rPr>
            </w:pPr>
          </w:p>
        </w:tc>
        <w:tc>
          <w:tcPr>
            <w:tcW w:w="80" w:type="dxa"/>
            <w:vAlign w:val="bottom"/>
            <w:shd w:val="clear" w:color="auto" w:fill="E5F1F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E5F1F9"/>
          </w:tcPr>
          <w:p>
            <w:pPr>
              <w:spacing w:after="0" w:line="20" w:lineRule="exact"/>
              <w:rPr>
                <w:sz w:val="1"/>
                <w:szCs w:val="1"/>
                <w:color w:val="auto"/>
              </w:rPr>
            </w:pPr>
          </w:p>
        </w:tc>
        <w:tc>
          <w:tcPr>
            <w:tcW w:w="280" w:type="dxa"/>
            <w:vAlign w:val="bottom"/>
            <w:shd w:val="clear" w:color="auto" w:fill="E5F1F9"/>
          </w:tcPr>
          <w:p>
            <w:pPr>
              <w:spacing w:after="0" w:line="20" w:lineRule="exact"/>
              <w:rPr>
                <w:sz w:val="1"/>
                <w:szCs w:val="1"/>
                <w:color w:val="auto"/>
              </w:rPr>
            </w:pPr>
          </w:p>
        </w:tc>
        <w:tc>
          <w:tcPr>
            <w:tcW w:w="340" w:type="dxa"/>
            <w:vAlign w:val="bottom"/>
            <w:shd w:val="clear" w:color="auto" w:fill="E5F1F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E5F1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520" w:type="dxa"/>
            <w:vAlign w:val="bottom"/>
            <w:shd w:val="clear" w:color="auto" w:fill="E5F1F9"/>
          </w:tcPr>
          <w:p>
            <w:pPr>
              <w:spacing w:after="0"/>
              <w:rPr>
                <w:sz w:val="23"/>
                <w:szCs w:val="23"/>
                <w:color w:val="auto"/>
              </w:rPr>
            </w:pPr>
          </w:p>
        </w:tc>
        <w:tc>
          <w:tcPr>
            <w:tcW w:w="1440" w:type="dxa"/>
            <w:vAlign w:val="bottom"/>
            <w:shd w:val="clear" w:color="auto" w:fill="E5F1F9"/>
          </w:tcPr>
          <w:p>
            <w:pPr>
              <w:ind w:left="100"/>
              <w:spacing w:after="0"/>
              <w:rPr>
                <w:sz w:val="20"/>
                <w:szCs w:val="20"/>
                <w:color w:val="auto"/>
              </w:rPr>
            </w:pPr>
            <w:r>
              <w:rPr>
                <w:rFonts w:ascii="Arial" w:cs="Arial" w:eastAsia="Arial" w:hAnsi="Arial"/>
                <w:sz w:val="16"/>
                <w:szCs w:val="16"/>
                <w:color w:val="auto"/>
              </w:rPr>
              <w:t>Payout</w:t>
            </w:r>
          </w:p>
        </w:tc>
        <w:tc>
          <w:tcPr>
            <w:tcW w:w="100" w:type="dxa"/>
            <w:vAlign w:val="bottom"/>
            <w:shd w:val="clear" w:color="auto" w:fill="E5F1F9"/>
          </w:tcPr>
          <w:p>
            <w:pPr>
              <w:spacing w:after="0"/>
              <w:rPr>
                <w:sz w:val="23"/>
                <w:szCs w:val="23"/>
                <w:color w:val="auto"/>
              </w:rPr>
            </w:pPr>
          </w:p>
        </w:tc>
        <w:tc>
          <w:tcPr>
            <w:tcW w:w="800" w:type="dxa"/>
            <w:vAlign w:val="bottom"/>
            <w:tcBorders>
              <w:right w:val="single" w:sz="8" w:color="E5F1F9"/>
            </w:tcBorders>
            <w:shd w:val="clear" w:color="auto" w:fill="E5F1F9"/>
          </w:tcPr>
          <w:p>
            <w:pPr>
              <w:spacing w:after="0"/>
              <w:rPr>
                <w:sz w:val="23"/>
                <w:szCs w:val="23"/>
                <w:color w:val="auto"/>
              </w:rPr>
            </w:pPr>
          </w:p>
        </w:tc>
        <w:tc>
          <w:tcPr>
            <w:tcW w:w="1860" w:type="dxa"/>
            <w:vAlign w:val="bottom"/>
            <w:gridSpan w:val="2"/>
            <w:shd w:val="clear" w:color="auto" w:fill="E5F1F9"/>
          </w:tcPr>
          <w:p>
            <w:pPr>
              <w:spacing w:after="0"/>
              <w:rPr>
                <w:sz w:val="20"/>
                <w:szCs w:val="20"/>
                <w:color w:val="auto"/>
              </w:rPr>
            </w:pPr>
            <w:r>
              <w:rPr>
                <w:rFonts w:ascii="Arial" w:cs="Arial" w:eastAsia="Arial" w:hAnsi="Arial"/>
                <w:sz w:val="16"/>
                <w:szCs w:val="16"/>
                <w:color w:val="auto"/>
              </w:rPr>
              <w:t>50% of Target</w:t>
            </w:r>
          </w:p>
        </w:tc>
        <w:tc>
          <w:tcPr>
            <w:tcW w:w="480" w:type="dxa"/>
            <w:vAlign w:val="bottom"/>
            <w:shd w:val="clear" w:color="auto" w:fill="E5F1F9"/>
          </w:tcPr>
          <w:p>
            <w:pPr>
              <w:spacing w:after="0"/>
              <w:rPr>
                <w:sz w:val="23"/>
                <w:szCs w:val="23"/>
                <w:color w:val="auto"/>
              </w:rPr>
            </w:pPr>
          </w:p>
        </w:tc>
        <w:tc>
          <w:tcPr>
            <w:tcW w:w="80" w:type="dxa"/>
            <w:vAlign w:val="bottom"/>
            <w:shd w:val="clear" w:color="auto" w:fill="E5F1F9"/>
          </w:tcPr>
          <w:p>
            <w:pPr>
              <w:spacing w:after="0"/>
              <w:rPr>
                <w:sz w:val="23"/>
                <w:szCs w:val="23"/>
                <w:color w:val="auto"/>
              </w:rPr>
            </w:pPr>
          </w:p>
        </w:tc>
        <w:tc>
          <w:tcPr>
            <w:tcW w:w="1360" w:type="dxa"/>
            <w:vAlign w:val="bottom"/>
            <w:gridSpan w:val="2"/>
            <w:shd w:val="clear" w:color="auto" w:fill="E5F1F9"/>
          </w:tcPr>
          <w:p>
            <w:pPr>
              <w:spacing w:after="0"/>
              <w:rPr>
                <w:sz w:val="20"/>
                <w:szCs w:val="20"/>
                <w:color w:val="auto"/>
              </w:rPr>
            </w:pPr>
            <w:r>
              <w:rPr>
                <w:rFonts w:ascii="Arial" w:cs="Arial" w:eastAsia="Arial" w:hAnsi="Arial"/>
                <w:sz w:val="16"/>
                <w:szCs w:val="16"/>
                <w:color w:val="auto"/>
              </w:rPr>
              <w:t>100% of Target</w:t>
            </w:r>
          </w:p>
        </w:tc>
        <w:tc>
          <w:tcPr>
            <w:tcW w:w="280" w:type="dxa"/>
            <w:vAlign w:val="bottom"/>
            <w:shd w:val="clear" w:color="auto" w:fill="E5F1F9"/>
          </w:tcPr>
          <w:p>
            <w:pPr>
              <w:spacing w:after="0"/>
              <w:rPr>
                <w:sz w:val="23"/>
                <w:szCs w:val="23"/>
                <w:color w:val="auto"/>
              </w:rPr>
            </w:pPr>
          </w:p>
        </w:tc>
        <w:tc>
          <w:tcPr>
            <w:tcW w:w="340" w:type="dxa"/>
            <w:vAlign w:val="bottom"/>
            <w:shd w:val="clear" w:color="auto" w:fill="E5F1F9"/>
          </w:tcPr>
          <w:p>
            <w:pPr>
              <w:spacing w:after="0"/>
              <w:rPr>
                <w:sz w:val="23"/>
                <w:szCs w:val="23"/>
                <w:color w:val="auto"/>
              </w:rPr>
            </w:pPr>
          </w:p>
        </w:tc>
        <w:tc>
          <w:tcPr>
            <w:tcW w:w="1760" w:type="dxa"/>
            <w:vAlign w:val="bottom"/>
            <w:gridSpan w:val="3"/>
            <w:shd w:val="clear" w:color="auto" w:fill="E5F1F9"/>
          </w:tcPr>
          <w:p>
            <w:pPr>
              <w:spacing w:after="0"/>
              <w:rPr>
                <w:sz w:val="20"/>
                <w:szCs w:val="20"/>
                <w:color w:val="auto"/>
              </w:rPr>
            </w:pPr>
            <w:r>
              <w:rPr>
                <w:rFonts w:ascii="Arial" w:cs="Arial" w:eastAsia="Arial" w:hAnsi="Arial"/>
                <w:sz w:val="16"/>
                <w:szCs w:val="16"/>
                <w:color w:val="auto"/>
              </w:rPr>
              <w:t>200% of Target</w:t>
            </w:r>
          </w:p>
        </w:tc>
        <w:tc>
          <w:tcPr>
            <w:tcW w:w="0" w:type="dxa"/>
            <w:vAlign w:val="bottom"/>
          </w:tcPr>
          <w:p>
            <w:pPr>
              <w:spacing w:after="0"/>
              <w:rPr>
                <w:sz w:val="1"/>
                <w:szCs w:val="1"/>
                <w:color w:val="auto"/>
              </w:rPr>
            </w:pPr>
          </w:p>
        </w:tc>
      </w:tr>
      <w:tr>
        <w:trPr>
          <w:trHeight w:val="56"/>
        </w:trPr>
        <w:tc>
          <w:tcPr>
            <w:tcW w:w="2520" w:type="dxa"/>
            <w:vAlign w:val="bottom"/>
            <w:shd w:val="clear" w:color="auto" w:fill="E5F1F9"/>
          </w:tcPr>
          <w:p>
            <w:pPr>
              <w:spacing w:after="0"/>
              <w:rPr>
                <w:sz w:val="4"/>
                <w:szCs w:val="4"/>
                <w:color w:val="auto"/>
              </w:rPr>
            </w:pPr>
          </w:p>
        </w:tc>
        <w:tc>
          <w:tcPr>
            <w:tcW w:w="1440" w:type="dxa"/>
            <w:vAlign w:val="bottom"/>
            <w:shd w:val="clear" w:color="auto" w:fill="E5F1F9"/>
          </w:tcPr>
          <w:p>
            <w:pPr>
              <w:spacing w:after="0"/>
              <w:rPr>
                <w:sz w:val="4"/>
                <w:szCs w:val="4"/>
                <w:color w:val="auto"/>
              </w:rPr>
            </w:pPr>
          </w:p>
        </w:tc>
        <w:tc>
          <w:tcPr>
            <w:tcW w:w="100" w:type="dxa"/>
            <w:vAlign w:val="bottom"/>
            <w:shd w:val="clear" w:color="auto" w:fill="E5F1F9"/>
          </w:tcPr>
          <w:p>
            <w:pPr>
              <w:spacing w:after="0"/>
              <w:rPr>
                <w:sz w:val="4"/>
                <w:szCs w:val="4"/>
                <w:color w:val="auto"/>
              </w:rPr>
            </w:pPr>
          </w:p>
        </w:tc>
        <w:tc>
          <w:tcPr>
            <w:tcW w:w="800" w:type="dxa"/>
            <w:vAlign w:val="bottom"/>
            <w:tcBorders>
              <w:right w:val="single" w:sz="8" w:color="E5F1F9"/>
            </w:tcBorders>
            <w:shd w:val="clear" w:color="auto" w:fill="E5F1F9"/>
          </w:tcPr>
          <w:p>
            <w:pPr>
              <w:spacing w:after="0"/>
              <w:rPr>
                <w:sz w:val="4"/>
                <w:szCs w:val="4"/>
                <w:color w:val="auto"/>
              </w:rPr>
            </w:pPr>
          </w:p>
        </w:tc>
        <w:tc>
          <w:tcPr>
            <w:tcW w:w="800" w:type="dxa"/>
            <w:vAlign w:val="bottom"/>
            <w:shd w:val="clear" w:color="auto" w:fill="E5F1F9"/>
          </w:tcPr>
          <w:p>
            <w:pPr>
              <w:spacing w:after="0"/>
              <w:rPr>
                <w:sz w:val="4"/>
                <w:szCs w:val="4"/>
                <w:color w:val="auto"/>
              </w:rPr>
            </w:pPr>
          </w:p>
        </w:tc>
        <w:tc>
          <w:tcPr>
            <w:tcW w:w="1060" w:type="dxa"/>
            <w:vAlign w:val="bottom"/>
            <w:shd w:val="clear" w:color="auto" w:fill="E5F1F9"/>
          </w:tcPr>
          <w:p>
            <w:pPr>
              <w:spacing w:after="0"/>
              <w:rPr>
                <w:sz w:val="4"/>
                <w:szCs w:val="4"/>
                <w:color w:val="auto"/>
              </w:rPr>
            </w:pPr>
          </w:p>
        </w:tc>
        <w:tc>
          <w:tcPr>
            <w:tcW w:w="480" w:type="dxa"/>
            <w:vAlign w:val="bottom"/>
            <w:shd w:val="clear" w:color="auto" w:fill="E5F1F9"/>
          </w:tcPr>
          <w:p>
            <w:pPr>
              <w:spacing w:after="0"/>
              <w:rPr>
                <w:sz w:val="4"/>
                <w:szCs w:val="4"/>
                <w:color w:val="auto"/>
              </w:rPr>
            </w:pPr>
          </w:p>
        </w:tc>
        <w:tc>
          <w:tcPr>
            <w:tcW w:w="80" w:type="dxa"/>
            <w:vAlign w:val="bottom"/>
            <w:shd w:val="clear" w:color="auto" w:fill="E5F1F9"/>
          </w:tcPr>
          <w:p>
            <w:pPr>
              <w:spacing w:after="0"/>
              <w:rPr>
                <w:sz w:val="4"/>
                <w:szCs w:val="4"/>
                <w:color w:val="auto"/>
              </w:rPr>
            </w:pPr>
          </w:p>
        </w:tc>
        <w:tc>
          <w:tcPr>
            <w:tcW w:w="480" w:type="dxa"/>
            <w:vAlign w:val="bottom"/>
            <w:shd w:val="clear" w:color="auto" w:fill="E5F1F9"/>
          </w:tcPr>
          <w:p>
            <w:pPr>
              <w:spacing w:after="0"/>
              <w:rPr>
                <w:sz w:val="4"/>
                <w:szCs w:val="4"/>
                <w:color w:val="auto"/>
              </w:rPr>
            </w:pPr>
          </w:p>
        </w:tc>
        <w:tc>
          <w:tcPr>
            <w:tcW w:w="880" w:type="dxa"/>
            <w:vAlign w:val="bottom"/>
            <w:shd w:val="clear" w:color="auto" w:fill="E5F1F9"/>
          </w:tcPr>
          <w:p>
            <w:pPr>
              <w:spacing w:after="0"/>
              <w:rPr>
                <w:sz w:val="4"/>
                <w:szCs w:val="4"/>
                <w:color w:val="auto"/>
              </w:rPr>
            </w:pPr>
          </w:p>
        </w:tc>
        <w:tc>
          <w:tcPr>
            <w:tcW w:w="280" w:type="dxa"/>
            <w:vAlign w:val="bottom"/>
            <w:shd w:val="clear" w:color="auto" w:fill="E5F1F9"/>
          </w:tcPr>
          <w:p>
            <w:pPr>
              <w:spacing w:after="0"/>
              <w:rPr>
                <w:sz w:val="4"/>
                <w:szCs w:val="4"/>
                <w:color w:val="auto"/>
              </w:rPr>
            </w:pPr>
          </w:p>
        </w:tc>
        <w:tc>
          <w:tcPr>
            <w:tcW w:w="340" w:type="dxa"/>
            <w:vAlign w:val="bottom"/>
            <w:shd w:val="clear" w:color="auto" w:fill="E5F1F9"/>
          </w:tcPr>
          <w:p>
            <w:pPr>
              <w:spacing w:after="0"/>
              <w:rPr>
                <w:sz w:val="4"/>
                <w:szCs w:val="4"/>
                <w:color w:val="auto"/>
              </w:rPr>
            </w:pPr>
          </w:p>
        </w:tc>
        <w:tc>
          <w:tcPr>
            <w:tcW w:w="400" w:type="dxa"/>
            <w:vAlign w:val="bottom"/>
            <w:shd w:val="clear" w:color="auto" w:fill="E5F1F9"/>
          </w:tcPr>
          <w:p>
            <w:pPr>
              <w:spacing w:after="0"/>
              <w:rPr>
                <w:sz w:val="4"/>
                <w:szCs w:val="4"/>
                <w:color w:val="auto"/>
              </w:rPr>
            </w:pPr>
          </w:p>
        </w:tc>
        <w:tc>
          <w:tcPr>
            <w:tcW w:w="340" w:type="dxa"/>
            <w:vAlign w:val="bottom"/>
            <w:shd w:val="clear" w:color="auto" w:fill="E5F1F9"/>
          </w:tcPr>
          <w:p>
            <w:pPr>
              <w:spacing w:after="0"/>
              <w:rPr>
                <w:sz w:val="4"/>
                <w:szCs w:val="4"/>
                <w:color w:val="auto"/>
              </w:rPr>
            </w:pPr>
          </w:p>
        </w:tc>
        <w:tc>
          <w:tcPr>
            <w:tcW w:w="1020" w:type="dxa"/>
            <w:vAlign w:val="bottom"/>
            <w:shd w:val="clear" w:color="auto" w:fill="E5F1F9"/>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2023 LTI Program</w:t>
      </w:r>
    </w:p>
    <w:p>
      <w:pPr>
        <w:spacing w:after="0" w:line="108"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Our LTI program for our executive officers in 2023 consisted of PSUs and RSUs, with the annual LTI total target grant date value split evenly between PSUs and RSUs (assuming target performance on PSUs). The performance metric for the 2023 PSUs was a three-year cumulative rTSR metric. The 2023 PSUs vested on the third anniversary of the date of grant, with the number of PSUs earned based on the cumulative rTSR metric. The actual value of PSUs was not realized by our NEOs until the three-year period ended and then only if the applicable performance goals were achieved. At the beginning of the three-year period for our 2023 PSU awards, our CMDC approved the targets for the metric.</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280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6"/>
                <w:szCs w:val="16"/>
                <w:color w:val="FFFFFF"/>
              </w:rPr>
              <w:t>  rTSR</w:t>
            </w:r>
          </w:p>
        </w:tc>
        <w:tc>
          <w:tcPr>
            <w:tcW w:w="1160" w:type="dxa"/>
            <w:vAlign w:val="bottom"/>
            <w:tcBorders>
              <w:bottom w:val="single" w:sz="8" w:color="0075C9"/>
            </w:tcBorders>
            <w:shd w:val="clear" w:color="auto" w:fill="0075C9"/>
          </w:tcPr>
          <w:p>
            <w:pPr>
              <w:ind w:left="60"/>
              <w:spacing w:after="0"/>
              <w:rPr>
                <w:sz w:val="20"/>
                <w:szCs w:val="20"/>
                <w:color w:val="auto"/>
              </w:rPr>
            </w:pPr>
            <w:r>
              <w:rPr>
                <w:rFonts w:ascii="Arial" w:cs="Arial" w:eastAsia="Arial" w:hAnsi="Arial"/>
                <w:sz w:val="16"/>
                <w:szCs w:val="16"/>
                <w:color w:val="FFFFFF"/>
              </w:rPr>
              <w:t>Description</w:t>
            </w:r>
          </w:p>
        </w:tc>
        <w:tc>
          <w:tcPr>
            <w:tcW w:w="100" w:type="dxa"/>
            <w:vAlign w:val="bottom"/>
            <w:tcBorders>
              <w:bottom w:val="single" w:sz="8" w:color="0075C9"/>
            </w:tcBorders>
            <w:shd w:val="clear" w:color="auto" w:fill="0075C9"/>
          </w:tcPr>
          <w:p>
            <w:pPr>
              <w:spacing w:after="0"/>
              <w:rPr>
                <w:sz w:val="24"/>
                <w:szCs w:val="24"/>
                <w:color w:val="auto"/>
              </w:rPr>
            </w:pPr>
          </w:p>
        </w:tc>
        <w:tc>
          <w:tcPr>
            <w:tcW w:w="780" w:type="dxa"/>
            <w:vAlign w:val="bottom"/>
            <w:tcBorders>
              <w:bottom w:val="single" w:sz="8" w:color="0075C9"/>
            </w:tcBorders>
            <w:shd w:val="clear" w:color="auto" w:fill="0075C9"/>
          </w:tcPr>
          <w:p>
            <w:pPr>
              <w:spacing w:after="0"/>
              <w:rPr>
                <w:sz w:val="24"/>
                <w:szCs w:val="24"/>
                <w:color w:val="auto"/>
              </w:rPr>
            </w:pPr>
          </w:p>
        </w:tc>
        <w:tc>
          <w:tcPr>
            <w:tcW w:w="188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1200" w:type="dxa"/>
            <w:vAlign w:val="bottom"/>
            <w:tcBorders>
              <w:bottom w:val="single" w:sz="8" w:color="0075C9"/>
            </w:tcBorders>
            <w:shd w:val="clear" w:color="auto" w:fill="0075C9"/>
          </w:tcPr>
          <w:p>
            <w:pPr>
              <w:spacing w:after="0"/>
              <w:rPr>
                <w:sz w:val="24"/>
                <w:szCs w:val="24"/>
                <w:color w:val="auto"/>
              </w:rPr>
            </w:pPr>
          </w:p>
        </w:tc>
        <w:tc>
          <w:tcPr>
            <w:tcW w:w="520" w:type="dxa"/>
            <w:vAlign w:val="bottom"/>
            <w:tcBorders>
              <w:bottom w:val="single" w:sz="8" w:color="0075C9"/>
            </w:tcBorders>
            <w:shd w:val="clear" w:color="auto" w:fill="0075C9"/>
          </w:tcPr>
          <w:p>
            <w:pPr>
              <w:spacing w:after="0"/>
              <w:rPr>
                <w:sz w:val="24"/>
                <w:szCs w:val="24"/>
                <w:color w:val="auto"/>
              </w:rPr>
            </w:pPr>
          </w:p>
        </w:tc>
        <w:tc>
          <w:tcPr>
            <w:tcW w:w="740" w:type="dxa"/>
            <w:vAlign w:val="bottom"/>
            <w:tcBorders>
              <w:bottom w:val="single" w:sz="8" w:color="0075C9"/>
            </w:tcBorders>
            <w:shd w:val="clear" w:color="auto" w:fill="0075C9"/>
          </w:tcPr>
          <w:p>
            <w:pPr>
              <w:spacing w:after="0"/>
              <w:rPr>
                <w:sz w:val="24"/>
                <w:szCs w:val="24"/>
                <w:color w:val="auto"/>
              </w:rPr>
            </w:pPr>
          </w:p>
        </w:tc>
        <w:tc>
          <w:tcPr>
            <w:tcW w:w="1360" w:type="dxa"/>
            <w:vAlign w:val="bottom"/>
            <w:tcBorders>
              <w:bottom w:val="single" w:sz="8" w:color="0075C9"/>
            </w:tcBorders>
            <w:shd w:val="clear" w:color="auto" w:fill="0075C9"/>
          </w:tcPr>
          <w:p>
            <w:pPr>
              <w:spacing w:after="0"/>
              <w:rPr>
                <w:sz w:val="24"/>
                <w:szCs w:val="24"/>
                <w:color w:val="auto"/>
              </w:rPr>
            </w:pPr>
          </w:p>
        </w:tc>
      </w:tr>
      <w:tr>
        <w:trPr>
          <w:trHeight w:val="304"/>
        </w:trPr>
        <w:tc>
          <w:tcPr>
            <w:tcW w:w="2800" w:type="dxa"/>
            <w:vAlign w:val="bottom"/>
            <w:tcBorders>
              <w:bottom w:val="single" w:sz="8" w:color="E5F1F9"/>
            </w:tcBorders>
            <w:shd w:val="clear" w:color="auto" w:fill="E5F1F9"/>
          </w:tcPr>
          <w:p>
            <w:pPr>
              <w:spacing w:after="0"/>
              <w:rPr>
                <w:sz w:val="20"/>
                <w:szCs w:val="20"/>
                <w:color w:val="auto"/>
              </w:rPr>
            </w:pPr>
            <w:r>
              <w:rPr>
                <w:rFonts w:ascii="Arial" w:cs="Arial" w:eastAsia="Arial" w:hAnsi="Arial"/>
                <w:sz w:val="16"/>
                <w:szCs w:val="16"/>
                <w:color w:val="auto"/>
              </w:rPr>
              <w:t>  rTSR Comparison Group</w:t>
            </w:r>
          </w:p>
        </w:tc>
        <w:tc>
          <w:tcPr>
            <w:tcW w:w="5600" w:type="dxa"/>
            <w:vAlign w:val="bottom"/>
            <w:tcBorders>
              <w:bottom w:val="single" w:sz="8" w:color="E5F1F9"/>
            </w:tcBorders>
            <w:gridSpan w:val="6"/>
            <w:shd w:val="clear" w:color="auto" w:fill="E5F1F9"/>
          </w:tcPr>
          <w:p>
            <w:pPr>
              <w:ind w:left="60"/>
              <w:spacing w:after="0"/>
              <w:rPr>
                <w:sz w:val="20"/>
                <w:szCs w:val="20"/>
                <w:color w:val="auto"/>
              </w:rPr>
            </w:pPr>
            <w:r>
              <w:rPr>
                <w:rFonts w:ascii="Arial" w:cs="Arial" w:eastAsia="Arial" w:hAnsi="Arial"/>
                <w:sz w:val="16"/>
                <w:szCs w:val="16"/>
                <w:color w:val="auto"/>
              </w:rPr>
              <w:t>Peer group used for executive compensation benchmarking in 2023</w:t>
            </w:r>
          </w:p>
        </w:tc>
        <w:tc>
          <w:tcPr>
            <w:tcW w:w="520" w:type="dxa"/>
            <w:vAlign w:val="bottom"/>
            <w:tcBorders>
              <w:bottom w:val="single" w:sz="8" w:color="E5F1F9"/>
            </w:tcBorders>
            <w:shd w:val="clear" w:color="auto" w:fill="E5F1F9"/>
          </w:tcPr>
          <w:p>
            <w:pPr>
              <w:spacing w:after="0"/>
              <w:rPr>
                <w:sz w:val="24"/>
                <w:szCs w:val="24"/>
                <w:color w:val="auto"/>
              </w:rPr>
            </w:pPr>
          </w:p>
        </w:tc>
        <w:tc>
          <w:tcPr>
            <w:tcW w:w="740" w:type="dxa"/>
            <w:vAlign w:val="bottom"/>
            <w:tcBorders>
              <w:bottom w:val="single" w:sz="8" w:color="E5F1F9"/>
            </w:tcBorders>
            <w:shd w:val="clear" w:color="auto" w:fill="E5F1F9"/>
          </w:tcPr>
          <w:p>
            <w:pPr>
              <w:spacing w:after="0"/>
              <w:rPr>
                <w:sz w:val="24"/>
                <w:szCs w:val="24"/>
                <w:color w:val="auto"/>
              </w:rPr>
            </w:pPr>
          </w:p>
        </w:tc>
        <w:tc>
          <w:tcPr>
            <w:tcW w:w="1360" w:type="dxa"/>
            <w:vAlign w:val="bottom"/>
            <w:tcBorders>
              <w:bottom w:val="single" w:sz="8" w:color="E5F1F9"/>
            </w:tcBorders>
            <w:shd w:val="clear" w:color="auto" w:fill="E5F1F9"/>
          </w:tcPr>
          <w:p>
            <w:pPr>
              <w:spacing w:after="0"/>
              <w:rPr>
                <w:sz w:val="24"/>
                <w:szCs w:val="24"/>
                <w:color w:val="auto"/>
              </w:rPr>
            </w:pPr>
          </w:p>
        </w:tc>
      </w:tr>
      <w:tr>
        <w:trPr>
          <w:trHeight w:val="257"/>
        </w:trPr>
        <w:tc>
          <w:tcPr>
            <w:tcW w:w="2800" w:type="dxa"/>
            <w:vAlign w:val="bottom"/>
            <w:shd w:val="clear" w:color="auto" w:fill="B2D5EE"/>
          </w:tcPr>
          <w:p>
            <w:pPr>
              <w:spacing w:after="0"/>
              <w:rPr>
                <w:sz w:val="20"/>
                <w:szCs w:val="20"/>
                <w:color w:val="auto"/>
              </w:rPr>
            </w:pPr>
            <w:r>
              <w:rPr>
                <w:rFonts w:ascii="Arial" w:cs="Arial" w:eastAsia="Arial" w:hAnsi="Arial"/>
                <w:sz w:val="16"/>
                <w:szCs w:val="16"/>
                <w:color w:val="auto"/>
              </w:rPr>
              <w:t>  Performance Period</w:t>
            </w:r>
          </w:p>
        </w:tc>
        <w:tc>
          <w:tcPr>
            <w:tcW w:w="3920" w:type="dxa"/>
            <w:vAlign w:val="bottom"/>
            <w:gridSpan w:val="4"/>
            <w:shd w:val="clear" w:color="auto" w:fill="B2D5EE"/>
          </w:tcPr>
          <w:p>
            <w:pPr>
              <w:ind w:left="60"/>
              <w:spacing w:after="0"/>
              <w:rPr>
                <w:sz w:val="20"/>
                <w:szCs w:val="20"/>
                <w:color w:val="auto"/>
              </w:rPr>
            </w:pPr>
            <w:r>
              <w:rPr>
                <w:rFonts w:ascii="Arial" w:cs="Arial" w:eastAsia="Arial" w:hAnsi="Arial"/>
                <w:sz w:val="16"/>
                <w:szCs w:val="16"/>
                <w:color w:val="auto"/>
              </w:rPr>
              <w:t>3 years: 2023-2025</w:t>
            </w:r>
          </w:p>
        </w:tc>
        <w:tc>
          <w:tcPr>
            <w:tcW w:w="480" w:type="dxa"/>
            <w:vAlign w:val="bottom"/>
            <w:shd w:val="clear" w:color="auto" w:fill="B2D5EE"/>
          </w:tcPr>
          <w:p>
            <w:pPr>
              <w:spacing w:after="0"/>
              <w:rPr>
                <w:sz w:val="22"/>
                <w:szCs w:val="22"/>
                <w:color w:val="auto"/>
              </w:rPr>
            </w:pPr>
          </w:p>
        </w:tc>
        <w:tc>
          <w:tcPr>
            <w:tcW w:w="1200" w:type="dxa"/>
            <w:vAlign w:val="bottom"/>
            <w:shd w:val="clear" w:color="auto" w:fill="B2D5EE"/>
          </w:tcPr>
          <w:p>
            <w:pPr>
              <w:spacing w:after="0"/>
              <w:rPr>
                <w:sz w:val="22"/>
                <w:szCs w:val="22"/>
                <w:color w:val="auto"/>
              </w:rPr>
            </w:pPr>
          </w:p>
        </w:tc>
        <w:tc>
          <w:tcPr>
            <w:tcW w:w="520" w:type="dxa"/>
            <w:vAlign w:val="bottom"/>
            <w:shd w:val="clear" w:color="auto" w:fill="B2D5EE"/>
          </w:tcPr>
          <w:p>
            <w:pPr>
              <w:spacing w:after="0"/>
              <w:rPr>
                <w:sz w:val="22"/>
                <w:szCs w:val="22"/>
                <w:color w:val="auto"/>
              </w:rPr>
            </w:pPr>
          </w:p>
        </w:tc>
        <w:tc>
          <w:tcPr>
            <w:tcW w:w="740" w:type="dxa"/>
            <w:vAlign w:val="bottom"/>
            <w:shd w:val="clear" w:color="auto" w:fill="B2D5EE"/>
          </w:tcPr>
          <w:p>
            <w:pPr>
              <w:spacing w:after="0"/>
              <w:rPr>
                <w:sz w:val="22"/>
                <w:szCs w:val="22"/>
                <w:color w:val="auto"/>
              </w:rPr>
            </w:pPr>
          </w:p>
        </w:tc>
        <w:tc>
          <w:tcPr>
            <w:tcW w:w="1360" w:type="dxa"/>
            <w:vAlign w:val="bottom"/>
            <w:shd w:val="clear" w:color="auto" w:fill="B2D5EE"/>
          </w:tcPr>
          <w:p>
            <w:pPr>
              <w:spacing w:after="0"/>
              <w:rPr>
                <w:sz w:val="22"/>
                <w:szCs w:val="22"/>
                <w:color w:val="auto"/>
              </w:rPr>
            </w:pPr>
          </w:p>
        </w:tc>
      </w:tr>
      <w:tr>
        <w:trPr>
          <w:trHeight w:val="229"/>
        </w:trPr>
        <w:tc>
          <w:tcPr>
            <w:tcW w:w="2800" w:type="dxa"/>
            <w:vAlign w:val="bottom"/>
            <w:shd w:val="clear" w:color="auto" w:fill="E5F1F9"/>
          </w:tcPr>
          <w:p>
            <w:pPr>
              <w:spacing w:after="0"/>
              <w:rPr>
                <w:sz w:val="19"/>
                <w:szCs w:val="19"/>
                <w:color w:val="auto"/>
              </w:rPr>
            </w:pPr>
          </w:p>
        </w:tc>
        <w:tc>
          <w:tcPr>
            <w:tcW w:w="1160" w:type="dxa"/>
            <w:vAlign w:val="bottom"/>
            <w:shd w:val="clear" w:color="auto" w:fill="E5F1F9"/>
          </w:tcPr>
          <w:p>
            <w:pPr>
              <w:spacing w:after="0"/>
              <w:rPr>
                <w:sz w:val="19"/>
                <w:szCs w:val="19"/>
                <w:color w:val="auto"/>
              </w:rPr>
            </w:pPr>
          </w:p>
        </w:tc>
        <w:tc>
          <w:tcPr>
            <w:tcW w:w="2760" w:type="dxa"/>
            <w:vAlign w:val="bottom"/>
            <w:gridSpan w:val="3"/>
            <w:shd w:val="clear" w:color="auto" w:fill="E5F1F9"/>
          </w:tcPr>
          <w:p>
            <w:pPr>
              <w:ind w:left="100"/>
              <w:spacing w:after="0"/>
              <w:rPr>
                <w:sz w:val="20"/>
                <w:szCs w:val="20"/>
                <w:color w:val="auto"/>
              </w:rPr>
            </w:pPr>
            <w:r>
              <w:rPr>
                <w:rFonts w:ascii="Arial" w:cs="Arial" w:eastAsia="Arial" w:hAnsi="Arial"/>
                <w:sz w:val="16"/>
                <w:szCs w:val="16"/>
                <w:b w:val="1"/>
                <w:bCs w:val="1"/>
                <w:color w:val="auto"/>
              </w:rPr>
              <w:t>Threshold</w:t>
            </w:r>
          </w:p>
        </w:tc>
        <w:tc>
          <w:tcPr>
            <w:tcW w:w="1680" w:type="dxa"/>
            <w:vAlign w:val="bottom"/>
            <w:gridSpan w:val="2"/>
            <w:shd w:val="clear" w:color="auto" w:fill="E5F1F9"/>
          </w:tcPr>
          <w:p>
            <w:pPr>
              <w:spacing w:after="0"/>
              <w:rPr>
                <w:sz w:val="20"/>
                <w:szCs w:val="20"/>
                <w:color w:val="auto"/>
              </w:rPr>
            </w:pPr>
            <w:r>
              <w:rPr>
                <w:rFonts w:ascii="Arial" w:cs="Arial" w:eastAsia="Arial" w:hAnsi="Arial"/>
                <w:sz w:val="16"/>
                <w:szCs w:val="16"/>
                <w:b w:val="1"/>
                <w:bCs w:val="1"/>
                <w:color w:val="auto"/>
              </w:rPr>
              <w:t>Target</w:t>
            </w:r>
          </w:p>
        </w:tc>
        <w:tc>
          <w:tcPr>
            <w:tcW w:w="2620" w:type="dxa"/>
            <w:vAlign w:val="bottom"/>
            <w:gridSpan w:val="3"/>
            <w:shd w:val="clear" w:color="auto" w:fill="E5F1F9"/>
          </w:tcPr>
          <w:p>
            <w:pPr>
              <w:ind w:left="520"/>
              <w:spacing w:after="0"/>
              <w:rPr>
                <w:sz w:val="20"/>
                <w:szCs w:val="20"/>
                <w:color w:val="auto"/>
              </w:rPr>
            </w:pPr>
            <w:r>
              <w:rPr>
                <w:rFonts w:ascii="Arial" w:cs="Arial" w:eastAsia="Arial" w:hAnsi="Arial"/>
                <w:sz w:val="16"/>
                <w:szCs w:val="16"/>
                <w:b w:val="1"/>
                <w:bCs w:val="1"/>
                <w:color w:val="auto"/>
              </w:rPr>
              <w:t>Maximum</w:t>
            </w:r>
          </w:p>
        </w:tc>
      </w:tr>
      <w:tr>
        <w:trPr>
          <w:trHeight w:val="20"/>
        </w:trPr>
        <w:tc>
          <w:tcPr>
            <w:tcW w:w="2800" w:type="dxa"/>
            <w:vAlign w:val="bottom"/>
            <w:shd w:val="clear" w:color="auto" w:fill="E5F1F9"/>
          </w:tcPr>
          <w:p>
            <w:pPr>
              <w:spacing w:after="0" w:line="20" w:lineRule="exact"/>
              <w:rPr>
                <w:sz w:val="1"/>
                <w:szCs w:val="1"/>
                <w:color w:val="auto"/>
              </w:rPr>
            </w:pPr>
          </w:p>
        </w:tc>
        <w:tc>
          <w:tcPr>
            <w:tcW w:w="1160" w:type="dxa"/>
            <w:vAlign w:val="bottom"/>
            <w:shd w:val="clear" w:color="auto" w:fill="E5F1F9"/>
          </w:tcPr>
          <w:p>
            <w:pPr>
              <w:spacing w:after="0" w:line="20" w:lineRule="exact"/>
              <w:rPr>
                <w:sz w:val="1"/>
                <w:szCs w:val="1"/>
                <w:color w:val="auto"/>
              </w:rPr>
            </w:pPr>
          </w:p>
        </w:tc>
        <w:tc>
          <w:tcPr>
            <w:tcW w:w="100" w:type="dxa"/>
            <w:vAlign w:val="bottom"/>
            <w:shd w:val="clear" w:color="auto" w:fill="E5F1F9"/>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80" w:type="dxa"/>
            <w:vAlign w:val="bottom"/>
            <w:shd w:val="clear" w:color="auto" w:fill="E5F1F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E5F1F9"/>
          </w:tcPr>
          <w:p>
            <w:pPr>
              <w:spacing w:after="0" w:line="20" w:lineRule="exact"/>
              <w:rPr>
                <w:sz w:val="1"/>
                <w:szCs w:val="1"/>
                <w:color w:val="auto"/>
              </w:rPr>
            </w:pPr>
          </w:p>
        </w:tc>
        <w:tc>
          <w:tcPr>
            <w:tcW w:w="520" w:type="dxa"/>
            <w:vAlign w:val="bottom"/>
            <w:shd w:val="clear" w:color="auto" w:fill="E5F1F9"/>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shd w:val="clear" w:color="auto" w:fill="E5F1F9"/>
          </w:tcPr>
          <w:p>
            <w:pPr>
              <w:spacing w:after="0" w:line="20" w:lineRule="exact"/>
              <w:rPr>
                <w:sz w:val="1"/>
                <w:szCs w:val="1"/>
                <w:color w:val="auto"/>
              </w:rPr>
            </w:pPr>
          </w:p>
        </w:tc>
      </w:tr>
      <w:tr>
        <w:trPr>
          <w:trHeight w:val="264"/>
        </w:trPr>
        <w:tc>
          <w:tcPr>
            <w:tcW w:w="2800" w:type="dxa"/>
            <w:vAlign w:val="bottom"/>
            <w:shd w:val="clear" w:color="auto" w:fill="E5F1F9"/>
          </w:tcPr>
          <w:p>
            <w:pPr>
              <w:spacing w:after="0"/>
              <w:rPr>
                <w:sz w:val="22"/>
                <w:szCs w:val="22"/>
                <w:color w:val="auto"/>
              </w:rPr>
            </w:pPr>
          </w:p>
        </w:tc>
        <w:tc>
          <w:tcPr>
            <w:tcW w:w="1160" w:type="dxa"/>
            <w:vAlign w:val="bottom"/>
            <w:shd w:val="clear" w:color="auto" w:fill="E5F1F9"/>
          </w:tcPr>
          <w:p>
            <w:pPr>
              <w:ind w:left="60"/>
              <w:spacing w:after="0"/>
              <w:rPr>
                <w:sz w:val="20"/>
                <w:szCs w:val="20"/>
                <w:color w:val="auto"/>
              </w:rPr>
            </w:pPr>
            <w:r>
              <w:rPr>
                <w:rFonts w:ascii="Arial" w:cs="Arial" w:eastAsia="Arial" w:hAnsi="Arial"/>
                <w:sz w:val="16"/>
                <w:szCs w:val="16"/>
                <w:color w:val="auto"/>
              </w:rPr>
              <w:t>Goal</w:t>
            </w:r>
          </w:p>
        </w:tc>
        <w:tc>
          <w:tcPr>
            <w:tcW w:w="2760" w:type="dxa"/>
            <w:vAlign w:val="bottom"/>
            <w:gridSpan w:val="3"/>
            <w:shd w:val="clear" w:color="auto" w:fill="E5F1F9"/>
          </w:tcPr>
          <w:p>
            <w:pPr>
              <w:ind w:left="100"/>
              <w:spacing w:after="0" w:line="264" w:lineRule="exact"/>
              <w:rPr>
                <w:sz w:val="20"/>
                <w:szCs w:val="20"/>
                <w:color w:val="auto"/>
              </w:rPr>
            </w:pPr>
            <w:r>
              <w:rPr>
                <w:rFonts w:ascii="Arial" w:cs="Arial" w:eastAsia="Arial" w:hAnsi="Arial"/>
                <w:sz w:val="16"/>
                <w:szCs w:val="16"/>
                <w:color w:val="auto"/>
              </w:rPr>
              <w:t>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tc>
        <w:tc>
          <w:tcPr>
            <w:tcW w:w="1680" w:type="dxa"/>
            <w:vAlign w:val="bottom"/>
            <w:gridSpan w:val="2"/>
            <w:shd w:val="clear" w:color="auto" w:fill="E5F1F9"/>
          </w:tcPr>
          <w:p>
            <w:pPr>
              <w:spacing w:after="0" w:line="264" w:lineRule="exact"/>
              <w:rPr>
                <w:sz w:val="20"/>
                <w:szCs w:val="20"/>
                <w:color w:val="auto"/>
              </w:rPr>
            </w:pPr>
            <w:r>
              <w:rPr>
                <w:rFonts w:ascii="Arial" w:cs="Arial" w:eastAsia="Arial" w:hAnsi="Arial"/>
                <w:sz w:val="16"/>
                <w:szCs w:val="16"/>
                <w:color w:val="auto"/>
              </w:rPr>
              <w:t>55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tc>
        <w:tc>
          <w:tcPr>
            <w:tcW w:w="2620" w:type="dxa"/>
            <w:vAlign w:val="bottom"/>
            <w:gridSpan w:val="3"/>
            <w:shd w:val="clear" w:color="auto" w:fill="E5F1F9"/>
          </w:tcPr>
          <w:p>
            <w:pPr>
              <w:ind w:left="520"/>
              <w:spacing w:after="0" w:line="264" w:lineRule="exact"/>
              <w:rPr>
                <w:sz w:val="20"/>
                <w:szCs w:val="20"/>
                <w:color w:val="auto"/>
              </w:rPr>
            </w:pPr>
            <w:r>
              <w:rPr>
                <w:rFonts w:ascii="Arial" w:cs="Arial" w:eastAsia="Arial" w:hAnsi="Arial"/>
                <w:sz w:val="16"/>
                <w:szCs w:val="16"/>
                <w:color w:val="auto"/>
              </w:rPr>
              <w:t>75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tc>
      </w:tr>
      <w:tr>
        <w:trPr>
          <w:trHeight w:val="215"/>
        </w:trPr>
        <w:tc>
          <w:tcPr>
            <w:tcW w:w="2800" w:type="dxa"/>
            <w:vAlign w:val="bottom"/>
            <w:shd w:val="clear" w:color="auto" w:fill="E5F1F9"/>
          </w:tcPr>
          <w:p>
            <w:pPr>
              <w:spacing w:after="0"/>
              <w:rPr>
                <w:sz w:val="20"/>
                <w:szCs w:val="20"/>
                <w:color w:val="auto"/>
              </w:rPr>
            </w:pPr>
            <w:r>
              <w:rPr>
                <w:rFonts w:ascii="Arial" w:cs="Arial" w:eastAsia="Arial" w:hAnsi="Arial"/>
                <w:sz w:val="16"/>
                <w:szCs w:val="16"/>
                <w:color w:val="auto"/>
              </w:rPr>
              <w:t>  Performance Goals &amp; Payouts</w:t>
            </w:r>
          </w:p>
        </w:tc>
        <w:tc>
          <w:tcPr>
            <w:tcW w:w="1160" w:type="dxa"/>
            <w:vAlign w:val="bottom"/>
            <w:shd w:val="clear" w:color="auto" w:fill="E5F1F9"/>
          </w:tcPr>
          <w:p>
            <w:pPr>
              <w:ind w:left="60"/>
              <w:spacing w:after="0"/>
              <w:rPr>
                <w:sz w:val="20"/>
                <w:szCs w:val="20"/>
                <w:color w:val="auto"/>
              </w:rPr>
            </w:pPr>
            <w:r>
              <w:rPr>
                <w:rFonts w:ascii="Arial" w:cs="Arial" w:eastAsia="Arial" w:hAnsi="Arial"/>
                <w:sz w:val="16"/>
                <w:szCs w:val="16"/>
                <w:color w:val="auto"/>
              </w:rPr>
              <w:t>Payout</w:t>
            </w:r>
          </w:p>
        </w:tc>
        <w:tc>
          <w:tcPr>
            <w:tcW w:w="2760" w:type="dxa"/>
            <w:vAlign w:val="bottom"/>
            <w:gridSpan w:val="3"/>
            <w:shd w:val="clear" w:color="auto" w:fill="E5F1F9"/>
          </w:tcPr>
          <w:p>
            <w:pPr>
              <w:ind w:left="100"/>
              <w:spacing w:after="0"/>
              <w:rPr>
                <w:sz w:val="20"/>
                <w:szCs w:val="20"/>
                <w:color w:val="auto"/>
              </w:rPr>
            </w:pPr>
            <w:r>
              <w:rPr>
                <w:rFonts w:ascii="Arial" w:cs="Arial" w:eastAsia="Arial" w:hAnsi="Arial"/>
                <w:sz w:val="16"/>
                <w:szCs w:val="16"/>
                <w:color w:val="auto"/>
              </w:rPr>
              <w:t>25% of Target</w:t>
            </w:r>
          </w:p>
        </w:tc>
        <w:tc>
          <w:tcPr>
            <w:tcW w:w="1680" w:type="dxa"/>
            <w:vAlign w:val="bottom"/>
            <w:gridSpan w:val="2"/>
            <w:shd w:val="clear" w:color="auto" w:fill="E5F1F9"/>
          </w:tcPr>
          <w:p>
            <w:pPr>
              <w:spacing w:after="0"/>
              <w:rPr>
                <w:sz w:val="20"/>
                <w:szCs w:val="20"/>
                <w:color w:val="auto"/>
              </w:rPr>
            </w:pPr>
            <w:r>
              <w:rPr>
                <w:rFonts w:ascii="Arial" w:cs="Arial" w:eastAsia="Arial" w:hAnsi="Arial"/>
                <w:sz w:val="16"/>
                <w:szCs w:val="16"/>
                <w:color w:val="auto"/>
              </w:rPr>
              <w:t>100% of Target</w:t>
            </w:r>
          </w:p>
        </w:tc>
        <w:tc>
          <w:tcPr>
            <w:tcW w:w="2620" w:type="dxa"/>
            <w:vAlign w:val="bottom"/>
            <w:gridSpan w:val="3"/>
            <w:shd w:val="clear" w:color="auto" w:fill="E5F1F9"/>
          </w:tcPr>
          <w:p>
            <w:pPr>
              <w:ind w:left="520"/>
              <w:spacing w:after="0"/>
              <w:rPr>
                <w:sz w:val="20"/>
                <w:szCs w:val="20"/>
                <w:color w:val="auto"/>
              </w:rPr>
            </w:pPr>
            <w:r>
              <w:rPr>
                <w:rFonts w:ascii="Arial" w:cs="Arial" w:eastAsia="Arial" w:hAnsi="Arial"/>
                <w:sz w:val="16"/>
                <w:szCs w:val="16"/>
                <w:color w:val="auto"/>
              </w:rPr>
              <w:t>200% of Target</w:t>
            </w:r>
          </w:p>
        </w:tc>
      </w:tr>
      <w:tr>
        <w:trPr>
          <w:trHeight w:val="217"/>
        </w:trPr>
        <w:tc>
          <w:tcPr>
            <w:tcW w:w="2800" w:type="dxa"/>
            <w:vAlign w:val="bottom"/>
            <w:shd w:val="clear" w:color="auto" w:fill="E5F1F9"/>
          </w:tcPr>
          <w:p>
            <w:pPr>
              <w:spacing w:after="0"/>
              <w:rPr>
                <w:sz w:val="18"/>
                <w:szCs w:val="18"/>
                <w:color w:val="auto"/>
              </w:rPr>
            </w:pPr>
          </w:p>
        </w:tc>
        <w:tc>
          <w:tcPr>
            <w:tcW w:w="8220" w:type="dxa"/>
            <w:vAlign w:val="bottom"/>
            <w:gridSpan w:val="9"/>
            <w:shd w:val="clear" w:color="auto" w:fill="E5F1F9"/>
          </w:tcPr>
          <w:p>
            <w:pPr>
              <w:ind w:left="60"/>
              <w:spacing w:after="0"/>
              <w:rPr>
                <w:sz w:val="20"/>
                <w:szCs w:val="20"/>
                <w:color w:val="auto"/>
              </w:rPr>
            </w:pPr>
            <w:r>
              <w:rPr>
                <w:rFonts w:ascii="Arial" w:cs="Arial" w:eastAsia="Arial" w:hAnsi="Arial"/>
                <w:sz w:val="16"/>
                <w:szCs w:val="16"/>
                <w:color w:val="auto"/>
              </w:rPr>
              <w:t>There is no payout for performance below threshold and payouts are capped at 200% of target. Payouts are</w:t>
            </w:r>
          </w:p>
        </w:tc>
      </w:tr>
      <w:tr>
        <w:trPr>
          <w:trHeight w:val="251"/>
        </w:trPr>
        <w:tc>
          <w:tcPr>
            <w:tcW w:w="2800" w:type="dxa"/>
            <w:vAlign w:val="bottom"/>
            <w:tcBorders>
              <w:bottom w:val="single" w:sz="8" w:color="E5F1F9"/>
            </w:tcBorders>
            <w:shd w:val="clear" w:color="auto" w:fill="E5F1F9"/>
          </w:tcPr>
          <w:p>
            <w:pPr>
              <w:spacing w:after="0"/>
              <w:rPr>
                <w:sz w:val="21"/>
                <w:szCs w:val="21"/>
                <w:color w:val="auto"/>
              </w:rPr>
            </w:pPr>
          </w:p>
        </w:tc>
        <w:tc>
          <w:tcPr>
            <w:tcW w:w="5600" w:type="dxa"/>
            <w:vAlign w:val="bottom"/>
            <w:tcBorders>
              <w:bottom w:val="single" w:sz="8" w:color="E5F1F9"/>
            </w:tcBorders>
            <w:gridSpan w:val="6"/>
            <w:shd w:val="clear" w:color="auto" w:fill="E5F1F9"/>
          </w:tcPr>
          <w:p>
            <w:pPr>
              <w:ind w:left="60"/>
              <w:spacing w:after="0"/>
              <w:rPr>
                <w:sz w:val="20"/>
                <w:szCs w:val="20"/>
                <w:color w:val="auto"/>
              </w:rPr>
            </w:pPr>
            <w:r>
              <w:rPr>
                <w:rFonts w:ascii="Arial" w:cs="Arial" w:eastAsia="Arial" w:hAnsi="Arial"/>
                <w:sz w:val="16"/>
                <w:szCs w:val="16"/>
                <w:color w:val="auto"/>
              </w:rPr>
              <w:t>interpolated for performance between threshold, target and maximum.</w:t>
            </w:r>
          </w:p>
        </w:tc>
        <w:tc>
          <w:tcPr>
            <w:tcW w:w="520" w:type="dxa"/>
            <w:vAlign w:val="bottom"/>
            <w:tcBorders>
              <w:bottom w:val="single" w:sz="8" w:color="E5F1F9"/>
            </w:tcBorders>
            <w:shd w:val="clear" w:color="auto" w:fill="E5F1F9"/>
          </w:tcPr>
          <w:p>
            <w:pPr>
              <w:spacing w:after="0"/>
              <w:rPr>
                <w:sz w:val="21"/>
                <w:szCs w:val="21"/>
                <w:color w:val="auto"/>
              </w:rPr>
            </w:pPr>
          </w:p>
        </w:tc>
        <w:tc>
          <w:tcPr>
            <w:tcW w:w="740" w:type="dxa"/>
            <w:vAlign w:val="bottom"/>
            <w:tcBorders>
              <w:bottom w:val="single" w:sz="8" w:color="E5F1F9"/>
            </w:tcBorders>
            <w:shd w:val="clear" w:color="auto" w:fill="E5F1F9"/>
          </w:tcPr>
          <w:p>
            <w:pPr>
              <w:spacing w:after="0"/>
              <w:rPr>
                <w:sz w:val="21"/>
                <w:szCs w:val="21"/>
                <w:color w:val="auto"/>
              </w:rPr>
            </w:pPr>
          </w:p>
        </w:tc>
        <w:tc>
          <w:tcPr>
            <w:tcW w:w="1360" w:type="dxa"/>
            <w:vAlign w:val="bottom"/>
            <w:tcBorders>
              <w:bottom w:val="single" w:sz="8" w:color="E5F1F9"/>
            </w:tcBorders>
            <w:shd w:val="clear" w:color="auto" w:fill="E5F1F9"/>
          </w:tcPr>
          <w:p>
            <w:pPr>
              <w:spacing w:after="0"/>
              <w:rPr>
                <w:sz w:val="21"/>
                <w:szCs w:val="21"/>
                <w:color w:val="auto"/>
              </w:rPr>
            </w:pPr>
          </w:p>
        </w:tc>
      </w:tr>
      <w:tr>
        <w:trPr>
          <w:trHeight w:val="242"/>
        </w:trPr>
        <w:tc>
          <w:tcPr>
            <w:tcW w:w="2800" w:type="dxa"/>
            <w:vAlign w:val="bottom"/>
            <w:shd w:val="clear" w:color="auto" w:fill="B2D5EE"/>
          </w:tcPr>
          <w:p>
            <w:pPr>
              <w:spacing w:after="0"/>
              <w:rPr>
                <w:sz w:val="21"/>
                <w:szCs w:val="21"/>
                <w:color w:val="auto"/>
              </w:rPr>
            </w:pPr>
          </w:p>
        </w:tc>
        <w:tc>
          <w:tcPr>
            <w:tcW w:w="8220" w:type="dxa"/>
            <w:vAlign w:val="bottom"/>
            <w:gridSpan w:val="9"/>
            <w:shd w:val="clear" w:color="auto" w:fill="B2D5EE"/>
          </w:tcPr>
          <w:p>
            <w:pPr>
              <w:ind w:left="60"/>
              <w:spacing w:after="0"/>
              <w:rPr>
                <w:sz w:val="20"/>
                <w:szCs w:val="20"/>
                <w:color w:val="auto"/>
              </w:rPr>
            </w:pPr>
            <w:r>
              <w:rPr>
                <w:rFonts w:ascii="Arial" w:cs="Arial" w:eastAsia="Arial" w:hAnsi="Arial"/>
                <w:sz w:val="16"/>
                <w:szCs w:val="16"/>
                <w:color w:val="auto"/>
              </w:rPr>
              <w:t>In the event our absolute TSR performance over the 2023-2025 period is negative, any payouts under this</w:t>
            </w:r>
          </w:p>
        </w:tc>
      </w:tr>
      <w:tr>
        <w:trPr>
          <w:trHeight w:val="230"/>
        </w:trPr>
        <w:tc>
          <w:tcPr>
            <w:tcW w:w="2800" w:type="dxa"/>
            <w:vAlign w:val="bottom"/>
            <w:shd w:val="clear" w:color="auto" w:fill="B2D5EE"/>
          </w:tcPr>
          <w:p>
            <w:pPr>
              <w:spacing w:after="0"/>
              <w:rPr>
                <w:sz w:val="20"/>
                <w:szCs w:val="20"/>
                <w:color w:val="auto"/>
              </w:rPr>
            </w:pPr>
            <w:r>
              <w:rPr>
                <w:rFonts w:ascii="Arial" w:cs="Arial" w:eastAsia="Arial" w:hAnsi="Arial"/>
                <w:sz w:val="16"/>
                <w:szCs w:val="16"/>
                <w:color w:val="auto"/>
              </w:rPr>
              <w:t>  Absolute TSR Cap</w:t>
            </w:r>
          </w:p>
        </w:tc>
        <w:tc>
          <w:tcPr>
            <w:tcW w:w="5600" w:type="dxa"/>
            <w:vAlign w:val="bottom"/>
            <w:gridSpan w:val="6"/>
            <w:shd w:val="clear" w:color="auto" w:fill="B2D5EE"/>
          </w:tcPr>
          <w:p>
            <w:pPr>
              <w:ind w:left="60"/>
              <w:spacing w:after="0"/>
              <w:rPr>
                <w:sz w:val="20"/>
                <w:szCs w:val="20"/>
                <w:color w:val="auto"/>
              </w:rPr>
            </w:pPr>
            <w:r>
              <w:rPr>
                <w:rFonts w:ascii="Arial" w:cs="Arial" w:eastAsia="Arial" w:hAnsi="Arial"/>
                <w:sz w:val="16"/>
                <w:szCs w:val="16"/>
                <w:color w:val="auto"/>
              </w:rPr>
              <w:t>program will be capped at target, irrespective of rTSR performance.</w:t>
            </w:r>
          </w:p>
        </w:tc>
        <w:tc>
          <w:tcPr>
            <w:tcW w:w="520" w:type="dxa"/>
            <w:vAlign w:val="bottom"/>
            <w:shd w:val="clear" w:color="auto" w:fill="B2D5EE"/>
          </w:tcPr>
          <w:p>
            <w:pPr>
              <w:spacing w:after="0"/>
              <w:rPr>
                <w:sz w:val="20"/>
                <w:szCs w:val="20"/>
                <w:color w:val="auto"/>
              </w:rPr>
            </w:pPr>
          </w:p>
        </w:tc>
        <w:tc>
          <w:tcPr>
            <w:tcW w:w="740" w:type="dxa"/>
            <w:vAlign w:val="bottom"/>
            <w:shd w:val="clear" w:color="auto" w:fill="B2D5EE"/>
          </w:tcPr>
          <w:p>
            <w:pPr>
              <w:spacing w:after="0"/>
              <w:rPr>
                <w:sz w:val="20"/>
                <w:szCs w:val="20"/>
                <w:color w:val="auto"/>
              </w:rPr>
            </w:pPr>
          </w:p>
        </w:tc>
        <w:tc>
          <w:tcPr>
            <w:tcW w:w="1360" w:type="dxa"/>
            <w:vAlign w:val="bottom"/>
            <w:shd w:val="clear" w:color="auto" w:fill="B2D5EE"/>
          </w:tcPr>
          <w:p>
            <w:pPr>
              <w:spacing w:after="0"/>
              <w:rPr>
                <w:sz w:val="20"/>
                <w:szCs w:val="20"/>
                <w:color w:val="auto"/>
              </w:rPr>
            </w:pPr>
          </w:p>
        </w:tc>
      </w:tr>
    </w:tbl>
    <w:p>
      <w:pPr>
        <w:spacing w:after="0" w:line="14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-45-</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2023 PSU Award Payout</w:t>
      </w:r>
    </w:p>
    <w:p>
      <w:pPr>
        <w:spacing w:after="0" w:line="108" w:lineRule="exact"/>
        <w:rPr>
          <w:sz w:val="20"/>
          <w:szCs w:val="20"/>
          <w:color w:val="auto"/>
        </w:rPr>
      </w:pPr>
    </w:p>
    <w:p>
      <w:pPr>
        <w:ind w:left="120" w:right="220"/>
        <w:spacing w:after="0" w:line="256" w:lineRule="auto"/>
        <w:rPr>
          <w:sz w:val="20"/>
          <w:szCs w:val="20"/>
          <w:color w:val="auto"/>
        </w:rPr>
      </w:pPr>
      <w:r>
        <w:rPr>
          <w:rFonts w:ascii="Arial" w:cs="Arial" w:eastAsia="Arial" w:hAnsi="Arial"/>
          <w:sz w:val="16"/>
          <w:szCs w:val="16"/>
          <w:color w:val="auto"/>
        </w:rPr>
        <w:t xml:space="preserve">Set forth below is a summary of the performance metrics and weightings that our CMDC established for our 2023 PSU awards and the degree to which we achieved the performance goals for the 2023 PSUs. Relative TSR was below the 25th percentile over the 2023 to 2025 performance period. </w:t>
      </w:r>
      <w:r>
        <w:rPr>
          <w:rFonts w:ascii="Arial" w:cs="Arial" w:eastAsia="Arial" w:hAnsi="Arial"/>
          <w:sz w:val="16"/>
          <w:szCs w:val="16"/>
          <w:b w:val="1"/>
          <w:bCs w:val="1"/>
          <w:color w:val="auto"/>
        </w:rPr>
        <w:t>These</w:t>
      </w:r>
    </w:p>
    <w:p>
      <w:pPr>
        <w:spacing w:after="0" w:line="1" w:lineRule="exact"/>
        <w:rPr>
          <w:sz w:val="20"/>
          <w:szCs w:val="20"/>
          <w:color w:val="auto"/>
        </w:rPr>
      </w:pPr>
    </w:p>
    <w:p>
      <w:pPr>
        <w:jc w:val="both"/>
        <w:ind w:left="120" w:right="520"/>
        <w:spacing w:after="0" w:line="256" w:lineRule="auto"/>
        <w:rPr>
          <w:sz w:val="20"/>
          <w:szCs w:val="20"/>
          <w:color w:val="auto"/>
        </w:rPr>
      </w:pPr>
      <w:r>
        <w:rPr>
          <w:rFonts w:ascii="Arial" w:cs="Arial" w:eastAsia="Arial" w:hAnsi="Arial"/>
          <w:sz w:val="16"/>
          <w:szCs w:val="16"/>
          <w:b w:val="1"/>
          <w:bCs w:val="1"/>
          <w:color w:val="auto"/>
        </w:rPr>
        <w:t xml:space="preserve">PSUs, which comprised 50% of each NEO’s LTI award, did not achieve any payout value, consistent with the program design. This had a significant impact on the realizable pay of our executive officers. </w:t>
      </w:r>
      <w:r>
        <w:rPr>
          <w:rFonts w:ascii="Arial" w:cs="Arial" w:eastAsia="Arial" w:hAnsi="Arial"/>
          <w:sz w:val="16"/>
          <w:szCs w:val="16"/>
          <w:color w:val="auto"/>
        </w:rPr>
        <w:t>It is important to note that the CMDC has not provided any special awards or</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to offset these results further demonstrating our commitment to pay outcomes under our pay-for-performance programs.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2023 PSU Payout Table</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3520" w:type="dxa"/>
            <w:vAlign w:val="bottom"/>
            <w:shd w:val="clear" w:color="auto" w:fill="0075C9"/>
          </w:tcPr>
          <w:p>
            <w:pPr>
              <w:spacing w:after="0"/>
              <w:rPr>
                <w:sz w:val="21"/>
                <w:szCs w:val="21"/>
                <w:color w:val="auto"/>
              </w:rPr>
            </w:pPr>
          </w:p>
        </w:tc>
        <w:tc>
          <w:tcPr>
            <w:tcW w:w="1180" w:type="dxa"/>
            <w:vAlign w:val="bottom"/>
            <w:shd w:val="clear" w:color="auto" w:fill="0075C9"/>
          </w:tcPr>
          <w:p>
            <w:pPr>
              <w:spacing w:after="0"/>
              <w:rPr>
                <w:sz w:val="21"/>
                <w:szCs w:val="21"/>
                <w:color w:val="auto"/>
              </w:rPr>
            </w:pPr>
          </w:p>
        </w:tc>
        <w:tc>
          <w:tcPr>
            <w:tcW w:w="1480" w:type="dxa"/>
            <w:vAlign w:val="bottom"/>
            <w:shd w:val="clear" w:color="auto" w:fill="0075C9"/>
          </w:tcPr>
          <w:p>
            <w:pPr>
              <w:spacing w:after="0"/>
              <w:rPr>
                <w:sz w:val="21"/>
                <w:szCs w:val="21"/>
                <w:color w:val="auto"/>
              </w:rPr>
            </w:pPr>
          </w:p>
        </w:tc>
        <w:tc>
          <w:tcPr>
            <w:tcW w:w="960" w:type="dxa"/>
            <w:vAlign w:val="bottom"/>
            <w:shd w:val="clear" w:color="auto" w:fill="0075C9"/>
          </w:tcPr>
          <w:p>
            <w:pPr>
              <w:spacing w:after="0"/>
              <w:rPr>
                <w:sz w:val="21"/>
                <w:szCs w:val="21"/>
                <w:color w:val="auto"/>
              </w:rPr>
            </w:pPr>
          </w:p>
        </w:tc>
        <w:tc>
          <w:tcPr>
            <w:tcW w:w="132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Performance Target</w:t>
            </w:r>
          </w:p>
        </w:tc>
        <w:tc>
          <w:tcPr>
            <w:tcW w:w="900" w:type="dxa"/>
            <w:vAlign w:val="bottom"/>
            <w:shd w:val="clear" w:color="auto" w:fill="0075C9"/>
          </w:tcPr>
          <w:p>
            <w:pPr>
              <w:spacing w:after="0"/>
              <w:rPr>
                <w:sz w:val="21"/>
                <w:szCs w:val="21"/>
                <w:color w:val="auto"/>
              </w:rPr>
            </w:pPr>
          </w:p>
        </w:tc>
        <w:tc>
          <w:tcPr>
            <w:tcW w:w="780" w:type="dxa"/>
            <w:vAlign w:val="bottom"/>
            <w:shd w:val="clear" w:color="auto" w:fill="0075C9"/>
          </w:tcPr>
          <w:p>
            <w:pPr>
              <w:spacing w:after="0"/>
              <w:rPr>
                <w:sz w:val="21"/>
                <w:szCs w:val="21"/>
                <w:color w:val="auto"/>
              </w:rPr>
            </w:pPr>
          </w:p>
        </w:tc>
        <w:tc>
          <w:tcPr>
            <w:tcW w:w="880" w:type="dxa"/>
            <w:vAlign w:val="bottom"/>
            <w:shd w:val="clear" w:color="auto" w:fill="0075C9"/>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shd w:val="clear" w:color="auto" w:fill="0075C9"/>
          </w:tcPr>
          <w:p>
            <w:pPr>
              <w:spacing w:after="0"/>
              <w:rPr>
                <w:sz w:val="23"/>
                <w:szCs w:val="23"/>
                <w:color w:val="auto"/>
              </w:rPr>
            </w:pPr>
          </w:p>
        </w:tc>
        <w:tc>
          <w:tcPr>
            <w:tcW w:w="1180" w:type="dxa"/>
            <w:vAlign w:val="bottom"/>
            <w:shd w:val="clear" w:color="auto" w:fill="0075C9"/>
          </w:tcPr>
          <w:p>
            <w:pPr>
              <w:jc w:val="center"/>
              <w:ind w:left="125"/>
              <w:spacing w:after="0"/>
              <w:rPr>
                <w:sz w:val="20"/>
                <w:szCs w:val="20"/>
                <w:color w:val="auto"/>
              </w:rPr>
            </w:pPr>
            <w:r>
              <w:rPr>
                <w:rFonts w:ascii="Arial" w:cs="Arial" w:eastAsia="Arial" w:hAnsi="Arial"/>
                <w:sz w:val="14"/>
                <w:szCs w:val="14"/>
                <w:color w:val="FFFFFF"/>
              </w:rPr>
              <w:t>Performance</w:t>
            </w:r>
          </w:p>
        </w:tc>
        <w:tc>
          <w:tcPr>
            <w:tcW w:w="1480" w:type="dxa"/>
            <w:vAlign w:val="bottom"/>
            <w:shd w:val="clear" w:color="auto" w:fill="0075C9"/>
          </w:tcPr>
          <w:p>
            <w:pPr>
              <w:spacing w:after="0"/>
              <w:rPr>
                <w:sz w:val="23"/>
                <w:szCs w:val="23"/>
                <w:color w:val="auto"/>
              </w:rPr>
            </w:pPr>
          </w:p>
        </w:tc>
        <w:tc>
          <w:tcPr>
            <w:tcW w:w="960" w:type="dxa"/>
            <w:vAlign w:val="bottom"/>
            <w:shd w:val="clear" w:color="auto" w:fill="0075C9"/>
          </w:tcPr>
          <w:p>
            <w:pPr>
              <w:spacing w:after="0"/>
              <w:rPr>
                <w:sz w:val="23"/>
                <w:szCs w:val="23"/>
                <w:color w:val="auto"/>
              </w:rPr>
            </w:pPr>
          </w:p>
        </w:tc>
        <w:tc>
          <w:tcPr>
            <w:tcW w:w="1320" w:type="dxa"/>
            <w:vAlign w:val="bottom"/>
            <w:shd w:val="clear" w:color="auto" w:fill="0075C9"/>
          </w:tcPr>
          <w:p>
            <w:pPr>
              <w:spacing w:after="0"/>
              <w:rPr>
                <w:sz w:val="23"/>
                <w:szCs w:val="23"/>
                <w:color w:val="auto"/>
              </w:rPr>
            </w:pPr>
          </w:p>
        </w:tc>
        <w:tc>
          <w:tcPr>
            <w:tcW w:w="900" w:type="dxa"/>
            <w:vAlign w:val="bottom"/>
            <w:shd w:val="clear" w:color="auto" w:fill="0075C9"/>
          </w:tcPr>
          <w:p>
            <w:pPr>
              <w:spacing w:after="0"/>
              <w:rPr>
                <w:sz w:val="23"/>
                <w:szCs w:val="23"/>
                <w:color w:val="auto"/>
              </w:rPr>
            </w:pPr>
          </w:p>
        </w:tc>
        <w:tc>
          <w:tcPr>
            <w:tcW w:w="780" w:type="dxa"/>
            <w:vAlign w:val="bottom"/>
            <w:shd w:val="clear" w:color="auto" w:fill="0075C9"/>
          </w:tcPr>
          <w:p>
            <w:pPr>
              <w:spacing w:after="0"/>
              <w:rPr>
                <w:sz w:val="23"/>
                <w:szCs w:val="23"/>
                <w:color w:val="auto"/>
              </w:rPr>
            </w:pPr>
          </w:p>
        </w:tc>
        <w:tc>
          <w:tcPr>
            <w:tcW w:w="880" w:type="dxa"/>
            <w:vAlign w:val="bottom"/>
            <w:shd w:val="clear" w:color="auto" w:fill="0075C9"/>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352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4"/>
                <w:szCs w:val="14"/>
                <w:color w:val="FFFFFF"/>
              </w:rPr>
              <w:t>  Performance Metrics</w:t>
            </w:r>
          </w:p>
        </w:tc>
        <w:tc>
          <w:tcPr>
            <w:tcW w:w="1180" w:type="dxa"/>
            <w:vAlign w:val="bottom"/>
            <w:tcBorders>
              <w:bottom w:val="single" w:sz="8" w:color="0075C9"/>
            </w:tcBorders>
            <w:shd w:val="clear" w:color="auto" w:fill="0075C9"/>
          </w:tcPr>
          <w:p>
            <w:pPr>
              <w:jc w:val="center"/>
              <w:ind w:left="125"/>
              <w:spacing w:after="0"/>
              <w:rPr>
                <w:sz w:val="20"/>
                <w:szCs w:val="20"/>
                <w:color w:val="auto"/>
              </w:rPr>
            </w:pPr>
            <w:r>
              <w:rPr>
                <w:rFonts w:ascii="Arial" w:cs="Arial" w:eastAsia="Arial" w:hAnsi="Arial"/>
                <w:sz w:val="14"/>
                <w:szCs w:val="14"/>
                <w:color w:val="FFFFFF"/>
              </w:rPr>
              <w:t>Period</w:t>
            </w:r>
          </w:p>
        </w:tc>
        <w:tc>
          <w:tcPr>
            <w:tcW w:w="1480" w:type="dxa"/>
            <w:vAlign w:val="bottom"/>
            <w:tcBorders>
              <w:bottom w:val="single" w:sz="8" w:color="0075C9"/>
            </w:tcBorders>
            <w:shd w:val="clear" w:color="auto" w:fill="0075C9"/>
          </w:tcPr>
          <w:p>
            <w:pPr>
              <w:ind w:left="500"/>
              <w:spacing w:after="0"/>
              <w:rPr>
                <w:sz w:val="20"/>
                <w:szCs w:val="20"/>
                <w:color w:val="auto"/>
              </w:rPr>
            </w:pPr>
            <w:r>
              <w:rPr>
                <w:rFonts w:ascii="Arial" w:cs="Arial" w:eastAsia="Arial" w:hAnsi="Arial"/>
                <w:sz w:val="14"/>
                <w:szCs w:val="14"/>
                <w:color w:val="FFFFFF"/>
              </w:rPr>
              <w:t>Threshold</w:t>
            </w:r>
          </w:p>
        </w:tc>
        <w:tc>
          <w:tcPr>
            <w:tcW w:w="960" w:type="dxa"/>
            <w:vAlign w:val="bottom"/>
            <w:tcBorders>
              <w:bottom w:val="single" w:sz="8" w:color="0075C9"/>
            </w:tcBorders>
            <w:shd w:val="clear" w:color="auto" w:fill="0075C9"/>
          </w:tcPr>
          <w:p>
            <w:pPr>
              <w:jc w:val="center"/>
              <w:ind w:left="86"/>
              <w:spacing w:after="0"/>
              <w:rPr>
                <w:sz w:val="20"/>
                <w:szCs w:val="20"/>
                <w:color w:val="auto"/>
              </w:rPr>
            </w:pPr>
            <w:r>
              <w:rPr>
                <w:rFonts w:ascii="Arial" w:cs="Arial" w:eastAsia="Arial" w:hAnsi="Arial"/>
                <w:sz w:val="14"/>
                <w:szCs w:val="14"/>
                <w:color w:val="FFFFFF"/>
                <w:w w:val="98"/>
              </w:rPr>
              <w:t>Target</w:t>
            </w:r>
          </w:p>
        </w:tc>
        <w:tc>
          <w:tcPr>
            <w:tcW w:w="132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rPr>
              <w:t>Max</w:t>
            </w:r>
          </w:p>
        </w:tc>
        <w:tc>
          <w:tcPr>
            <w:tcW w:w="900" w:type="dxa"/>
            <w:vAlign w:val="bottom"/>
            <w:tcBorders>
              <w:bottom w:val="single" w:sz="8" w:color="0075C9"/>
            </w:tcBorders>
            <w:shd w:val="clear" w:color="auto" w:fill="0075C9"/>
          </w:tcPr>
          <w:p>
            <w:pPr>
              <w:jc w:val="center"/>
              <w:ind w:right="21"/>
              <w:spacing w:after="0"/>
              <w:rPr>
                <w:sz w:val="20"/>
                <w:szCs w:val="20"/>
                <w:color w:val="auto"/>
              </w:rPr>
            </w:pPr>
            <w:r>
              <w:rPr>
                <w:rFonts w:ascii="Arial" w:cs="Arial" w:eastAsia="Arial" w:hAnsi="Arial"/>
                <w:sz w:val="14"/>
                <w:szCs w:val="14"/>
                <w:color w:val="FFFFFF"/>
              </w:rPr>
              <w:t>Results</w:t>
            </w:r>
          </w:p>
        </w:tc>
        <w:tc>
          <w:tcPr>
            <w:tcW w:w="780" w:type="dxa"/>
            <w:vAlign w:val="bottom"/>
            <w:tcBorders>
              <w:bottom w:val="single" w:sz="8" w:color="0075C9"/>
            </w:tcBorders>
            <w:shd w:val="clear" w:color="auto" w:fill="0075C9"/>
          </w:tcPr>
          <w:p>
            <w:pPr>
              <w:ind w:left="160"/>
              <w:spacing w:after="0"/>
              <w:rPr>
                <w:sz w:val="20"/>
                <w:szCs w:val="20"/>
                <w:color w:val="auto"/>
              </w:rPr>
            </w:pPr>
            <w:r>
              <w:rPr>
                <w:rFonts w:ascii="Arial" w:cs="Arial" w:eastAsia="Arial" w:hAnsi="Arial"/>
                <w:sz w:val="14"/>
                <w:szCs w:val="14"/>
                <w:color w:val="FFFFFF"/>
              </w:rPr>
              <w:t>Weight</w:t>
            </w:r>
          </w:p>
        </w:tc>
        <w:tc>
          <w:tcPr>
            <w:tcW w:w="880" w:type="dxa"/>
            <w:vAlign w:val="bottom"/>
            <w:tcBorders>
              <w:bottom w:val="single" w:sz="8" w:color="0075C9"/>
            </w:tcBorders>
            <w:shd w:val="clear" w:color="auto" w:fill="0075C9"/>
          </w:tcPr>
          <w:p>
            <w:pPr>
              <w:jc w:val="center"/>
              <w:spacing w:after="0"/>
              <w:rPr>
                <w:sz w:val="20"/>
                <w:szCs w:val="20"/>
                <w:color w:val="auto"/>
              </w:rPr>
            </w:pPr>
            <w:r>
              <w:rPr>
                <w:rFonts w:ascii="Arial" w:cs="Arial" w:eastAsia="Arial" w:hAnsi="Arial"/>
                <w:sz w:val="14"/>
                <w:szCs w:val="14"/>
                <w:color w:val="FFFFFF"/>
              </w:rPr>
              <w:t xml:space="preserve">Payout    </w:t>
            </w:r>
          </w:p>
        </w:tc>
        <w:tc>
          <w:tcPr>
            <w:tcW w:w="0" w:type="dxa"/>
            <w:vAlign w:val="bottom"/>
          </w:tcPr>
          <w:p>
            <w:pPr>
              <w:spacing w:after="0"/>
              <w:rPr>
                <w:sz w:val="1"/>
                <w:szCs w:val="1"/>
                <w:color w:val="auto"/>
              </w:rPr>
            </w:pPr>
          </w:p>
        </w:tc>
      </w:tr>
      <w:tr>
        <w:trPr>
          <w:trHeight w:val="242"/>
        </w:trPr>
        <w:tc>
          <w:tcPr>
            <w:tcW w:w="3520" w:type="dxa"/>
            <w:vAlign w:val="bottom"/>
            <w:shd w:val="clear" w:color="auto" w:fill="E5F1F9"/>
          </w:tcPr>
          <w:p>
            <w:pPr>
              <w:spacing w:after="0"/>
              <w:rPr>
                <w:sz w:val="20"/>
                <w:szCs w:val="20"/>
                <w:color w:val="auto"/>
              </w:rPr>
            </w:pPr>
            <w:r>
              <w:rPr>
                <w:rFonts w:ascii="Arial" w:cs="Arial" w:eastAsia="Arial" w:hAnsi="Arial"/>
                <w:sz w:val="16"/>
                <w:szCs w:val="16"/>
                <w:color w:val="auto"/>
              </w:rPr>
              <w:t>  rTSR</w:t>
            </w:r>
          </w:p>
        </w:tc>
        <w:tc>
          <w:tcPr>
            <w:tcW w:w="1180" w:type="dxa"/>
            <w:vAlign w:val="bottom"/>
            <w:shd w:val="clear" w:color="auto" w:fill="E5F1F9"/>
          </w:tcPr>
          <w:p>
            <w:pPr>
              <w:spacing w:after="0"/>
              <w:rPr>
                <w:sz w:val="21"/>
                <w:szCs w:val="21"/>
                <w:color w:val="auto"/>
              </w:rPr>
            </w:pPr>
          </w:p>
        </w:tc>
        <w:tc>
          <w:tcPr>
            <w:tcW w:w="1480" w:type="dxa"/>
            <w:vAlign w:val="bottom"/>
            <w:shd w:val="clear" w:color="auto" w:fill="E5F1F9"/>
          </w:tcPr>
          <w:p>
            <w:pPr>
              <w:spacing w:after="0"/>
              <w:rPr>
                <w:sz w:val="21"/>
                <w:szCs w:val="21"/>
                <w:color w:val="auto"/>
              </w:rPr>
            </w:pPr>
          </w:p>
        </w:tc>
        <w:tc>
          <w:tcPr>
            <w:tcW w:w="960" w:type="dxa"/>
            <w:vAlign w:val="bottom"/>
            <w:shd w:val="clear" w:color="auto" w:fill="E5F1F9"/>
          </w:tcPr>
          <w:p>
            <w:pPr>
              <w:jc w:val="center"/>
              <w:ind w:left="86"/>
              <w:spacing w:after="0" w:line="242" w:lineRule="exact"/>
              <w:rPr>
                <w:sz w:val="20"/>
                <w:szCs w:val="20"/>
                <w:color w:val="auto"/>
              </w:rPr>
            </w:pPr>
            <w:r>
              <w:rPr>
                <w:rFonts w:ascii="Arial" w:cs="Arial" w:eastAsia="Arial" w:hAnsi="Arial"/>
                <w:sz w:val="28"/>
                <w:szCs w:val="28"/>
                <w:color w:val="auto"/>
                <w:w w:val="93"/>
                <w:vertAlign w:val="subscript"/>
              </w:rPr>
              <w:t>55</w:t>
            </w:r>
            <w:r>
              <w:rPr>
                <w:rFonts w:ascii="Arial" w:cs="Arial" w:eastAsia="Arial" w:hAnsi="Arial"/>
                <w:sz w:val="11"/>
                <w:szCs w:val="11"/>
                <w:color w:val="auto"/>
                <w:w w:val="93"/>
              </w:rPr>
              <w:t>th</w:t>
            </w:r>
          </w:p>
        </w:tc>
        <w:tc>
          <w:tcPr>
            <w:tcW w:w="1320" w:type="dxa"/>
            <w:vAlign w:val="bottom"/>
            <w:shd w:val="clear" w:color="auto" w:fill="E5F1F9"/>
          </w:tcPr>
          <w:p>
            <w:pPr>
              <w:jc w:val="center"/>
              <w:spacing w:after="0" w:line="242" w:lineRule="exact"/>
              <w:rPr>
                <w:sz w:val="20"/>
                <w:szCs w:val="20"/>
                <w:color w:val="auto"/>
              </w:rPr>
            </w:pPr>
            <w:r>
              <w:rPr>
                <w:rFonts w:ascii="Arial" w:cs="Arial" w:eastAsia="Arial" w:hAnsi="Arial"/>
                <w:sz w:val="28"/>
                <w:szCs w:val="28"/>
                <w:color w:val="auto"/>
                <w:w w:val="93"/>
                <w:vertAlign w:val="subscript"/>
              </w:rPr>
              <w:t>75</w:t>
            </w:r>
            <w:r>
              <w:rPr>
                <w:rFonts w:ascii="Arial" w:cs="Arial" w:eastAsia="Arial" w:hAnsi="Arial"/>
                <w:sz w:val="11"/>
                <w:szCs w:val="11"/>
                <w:color w:val="auto"/>
                <w:w w:val="93"/>
              </w:rPr>
              <w:t>th</w:t>
            </w:r>
          </w:p>
        </w:tc>
        <w:tc>
          <w:tcPr>
            <w:tcW w:w="900" w:type="dxa"/>
            <w:vAlign w:val="bottom"/>
            <w:shd w:val="clear" w:color="auto" w:fill="E5F1F9"/>
          </w:tcPr>
          <w:p>
            <w:pPr>
              <w:spacing w:after="0"/>
              <w:rPr>
                <w:sz w:val="21"/>
                <w:szCs w:val="21"/>
                <w:color w:val="auto"/>
              </w:rPr>
            </w:pPr>
          </w:p>
        </w:tc>
        <w:tc>
          <w:tcPr>
            <w:tcW w:w="780" w:type="dxa"/>
            <w:vAlign w:val="bottom"/>
            <w:shd w:val="clear" w:color="auto" w:fill="E5F1F9"/>
          </w:tcPr>
          <w:p>
            <w:pPr>
              <w:spacing w:after="0"/>
              <w:rPr>
                <w:sz w:val="21"/>
                <w:szCs w:val="21"/>
                <w:color w:val="auto"/>
              </w:rPr>
            </w:pPr>
          </w:p>
        </w:tc>
        <w:tc>
          <w:tcPr>
            <w:tcW w:w="880" w:type="dxa"/>
            <w:vAlign w:val="bottom"/>
            <w:shd w:val="clear" w:color="auto" w:fill="E5F1F9"/>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E5F1F9"/>
          </w:tcPr>
          <w:p>
            <w:pPr>
              <w:spacing w:after="0"/>
              <w:rPr>
                <w:sz w:val="16"/>
                <w:szCs w:val="16"/>
                <w:color w:val="auto"/>
              </w:rPr>
            </w:pPr>
          </w:p>
        </w:tc>
        <w:tc>
          <w:tcPr>
            <w:tcW w:w="1180" w:type="dxa"/>
            <w:vAlign w:val="bottom"/>
            <w:shd w:val="clear" w:color="auto" w:fill="E5F1F9"/>
          </w:tcPr>
          <w:p>
            <w:pPr>
              <w:spacing w:after="0"/>
              <w:rPr>
                <w:sz w:val="16"/>
                <w:szCs w:val="16"/>
                <w:color w:val="auto"/>
              </w:rPr>
            </w:pPr>
          </w:p>
        </w:tc>
        <w:tc>
          <w:tcPr>
            <w:tcW w:w="1480" w:type="dxa"/>
            <w:vAlign w:val="bottom"/>
            <w:vMerge w:val="restart"/>
            <w:shd w:val="clear" w:color="auto" w:fill="E5F1F9"/>
          </w:tcPr>
          <w:p>
            <w:pPr>
              <w:ind w:left="220"/>
              <w:spacing w:after="0"/>
              <w:rPr>
                <w:sz w:val="20"/>
                <w:szCs w:val="20"/>
                <w:color w:val="auto"/>
              </w:rPr>
            </w:pPr>
            <w:r>
              <w:rPr>
                <w:rFonts w:ascii="Arial" w:cs="Arial" w:eastAsia="Arial" w:hAnsi="Arial"/>
                <w:sz w:val="16"/>
                <w:szCs w:val="16"/>
                <w:color w:val="auto"/>
              </w:rPr>
              <w:t>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tc>
        <w:tc>
          <w:tcPr>
            <w:tcW w:w="960" w:type="dxa"/>
            <w:vAlign w:val="bottom"/>
            <w:shd w:val="clear" w:color="auto" w:fill="E5F1F9"/>
          </w:tcPr>
          <w:p>
            <w:pPr>
              <w:jc w:val="center"/>
              <w:ind w:left="86"/>
              <w:spacing w:after="0"/>
              <w:rPr>
                <w:sz w:val="20"/>
                <w:szCs w:val="20"/>
                <w:color w:val="auto"/>
              </w:rPr>
            </w:pPr>
            <w:r>
              <w:rPr>
                <w:rFonts w:ascii="Arial" w:cs="Arial" w:eastAsia="Arial" w:hAnsi="Arial"/>
                <w:sz w:val="16"/>
                <w:szCs w:val="16"/>
                <w:color w:val="auto"/>
              </w:rPr>
              <w:t>Percentile</w:t>
            </w:r>
          </w:p>
        </w:tc>
        <w:tc>
          <w:tcPr>
            <w:tcW w:w="1320" w:type="dxa"/>
            <w:vAlign w:val="bottom"/>
            <w:shd w:val="clear" w:color="auto" w:fill="E5F1F9"/>
          </w:tcPr>
          <w:p>
            <w:pPr>
              <w:jc w:val="center"/>
              <w:spacing w:after="0"/>
              <w:rPr>
                <w:sz w:val="20"/>
                <w:szCs w:val="20"/>
                <w:color w:val="auto"/>
              </w:rPr>
            </w:pPr>
            <w:r>
              <w:rPr>
                <w:rFonts w:ascii="Arial" w:cs="Arial" w:eastAsia="Arial" w:hAnsi="Arial"/>
                <w:sz w:val="16"/>
                <w:szCs w:val="16"/>
                <w:color w:val="auto"/>
              </w:rPr>
              <w:t>Percentile</w:t>
            </w:r>
          </w:p>
        </w:tc>
        <w:tc>
          <w:tcPr>
            <w:tcW w:w="900" w:type="dxa"/>
            <w:vAlign w:val="bottom"/>
            <w:vMerge w:val="restart"/>
            <w:shd w:val="clear" w:color="auto" w:fill="E5F1F9"/>
          </w:tcPr>
          <w:p>
            <w:pPr>
              <w:jc w:val="center"/>
              <w:ind w:right="21"/>
              <w:spacing w:after="0"/>
              <w:rPr>
                <w:sz w:val="20"/>
                <w:szCs w:val="20"/>
                <w:color w:val="auto"/>
              </w:rPr>
            </w:pPr>
            <w:r>
              <w:rPr>
                <w:rFonts w:ascii="Arial" w:cs="Arial" w:eastAsia="Arial" w:hAnsi="Arial"/>
                <w:sz w:val="16"/>
                <w:szCs w:val="16"/>
                <w:color w:val="auto"/>
                <w:w w:val="89"/>
              </w:rPr>
              <w:t>13</w:t>
            </w:r>
            <w:r>
              <w:rPr>
                <w:rFonts w:ascii="Arial" w:cs="Arial" w:eastAsia="Arial" w:hAnsi="Arial"/>
                <w:sz w:val="24"/>
                <w:szCs w:val="24"/>
                <w:color w:val="auto"/>
                <w:w w:val="89"/>
                <w:vertAlign w:val="superscript"/>
              </w:rPr>
              <w:t>th</w:t>
            </w:r>
          </w:p>
        </w:tc>
        <w:tc>
          <w:tcPr>
            <w:tcW w:w="780" w:type="dxa"/>
            <w:vAlign w:val="bottom"/>
            <w:shd w:val="clear" w:color="auto" w:fill="E5F1F9"/>
          </w:tcPr>
          <w:p>
            <w:pPr>
              <w:spacing w:after="0"/>
              <w:rPr>
                <w:sz w:val="16"/>
                <w:szCs w:val="16"/>
                <w:color w:val="auto"/>
              </w:rPr>
            </w:pPr>
          </w:p>
        </w:tc>
        <w:tc>
          <w:tcPr>
            <w:tcW w:w="880" w:type="dxa"/>
            <w:vAlign w:val="bottom"/>
            <w:shd w:val="clear" w:color="auto" w:fill="E5F1F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E5F1F9"/>
          </w:tcPr>
          <w:p>
            <w:pPr>
              <w:spacing w:after="0"/>
              <w:rPr>
                <w:sz w:val="15"/>
                <w:szCs w:val="15"/>
                <w:color w:val="auto"/>
              </w:rPr>
            </w:pPr>
          </w:p>
        </w:tc>
        <w:tc>
          <w:tcPr>
            <w:tcW w:w="1180" w:type="dxa"/>
            <w:vAlign w:val="bottom"/>
            <w:shd w:val="clear" w:color="auto" w:fill="E5F1F9"/>
          </w:tcPr>
          <w:p>
            <w:pPr>
              <w:spacing w:after="0"/>
              <w:rPr>
                <w:sz w:val="15"/>
                <w:szCs w:val="15"/>
                <w:color w:val="auto"/>
              </w:rPr>
            </w:pPr>
          </w:p>
        </w:tc>
        <w:tc>
          <w:tcPr>
            <w:tcW w:w="1480" w:type="dxa"/>
            <w:vAlign w:val="bottom"/>
            <w:vMerge w:val="continue"/>
            <w:shd w:val="clear" w:color="auto" w:fill="E5F1F9"/>
          </w:tcPr>
          <w:p>
            <w:pPr>
              <w:spacing w:after="0"/>
              <w:rPr>
                <w:sz w:val="15"/>
                <w:szCs w:val="15"/>
                <w:color w:val="auto"/>
              </w:rPr>
            </w:pPr>
          </w:p>
        </w:tc>
        <w:tc>
          <w:tcPr>
            <w:tcW w:w="960" w:type="dxa"/>
            <w:vAlign w:val="bottom"/>
            <w:shd w:val="clear" w:color="auto" w:fill="E5F1F9"/>
          </w:tcPr>
          <w:p>
            <w:pPr>
              <w:jc w:val="center"/>
              <w:ind w:left="86"/>
              <w:spacing w:after="0" w:line="175" w:lineRule="exact"/>
              <w:rPr>
                <w:sz w:val="20"/>
                <w:szCs w:val="20"/>
                <w:color w:val="auto"/>
              </w:rPr>
            </w:pPr>
            <w:r>
              <w:rPr>
                <w:rFonts w:ascii="Arial" w:cs="Arial" w:eastAsia="Arial" w:hAnsi="Arial"/>
                <w:sz w:val="16"/>
                <w:szCs w:val="16"/>
                <w:color w:val="auto"/>
              </w:rPr>
              <w:t>100% of</w:t>
            </w:r>
          </w:p>
        </w:tc>
        <w:tc>
          <w:tcPr>
            <w:tcW w:w="1320" w:type="dxa"/>
            <w:vAlign w:val="bottom"/>
            <w:shd w:val="clear" w:color="auto" w:fill="E5F1F9"/>
          </w:tcPr>
          <w:p>
            <w:pPr>
              <w:jc w:val="center"/>
              <w:spacing w:after="0" w:line="175" w:lineRule="exact"/>
              <w:rPr>
                <w:sz w:val="20"/>
                <w:szCs w:val="20"/>
                <w:color w:val="auto"/>
              </w:rPr>
            </w:pPr>
            <w:r>
              <w:rPr>
                <w:rFonts w:ascii="Arial" w:cs="Arial" w:eastAsia="Arial" w:hAnsi="Arial"/>
                <w:sz w:val="16"/>
                <w:szCs w:val="16"/>
                <w:color w:val="auto"/>
              </w:rPr>
              <w:t>200% of</w:t>
            </w:r>
          </w:p>
        </w:tc>
        <w:tc>
          <w:tcPr>
            <w:tcW w:w="900" w:type="dxa"/>
            <w:vAlign w:val="bottom"/>
            <w:vMerge w:val="continue"/>
            <w:shd w:val="clear" w:color="auto" w:fill="E5F1F9"/>
          </w:tcPr>
          <w:p>
            <w:pPr>
              <w:spacing w:after="0"/>
              <w:rPr>
                <w:sz w:val="15"/>
                <w:szCs w:val="15"/>
                <w:color w:val="auto"/>
              </w:rPr>
            </w:pPr>
          </w:p>
        </w:tc>
        <w:tc>
          <w:tcPr>
            <w:tcW w:w="780" w:type="dxa"/>
            <w:vAlign w:val="bottom"/>
            <w:shd w:val="clear" w:color="auto" w:fill="E5F1F9"/>
          </w:tcPr>
          <w:p>
            <w:pPr>
              <w:spacing w:after="0"/>
              <w:rPr>
                <w:sz w:val="15"/>
                <w:szCs w:val="15"/>
                <w:color w:val="auto"/>
              </w:rPr>
            </w:pPr>
          </w:p>
        </w:tc>
        <w:tc>
          <w:tcPr>
            <w:tcW w:w="880" w:type="dxa"/>
            <w:vAlign w:val="bottom"/>
            <w:shd w:val="clear" w:color="auto" w:fill="E5F1F9"/>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20" w:type="dxa"/>
            <w:vAlign w:val="bottom"/>
            <w:shd w:val="clear" w:color="auto" w:fill="E5F1F9"/>
          </w:tcPr>
          <w:p>
            <w:pPr>
              <w:spacing w:after="0"/>
              <w:rPr>
                <w:sz w:val="19"/>
                <w:szCs w:val="19"/>
                <w:color w:val="auto"/>
              </w:rPr>
            </w:pPr>
          </w:p>
        </w:tc>
        <w:tc>
          <w:tcPr>
            <w:tcW w:w="1180" w:type="dxa"/>
            <w:vAlign w:val="bottom"/>
            <w:shd w:val="clear" w:color="auto" w:fill="E5F1F9"/>
          </w:tcPr>
          <w:p>
            <w:pPr>
              <w:jc w:val="center"/>
              <w:ind w:left="125"/>
              <w:spacing w:after="0"/>
              <w:rPr>
                <w:sz w:val="20"/>
                <w:szCs w:val="20"/>
                <w:color w:val="auto"/>
              </w:rPr>
            </w:pPr>
            <w:r>
              <w:rPr>
                <w:rFonts w:ascii="Arial" w:cs="Arial" w:eastAsia="Arial" w:hAnsi="Arial"/>
                <w:sz w:val="16"/>
                <w:szCs w:val="16"/>
                <w:color w:val="auto"/>
              </w:rPr>
              <w:t>2023-2025</w:t>
            </w:r>
          </w:p>
        </w:tc>
        <w:tc>
          <w:tcPr>
            <w:tcW w:w="1480" w:type="dxa"/>
            <w:vAlign w:val="bottom"/>
            <w:shd w:val="clear" w:color="auto" w:fill="E5F1F9"/>
          </w:tcPr>
          <w:p>
            <w:pPr>
              <w:ind w:left="220"/>
              <w:spacing w:after="0"/>
              <w:rPr>
                <w:sz w:val="20"/>
                <w:szCs w:val="20"/>
                <w:color w:val="auto"/>
              </w:rPr>
            </w:pPr>
            <w:r>
              <w:rPr>
                <w:rFonts w:ascii="Arial" w:cs="Arial" w:eastAsia="Arial" w:hAnsi="Arial"/>
                <w:sz w:val="16"/>
                <w:szCs w:val="16"/>
                <w:color w:val="auto"/>
              </w:rPr>
              <w:t>25% of Target</w:t>
            </w:r>
          </w:p>
        </w:tc>
        <w:tc>
          <w:tcPr>
            <w:tcW w:w="960" w:type="dxa"/>
            <w:vAlign w:val="bottom"/>
            <w:shd w:val="clear" w:color="auto" w:fill="E5F1F9"/>
          </w:tcPr>
          <w:p>
            <w:pPr>
              <w:jc w:val="center"/>
              <w:ind w:left="106"/>
              <w:spacing w:after="0"/>
              <w:rPr>
                <w:sz w:val="20"/>
                <w:szCs w:val="20"/>
                <w:color w:val="auto"/>
              </w:rPr>
            </w:pPr>
            <w:r>
              <w:rPr>
                <w:rFonts w:ascii="Arial" w:cs="Arial" w:eastAsia="Arial" w:hAnsi="Arial"/>
                <w:sz w:val="16"/>
                <w:szCs w:val="16"/>
                <w:color w:val="auto"/>
                <w:w w:val="99"/>
              </w:rPr>
              <w:t>Target</w:t>
            </w:r>
          </w:p>
        </w:tc>
        <w:tc>
          <w:tcPr>
            <w:tcW w:w="1320" w:type="dxa"/>
            <w:vAlign w:val="bottom"/>
            <w:shd w:val="clear" w:color="auto" w:fill="E5F1F9"/>
          </w:tcPr>
          <w:p>
            <w:pPr>
              <w:jc w:val="center"/>
              <w:spacing w:after="0"/>
              <w:rPr>
                <w:sz w:val="20"/>
                <w:szCs w:val="20"/>
                <w:color w:val="auto"/>
              </w:rPr>
            </w:pPr>
            <w:r>
              <w:rPr>
                <w:rFonts w:ascii="Arial" w:cs="Arial" w:eastAsia="Arial" w:hAnsi="Arial"/>
                <w:sz w:val="16"/>
                <w:szCs w:val="16"/>
                <w:color w:val="auto"/>
                <w:w w:val="95"/>
              </w:rPr>
              <w:t>Target</w:t>
            </w:r>
          </w:p>
        </w:tc>
        <w:tc>
          <w:tcPr>
            <w:tcW w:w="900" w:type="dxa"/>
            <w:vAlign w:val="bottom"/>
            <w:shd w:val="clear" w:color="auto" w:fill="E5F1F9"/>
          </w:tcPr>
          <w:p>
            <w:pPr>
              <w:jc w:val="center"/>
              <w:ind w:right="21"/>
              <w:spacing w:after="0"/>
              <w:rPr>
                <w:sz w:val="20"/>
                <w:szCs w:val="20"/>
                <w:color w:val="auto"/>
              </w:rPr>
            </w:pPr>
            <w:r>
              <w:rPr>
                <w:rFonts w:ascii="Arial" w:cs="Arial" w:eastAsia="Arial" w:hAnsi="Arial"/>
                <w:sz w:val="16"/>
                <w:szCs w:val="16"/>
                <w:color w:val="auto"/>
              </w:rPr>
              <w:t>Percentile</w:t>
            </w:r>
          </w:p>
        </w:tc>
        <w:tc>
          <w:tcPr>
            <w:tcW w:w="780" w:type="dxa"/>
            <w:vAlign w:val="bottom"/>
            <w:shd w:val="clear" w:color="auto" w:fill="E5F1F9"/>
          </w:tcPr>
          <w:p>
            <w:pPr>
              <w:ind w:left="180"/>
              <w:spacing w:after="0"/>
              <w:rPr>
                <w:sz w:val="20"/>
                <w:szCs w:val="20"/>
                <w:color w:val="auto"/>
              </w:rPr>
            </w:pPr>
            <w:r>
              <w:rPr>
                <w:rFonts w:ascii="Arial" w:cs="Arial" w:eastAsia="Arial" w:hAnsi="Arial"/>
                <w:sz w:val="16"/>
                <w:szCs w:val="16"/>
                <w:color w:val="auto"/>
              </w:rPr>
              <w:t>100%</w:t>
            </w:r>
          </w:p>
        </w:tc>
        <w:tc>
          <w:tcPr>
            <w:tcW w:w="880" w:type="dxa"/>
            <w:vAlign w:val="bottom"/>
            <w:shd w:val="clear" w:color="auto" w:fill="E5F1F9"/>
          </w:tcPr>
          <w:p>
            <w:pPr>
              <w:jc w:val="center"/>
              <w:ind w:left="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06"/>
        </w:trPr>
        <w:tc>
          <w:tcPr>
            <w:tcW w:w="3520" w:type="dxa"/>
            <w:vAlign w:val="bottom"/>
            <w:tcBorders>
              <w:bottom w:val="single" w:sz="8" w:color="E5F1F9"/>
            </w:tcBorders>
            <w:shd w:val="clear" w:color="auto" w:fill="E5F1F9"/>
          </w:tcPr>
          <w:p>
            <w:pPr>
              <w:spacing w:after="0"/>
              <w:rPr>
                <w:sz w:val="24"/>
                <w:szCs w:val="24"/>
                <w:color w:val="auto"/>
              </w:rPr>
            </w:pPr>
          </w:p>
        </w:tc>
        <w:tc>
          <w:tcPr>
            <w:tcW w:w="1180" w:type="dxa"/>
            <w:vAlign w:val="bottom"/>
            <w:tcBorders>
              <w:bottom w:val="single" w:sz="8" w:color="E5F1F9"/>
            </w:tcBorders>
            <w:shd w:val="clear" w:color="auto" w:fill="E5F1F9"/>
          </w:tcPr>
          <w:p>
            <w:pPr>
              <w:spacing w:after="0"/>
              <w:rPr>
                <w:sz w:val="24"/>
                <w:szCs w:val="24"/>
                <w:color w:val="auto"/>
              </w:rPr>
            </w:pPr>
          </w:p>
        </w:tc>
        <w:tc>
          <w:tcPr>
            <w:tcW w:w="1480" w:type="dxa"/>
            <w:vAlign w:val="bottom"/>
            <w:tcBorders>
              <w:bottom w:val="single" w:sz="8" w:color="E5F1F9"/>
            </w:tcBorders>
            <w:shd w:val="clear" w:color="auto" w:fill="E5F1F9"/>
          </w:tcPr>
          <w:p>
            <w:pPr>
              <w:spacing w:after="0"/>
              <w:rPr>
                <w:sz w:val="24"/>
                <w:szCs w:val="24"/>
                <w:color w:val="auto"/>
              </w:rPr>
            </w:pPr>
          </w:p>
        </w:tc>
        <w:tc>
          <w:tcPr>
            <w:tcW w:w="960" w:type="dxa"/>
            <w:vAlign w:val="bottom"/>
            <w:tcBorders>
              <w:bottom w:val="single" w:sz="8" w:color="E5F1F9"/>
            </w:tcBorders>
            <w:shd w:val="clear" w:color="auto" w:fill="E5F1F9"/>
          </w:tcPr>
          <w:p>
            <w:pPr>
              <w:spacing w:after="0"/>
              <w:rPr>
                <w:sz w:val="24"/>
                <w:szCs w:val="24"/>
                <w:color w:val="auto"/>
              </w:rPr>
            </w:pPr>
          </w:p>
        </w:tc>
        <w:tc>
          <w:tcPr>
            <w:tcW w:w="1320" w:type="dxa"/>
            <w:vAlign w:val="bottom"/>
            <w:tcBorders>
              <w:bottom w:val="single" w:sz="8" w:color="E5F1F9"/>
            </w:tcBorders>
            <w:shd w:val="clear" w:color="auto" w:fill="E5F1F9"/>
          </w:tcPr>
          <w:p>
            <w:pPr>
              <w:spacing w:after="0"/>
              <w:rPr>
                <w:sz w:val="24"/>
                <w:szCs w:val="24"/>
                <w:color w:val="auto"/>
              </w:rPr>
            </w:pPr>
          </w:p>
        </w:tc>
        <w:tc>
          <w:tcPr>
            <w:tcW w:w="1680" w:type="dxa"/>
            <w:vAlign w:val="bottom"/>
            <w:tcBorders>
              <w:bottom w:val="single" w:sz="8" w:color="E5F1F9"/>
            </w:tcBorders>
            <w:gridSpan w:val="2"/>
            <w:shd w:val="clear" w:color="auto" w:fill="E5F1F9"/>
          </w:tcPr>
          <w:p>
            <w:pPr>
              <w:ind w:left="40"/>
              <w:spacing w:after="0"/>
              <w:rPr>
                <w:sz w:val="20"/>
                <w:szCs w:val="20"/>
                <w:color w:val="auto"/>
              </w:rPr>
            </w:pPr>
            <w:r>
              <w:rPr>
                <w:rFonts w:ascii="Arial" w:cs="Arial" w:eastAsia="Arial" w:hAnsi="Arial"/>
                <w:sz w:val="16"/>
                <w:szCs w:val="16"/>
                <w:b w:val="1"/>
                <w:bCs w:val="1"/>
                <w:color w:val="auto"/>
              </w:rPr>
              <w:t>2023 PSU Multiplier</w:t>
            </w:r>
          </w:p>
        </w:tc>
        <w:tc>
          <w:tcPr>
            <w:tcW w:w="880" w:type="dxa"/>
            <w:vAlign w:val="bottom"/>
            <w:tcBorders>
              <w:bottom w:val="single" w:sz="8" w:color="E5F1F9"/>
            </w:tcBorders>
            <w:shd w:val="clear" w:color="auto" w:fill="E5F1F9"/>
          </w:tcPr>
          <w:p>
            <w:pPr>
              <w:jc w:val="center"/>
              <w:ind w:left="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35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Looking Ahead: 2026 LTI Program</w:t>
      </w:r>
    </w:p>
    <w:p>
      <w:pPr>
        <w:spacing w:after="0" w:line="111"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To further strengthen the LTI program’s alignment to achieving Biogen’s long-term goals and ensure that the program targets are set with the rigor our stockholders expect, we will be implementing the following changes in 2026:</w:t>
      </w:r>
    </w:p>
    <w:p>
      <w:pPr>
        <w:spacing w:after="0" w:line="197" w:lineRule="exact"/>
        <w:rPr>
          <w:sz w:val="20"/>
          <w:szCs w:val="20"/>
          <w:color w:val="auto"/>
        </w:rPr>
      </w:pPr>
    </w:p>
    <w:tbl>
      <w:tblPr>
        <w:tblLayout w:type="fixed"/>
        <w:tblInd w:w="130" w:type="dxa"/>
        <w:tblCellMar>
          <w:top w:w="0" w:type="dxa"/>
          <w:left w:w="0" w:type="dxa"/>
          <w:bottom w:w="0" w:type="dxa"/>
          <w:right w:w="0" w:type="dxa"/>
        </w:tblCellMar>
      </w:tblPr>
      <w:tr>
        <w:trPr>
          <w:trHeight w:val="264"/>
        </w:trPr>
        <w:tc>
          <w:tcPr>
            <w:tcW w:w="400" w:type="dxa"/>
            <w:vAlign w:val="bottom"/>
            <w:tcBorders>
              <w:left w:val="single" w:sz="8" w:color="auto"/>
              <w:bottom w:val="single" w:sz="8" w:color="auto"/>
            </w:tcBorders>
            <w:shd w:val="clear" w:color="auto" w:fill="0075C9"/>
          </w:tcPr>
          <w:p>
            <w:pPr>
              <w:spacing w:after="0"/>
              <w:rPr>
                <w:sz w:val="22"/>
                <w:szCs w:val="22"/>
                <w:color w:val="auto"/>
              </w:rPr>
            </w:pPr>
          </w:p>
        </w:tc>
        <w:tc>
          <w:tcPr>
            <w:tcW w:w="5140" w:type="dxa"/>
            <w:vAlign w:val="bottom"/>
            <w:tcBorders>
              <w:bottom w:val="single" w:sz="8" w:color="auto"/>
              <w:right w:val="single" w:sz="8" w:color="auto"/>
            </w:tcBorders>
            <w:shd w:val="clear" w:color="auto" w:fill="0075C9"/>
          </w:tcPr>
          <w:p>
            <w:pPr>
              <w:ind w:left="1760"/>
              <w:spacing w:after="0"/>
              <w:rPr>
                <w:sz w:val="20"/>
                <w:szCs w:val="20"/>
                <w:color w:val="auto"/>
              </w:rPr>
            </w:pPr>
            <w:r>
              <w:rPr>
                <w:rFonts w:ascii="Arial" w:cs="Arial" w:eastAsia="Arial" w:hAnsi="Arial"/>
                <w:sz w:val="16"/>
                <w:szCs w:val="16"/>
                <w:color w:val="FFFFFF"/>
              </w:rPr>
              <w:t>What We Changed</w:t>
            </w:r>
          </w:p>
        </w:tc>
        <w:tc>
          <w:tcPr>
            <w:tcW w:w="5500" w:type="dxa"/>
            <w:vAlign w:val="bottom"/>
            <w:tcBorders>
              <w:bottom w:val="single" w:sz="8" w:color="auto"/>
              <w:right w:val="single" w:sz="8" w:color="auto"/>
            </w:tcBorders>
            <w:shd w:val="clear" w:color="auto" w:fill="0075C9"/>
          </w:tcPr>
          <w:p>
            <w:pPr>
              <w:ind w:left="2240"/>
              <w:spacing w:after="0"/>
              <w:rPr>
                <w:sz w:val="20"/>
                <w:szCs w:val="20"/>
                <w:color w:val="auto"/>
              </w:rPr>
            </w:pPr>
            <w:r>
              <w:rPr>
                <w:rFonts w:ascii="Arial" w:cs="Arial" w:eastAsia="Arial" w:hAnsi="Arial"/>
                <w:sz w:val="16"/>
                <w:szCs w:val="16"/>
                <w:color w:val="FFFFFF"/>
              </w:rPr>
              <w:t>Why It Matters</w:t>
            </w:r>
          </w:p>
        </w:tc>
        <w:tc>
          <w:tcPr>
            <w:tcW w:w="0" w:type="dxa"/>
            <w:vAlign w:val="bottom"/>
          </w:tcPr>
          <w:p>
            <w:pPr>
              <w:spacing w:after="0"/>
              <w:rPr>
                <w:sz w:val="1"/>
                <w:szCs w:val="1"/>
                <w:color w:val="auto"/>
              </w:rPr>
            </w:pPr>
          </w:p>
        </w:tc>
      </w:tr>
      <w:tr>
        <w:trPr>
          <w:trHeight w:val="188"/>
        </w:trPr>
        <w:tc>
          <w:tcPr>
            <w:tcW w:w="400" w:type="dxa"/>
            <w:vAlign w:val="bottom"/>
            <w:tcBorders>
              <w:left w:val="single" w:sz="8" w:color="auto"/>
            </w:tcBorders>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xml:space="preserve"> Added a </w:t>
            </w:r>
            <w:r>
              <w:rPr>
                <w:rFonts w:ascii="Arial" w:cs="Arial" w:eastAsia="Arial" w:hAnsi="Arial"/>
                <w:sz w:val="16"/>
                <w:szCs w:val="16"/>
                <w:b w:val="1"/>
                <w:bCs w:val="1"/>
                <w:color w:val="auto"/>
              </w:rPr>
              <w:t>25% pipeline milestone metric</w:t>
            </w:r>
            <w:r>
              <w:rPr>
                <w:rFonts w:ascii="Arial" w:cs="Arial" w:eastAsia="Arial" w:hAnsi="Arial"/>
                <w:sz w:val="16"/>
                <w:szCs w:val="16"/>
                <w:color w:val="auto"/>
              </w:rPr>
              <w:t xml:space="preserve"> to rebalance metric</w:t>
            </w:r>
          </w:p>
        </w:tc>
        <w:tc>
          <w:tcPr>
            <w:tcW w:w="5500" w:type="dxa"/>
            <w:vAlign w:val="bottom"/>
            <w:tcBorders>
              <w:right w:val="single" w:sz="8" w:color="auto"/>
            </w:tcBorders>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Strengthens differentiation, emphasizes R&amp;D value creation, and</w:t>
            </w: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vMerge w:val="restart"/>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5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xml:space="preserve">weightings: </w:t>
            </w:r>
            <w:r>
              <w:rPr>
                <w:rFonts w:ascii="Arial" w:cs="Arial" w:eastAsia="Arial" w:hAnsi="Arial"/>
                <w:sz w:val="16"/>
                <w:szCs w:val="16"/>
                <w:b w:val="1"/>
                <w:bCs w:val="1"/>
                <w:color w:val="auto"/>
              </w:rPr>
              <w:t>50% rTSR / 25% Pipeline / 25% 3-yr EPS CAGR</w:t>
            </w:r>
          </w:p>
        </w:tc>
        <w:tc>
          <w:tcPr>
            <w:tcW w:w="55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supports long-term stockholder return</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tcBorders>
            <w:vMerge w:val="continue"/>
          </w:tcPr>
          <w:p>
            <w:pPr>
              <w:spacing w:after="0"/>
              <w:rPr>
                <w:sz w:val="20"/>
                <w:szCs w:val="20"/>
                <w:color w:val="auto"/>
              </w:rPr>
            </w:pP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xml:space="preserve"> Increased rTSR target from the 50th to </w:t>
            </w:r>
            <w:r>
              <w:rPr>
                <w:rFonts w:ascii="Arial" w:cs="Arial" w:eastAsia="Arial" w:hAnsi="Arial"/>
                <w:sz w:val="16"/>
                <w:szCs w:val="16"/>
                <w:b w:val="1"/>
                <w:bCs w:val="1"/>
                <w:color w:val="auto"/>
              </w:rPr>
              <w:t>55th percentile</w:t>
            </w:r>
          </w:p>
        </w:tc>
        <w:tc>
          <w:tcPr>
            <w:tcW w:w="5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bottom w:val="single" w:sz="8" w:color="auto"/>
            </w:tcBorders>
          </w:tcPr>
          <w:p>
            <w:pPr>
              <w:spacing w:after="0" w:line="20" w:lineRule="exact"/>
              <w:rPr>
                <w:sz w:val="1"/>
                <w:szCs w:val="1"/>
                <w:color w:val="auto"/>
              </w:rPr>
            </w:pPr>
          </w:p>
        </w:tc>
        <w:tc>
          <w:tcPr>
            <w:tcW w:w="5140" w:type="dxa"/>
            <w:vAlign w:val="bottom"/>
            <w:tcBorders>
              <w:bottom w:val="single" w:sz="8" w:color="auto"/>
              <w:right w:val="single" w:sz="8" w:color="auto"/>
            </w:tcBorders>
          </w:tcPr>
          <w:p>
            <w:pPr>
              <w:spacing w:after="0" w:line="20" w:lineRule="exact"/>
              <w:rPr>
                <w:sz w:val="1"/>
                <w:szCs w:val="1"/>
                <w:color w:val="auto"/>
              </w:rPr>
            </w:pPr>
          </w:p>
        </w:tc>
        <w:tc>
          <w:tcPr>
            <w:tcW w:w="5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5C9"/>
        </w:rPr>
        <w:t>Roles and Responsibilities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Role of the CMDC</w:t>
      </w:r>
    </w:p>
    <w:p>
      <w:pPr>
        <w:spacing w:after="0" w:line="108"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CMDC oversees and administers our executive compensation programs. In making executive compensation decisions, the CMDC reviews a variety of factors and data, most importantly our company performance and individual executive performance, and considers the totality of compensation that may be paid and the value of short- and long-term incentives that may be granted. In addition, the CMDC administers our STI and LTI programs and reviews business achievements relevant to payouts under our compensation plans, makes recommendations to our Board with respect to compensation policies and practices as well as the compensation of our CEO and seeks to ensure that total compensation paid to our executive officers is fair, competitive and aligned with stockholder interests. The CMDC hires outside advisors, when it deems appropriate, to assist it in reviewing and revising our executive compensation programs.</w:t>
      </w:r>
    </w:p>
    <w:p>
      <w:pPr>
        <w:spacing w:after="0" w:line="73"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 xml:space="preserve">The duties and responsibilities of the CMDC are described in this section and can be found in the CMDC’s written charter adopted by our Board, which is available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“Corporate Governance” subsection of the “Investors” section.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Role of the Independent Compensation Consultant</w:t>
      </w:r>
    </w:p>
    <w:p>
      <w:pPr>
        <w:spacing w:after="0" w:line="10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The CMDC believes that independent advice is important in developing and overseeing our executive compensation programs. For 2025, Pay Governance was the CMDC’s independent compensation consultant. Pay Governance did not provide any other services to Biogen and engaged in other matters as needed and as directed solely by the CMDC.</w:t>
      </w:r>
    </w:p>
    <w:p>
      <w:pPr>
        <w:spacing w:after="0" w:line="63"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Reporting directly to the CMDC, the CMDC’s independent compensation consultant provided guidance on trends in CEO, executive officer and non-employee director compensation, the development of specific executive compensation programs and the composition of the company’s compensation peer group used for market comparisons. Additionally, the compensation consultant prepared a comprehensive report on CEO pay that compares each element of our CEO’s compensation to that of CEOs at companies in our peer group. Using this and other similar information, the CMDC recommends, and our Board approves, the elements and target levels of our CEO’s compensation and the CMDC approves the elements and target levels of compensation for our other executive officers.</w:t>
      </w:r>
    </w:p>
    <w:p>
      <w:pPr>
        <w:spacing w:after="0" w:line="74"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The CMDC assesses the compensation consultant’s independence annually and, in accordance with applicable SEC and Nasdaq rules, confirmed in December 2025 that the consultant’s work did not raise any conflicts of interest and remains independent under applicable rules.</w:t>
      </w:r>
    </w:p>
    <w:p>
      <w:pPr>
        <w:spacing w:after="0" w:line="102"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-46-</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Role of our CEO</w:t>
      </w:r>
    </w:p>
    <w:p>
      <w:pPr>
        <w:spacing w:after="0" w:line="108" w:lineRule="exact"/>
        <w:rPr>
          <w:sz w:val="20"/>
          <w:szCs w:val="20"/>
          <w:color w:val="auto"/>
        </w:rPr>
      </w:pPr>
    </w:p>
    <w:p>
      <w:pPr>
        <w:ind w:left="120" w:right="320"/>
        <w:spacing w:after="0" w:line="266" w:lineRule="auto"/>
        <w:rPr>
          <w:sz w:val="20"/>
          <w:szCs w:val="20"/>
          <w:color w:val="auto"/>
        </w:rPr>
      </w:pPr>
      <w:r>
        <w:rPr>
          <w:rFonts w:ascii="Arial" w:cs="Arial" w:eastAsia="Arial" w:hAnsi="Arial"/>
          <w:sz w:val="16"/>
          <w:szCs w:val="16"/>
          <w:color w:val="auto"/>
        </w:rPr>
        <w:t>Each year our CEO provides an assessment of the performance of each executive committee member, other than himself, during the prior year and recommends to the CMDC the compensation to be paid or awarded to each executive. Our CEO’s recommendations are based on numerous factors, including:</w:t>
      </w:r>
    </w:p>
    <w:p>
      <w:pPr>
        <w:spacing w:after="0" w:line="77"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6"/>
          <w:szCs w:val="16"/>
          <w:color w:val="0075C9"/>
        </w:rPr>
      </w:pPr>
      <w:r>
        <w:rPr>
          <w:rFonts w:ascii="Arial" w:cs="Arial" w:eastAsia="Arial" w:hAnsi="Arial"/>
          <w:sz w:val="16"/>
          <w:szCs w:val="16"/>
          <w:color w:val="auto"/>
        </w:rPr>
        <w:t>company, team and individual performance;</w:t>
      </w:r>
    </w:p>
    <w:p>
      <w:pPr>
        <w:spacing w:after="0" w:line="126" w:lineRule="exact"/>
        <w:rPr>
          <w:rFonts w:ascii="Arial" w:cs="Arial" w:eastAsia="Arial" w:hAnsi="Arial"/>
          <w:sz w:val="16"/>
          <w:szCs w:val="16"/>
          <w:color w:val="0075C9"/>
        </w:rPr>
      </w:pPr>
    </w:p>
    <w:p>
      <w:pPr>
        <w:ind w:left="540" w:hanging="424"/>
        <w:spacing w:after="0"/>
        <w:tabs>
          <w:tab w:leader="none" w:pos="540" w:val="left"/>
        </w:tabs>
        <w:numPr>
          <w:ilvl w:val="0"/>
          <w:numId w:val="100"/>
        </w:numPr>
        <w:rPr>
          <w:rFonts w:ascii="Arial" w:cs="Arial" w:eastAsia="Arial" w:hAnsi="Arial"/>
          <w:sz w:val="16"/>
          <w:szCs w:val="16"/>
          <w:color w:val="0075C9"/>
        </w:rPr>
      </w:pPr>
      <w:r>
        <w:rPr>
          <w:rFonts w:ascii="Arial" w:cs="Arial" w:eastAsia="Arial" w:hAnsi="Arial"/>
          <w:sz w:val="16"/>
          <w:szCs w:val="16"/>
          <w:color w:val="auto"/>
        </w:rPr>
        <w:t>potential for future contributions;</w:t>
      </w:r>
    </w:p>
    <w:p>
      <w:pPr>
        <w:spacing w:after="0" w:line="126" w:lineRule="exact"/>
        <w:rPr>
          <w:rFonts w:ascii="Arial" w:cs="Arial" w:eastAsia="Arial" w:hAnsi="Arial"/>
          <w:sz w:val="16"/>
          <w:szCs w:val="16"/>
          <w:color w:val="0075C9"/>
        </w:rPr>
      </w:pPr>
    </w:p>
    <w:p>
      <w:pPr>
        <w:ind w:left="540" w:hanging="424"/>
        <w:spacing w:after="0"/>
        <w:tabs>
          <w:tab w:leader="none" w:pos="540" w:val="left"/>
        </w:tabs>
        <w:numPr>
          <w:ilvl w:val="0"/>
          <w:numId w:val="100"/>
        </w:numPr>
        <w:rPr>
          <w:rFonts w:ascii="Arial" w:cs="Arial" w:eastAsia="Arial" w:hAnsi="Arial"/>
          <w:sz w:val="16"/>
          <w:szCs w:val="16"/>
          <w:color w:val="0075C9"/>
        </w:rPr>
      </w:pPr>
      <w:r>
        <w:rPr>
          <w:rFonts w:ascii="Arial" w:cs="Arial" w:eastAsia="Arial" w:hAnsi="Arial"/>
          <w:sz w:val="16"/>
          <w:szCs w:val="16"/>
          <w:color w:val="auto"/>
        </w:rPr>
        <w:t>leadership competencies, skills and experience;</w:t>
      </w:r>
    </w:p>
    <w:p>
      <w:pPr>
        <w:spacing w:after="0" w:line="126" w:lineRule="exact"/>
        <w:rPr>
          <w:rFonts w:ascii="Arial" w:cs="Arial" w:eastAsia="Arial" w:hAnsi="Arial"/>
          <w:sz w:val="16"/>
          <w:szCs w:val="16"/>
          <w:color w:val="0075C9"/>
        </w:rPr>
      </w:pPr>
    </w:p>
    <w:p>
      <w:pPr>
        <w:ind w:left="540" w:hanging="424"/>
        <w:spacing w:after="0"/>
        <w:tabs>
          <w:tab w:leader="none" w:pos="540" w:val="left"/>
        </w:tabs>
        <w:numPr>
          <w:ilvl w:val="0"/>
          <w:numId w:val="100"/>
        </w:numPr>
        <w:rPr>
          <w:rFonts w:ascii="Arial" w:cs="Arial" w:eastAsia="Arial" w:hAnsi="Arial"/>
          <w:sz w:val="16"/>
          <w:szCs w:val="16"/>
          <w:color w:val="0075C9"/>
        </w:rPr>
      </w:pPr>
      <w:r>
        <w:rPr>
          <w:rFonts w:ascii="Arial" w:cs="Arial" w:eastAsia="Arial" w:hAnsi="Arial"/>
          <w:sz w:val="16"/>
          <w:szCs w:val="16"/>
          <w:color w:val="auto"/>
        </w:rPr>
        <w:t>external market competitiveness;</w:t>
      </w:r>
    </w:p>
    <w:p>
      <w:pPr>
        <w:spacing w:after="0" w:line="126" w:lineRule="exact"/>
        <w:rPr>
          <w:rFonts w:ascii="Arial" w:cs="Arial" w:eastAsia="Arial" w:hAnsi="Arial"/>
          <w:sz w:val="16"/>
          <w:szCs w:val="16"/>
          <w:color w:val="0075C9"/>
        </w:rPr>
      </w:pPr>
    </w:p>
    <w:p>
      <w:pPr>
        <w:ind w:left="540" w:hanging="424"/>
        <w:spacing w:after="0"/>
        <w:tabs>
          <w:tab w:leader="none" w:pos="540" w:val="left"/>
        </w:tabs>
        <w:numPr>
          <w:ilvl w:val="0"/>
          <w:numId w:val="100"/>
        </w:numPr>
        <w:rPr>
          <w:rFonts w:ascii="Arial" w:cs="Arial" w:eastAsia="Arial" w:hAnsi="Arial"/>
          <w:sz w:val="16"/>
          <w:szCs w:val="16"/>
          <w:color w:val="0075C9"/>
        </w:rPr>
      </w:pPr>
      <w:r>
        <w:rPr>
          <w:rFonts w:ascii="Arial" w:cs="Arial" w:eastAsia="Arial" w:hAnsi="Arial"/>
          <w:sz w:val="16"/>
          <w:szCs w:val="16"/>
          <w:color w:val="auto"/>
        </w:rPr>
        <w:t>internal pay comparisons; and</w:t>
      </w:r>
    </w:p>
    <w:p>
      <w:pPr>
        <w:spacing w:after="0" w:line="126" w:lineRule="exact"/>
        <w:rPr>
          <w:rFonts w:ascii="Arial" w:cs="Arial" w:eastAsia="Arial" w:hAnsi="Arial"/>
          <w:sz w:val="16"/>
          <w:szCs w:val="16"/>
          <w:color w:val="0075C9"/>
        </w:rPr>
      </w:pPr>
    </w:p>
    <w:p>
      <w:pPr>
        <w:ind w:left="540" w:hanging="424"/>
        <w:spacing w:after="0"/>
        <w:tabs>
          <w:tab w:leader="none" w:pos="540" w:val="left"/>
        </w:tabs>
        <w:numPr>
          <w:ilvl w:val="0"/>
          <w:numId w:val="100"/>
        </w:numPr>
        <w:rPr>
          <w:rFonts w:ascii="Arial" w:cs="Arial" w:eastAsia="Arial" w:hAnsi="Arial"/>
          <w:sz w:val="16"/>
          <w:szCs w:val="16"/>
          <w:color w:val="0075C9"/>
        </w:rPr>
      </w:pPr>
      <w:r>
        <w:rPr>
          <w:rFonts w:ascii="Arial" w:cs="Arial" w:eastAsia="Arial" w:hAnsi="Arial"/>
          <w:sz w:val="16"/>
          <w:szCs w:val="16"/>
          <w:color w:val="auto"/>
        </w:rPr>
        <w:t>other factors deemed relevant.</w:t>
      </w:r>
    </w:p>
    <w:p>
      <w:pPr>
        <w:spacing w:after="0" w:line="221"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To understand the external market competitiveness of the compensation for our NEOs, our CEO and the CMDC review a report analyzing publicly available information and surveys prepared by our internal compensation group and reviewed by the independent compensation consultant. The report compares the compensation of each NEO, other than our CEO, to data available for comparable positions at companies in our peer group and, in certain circumstances, the broader market, by compensation element (please see “External Market Competitiveness and Peer Group” below for further details). The CMDC considers all of the information presented, discusses the recommendations with our CEO and with the independent compensation consultant and applies its judgment to determine the elements of compensation and target compensation levels for each NEO, other than the CEO.</w:t>
      </w:r>
    </w:p>
    <w:p>
      <w:pPr>
        <w:ind w:left="120" w:right="80"/>
        <w:spacing w:after="0" w:line="256" w:lineRule="auto"/>
        <w:rPr>
          <w:sz w:val="20"/>
          <w:szCs w:val="20"/>
          <w:color w:val="auto"/>
        </w:rPr>
      </w:pPr>
      <w:r>
        <w:rPr>
          <w:rFonts w:ascii="Arial" w:cs="Arial" w:eastAsia="Arial" w:hAnsi="Arial"/>
          <w:sz w:val="16"/>
          <w:szCs w:val="16"/>
          <w:color w:val="auto"/>
        </w:rPr>
        <w:t>Our CEO also provides a self-assessment of his achievements for the prior year. The CMDC reviews and considers this in analyzing the CEO’s performance and in recommending the compensation of our CEO for approval by our Board. Our CEO does not participate in any deliberations regarding his own compensation.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External Market Competitiveness and Peer Group</w:t>
      </w:r>
    </w:p>
    <w:p>
      <w:pPr>
        <w:spacing w:after="0" w:line="108"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We consider market practices and trends when determining executive compensation levels and compensation program design at Biogen. We review external market practices as a reference point to assist us in providing programs designed to attract, retain and inspire extraordinary talent. The CMDC also uses peer group and other market data to provide context for its executive compensation decision-making. Each year the CMDC’s independent compensation consultant reviews the external market data and evaluates the composition of our peer group for appropriateness.</w:t>
      </w:r>
    </w:p>
    <w:p>
      <w:pPr>
        <w:spacing w:after="0" w:line="70"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The CMDC reviews the information provided from internal sources as well as the information provided by the CMDC’s independent compensation consultant to select our peer group based on comparable companies that approximate (1) our scope of business, including revenue and market capitalization, (2) our global geographical reach, (3) our research-based business with multiple marketed products and (4) a comparable pool of talent for which we compete.</w:t>
      </w:r>
    </w:p>
    <w:p>
      <w:pPr>
        <w:spacing w:after="0" w:line="70"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The peer group used for setting 2025 target compensation levels and making related compensation decisions for the NEOs consisted of the biotechnology and pharmaceutical companies listed below, as we compete for executive talent with companies in these sectors. This peer group was determined by the CMDC in September 2024 for setting 2025 pay based on an in-depth review by its independent compensation consultant, which included an assessment of potential comparators to evaluate the degree to which the current peers are generally reflective of Biogen’s profile in terms of valuation, size, maturity, global scale and complexity. The assessment also included an examination of the broader marketplace to identify appropriate and relevant removals and/or additions to the peer group. The peer group used for 2025 was unchanged from 2024, except for the removal of Seagen Inc. following its acquisition by Pfizer Inc. in December 2023.</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Peers</w:t>
      </w:r>
    </w:p>
    <w:p>
      <w:pPr>
        <w:spacing w:after="0" w:line="136"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5540" w:type="dxa"/>
            <w:vAlign w:val="bottom"/>
            <w:tcBorders>
              <w:left w:val="single" w:sz="8" w:color="auto"/>
              <w:bottom w:val="single" w:sz="8" w:color="auto"/>
              <w:right w:val="single" w:sz="8" w:color="auto"/>
            </w:tcBorders>
            <w:shd w:val="clear" w:color="auto" w:fill="0075C9"/>
          </w:tcPr>
          <w:p>
            <w:pPr>
              <w:ind w:left="2100"/>
              <w:spacing w:after="0"/>
              <w:rPr>
                <w:sz w:val="20"/>
                <w:szCs w:val="20"/>
                <w:color w:val="auto"/>
              </w:rPr>
            </w:pPr>
            <w:r>
              <w:rPr>
                <w:rFonts w:ascii="Arial" w:cs="Arial" w:eastAsia="Arial" w:hAnsi="Arial"/>
                <w:sz w:val="16"/>
                <w:szCs w:val="16"/>
                <w:color w:val="FFFFFF"/>
              </w:rPr>
              <w:t>Biotechnology Peers</w:t>
            </w:r>
          </w:p>
        </w:tc>
        <w:tc>
          <w:tcPr>
            <w:tcW w:w="5500" w:type="dxa"/>
            <w:vAlign w:val="bottom"/>
            <w:tcBorders>
              <w:bottom w:val="single" w:sz="8" w:color="auto"/>
              <w:right w:val="single" w:sz="8" w:color="auto"/>
            </w:tcBorders>
            <w:shd w:val="clear" w:color="auto" w:fill="0075C9"/>
          </w:tcPr>
          <w:p>
            <w:pPr>
              <w:ind w:left="1960"/>
              <w:spacing w:after="0"/>
              <w:rPr>
                <w:sz w:val="20"/>
                <w:szCs w:val="20"/>
                <w:color w:val="auto"/>
              </w:rPr>
            </w:pPr>
            <w:r>
              <w:rPr>
                <w:rFonts w:ascii="Arial" w:cs="Arial" w:eastAsia="Arial" w:hAnsi="Arial"/>
                <w:sz w:val="16"/>
                <w:szCs w:val="16"/>
                <w:color w:val="FFFFFF"/>
              </w:rPr>
              <w:t>Pharmaceutical Peers</w:t>
            </w:r>
          </w:p>
        </w:tc>
      </w:tr>
      <w:tr>
        <w:trPr>
          <w:trHeight w:val="175"/>
        </w:trPr>
        <w:tc>
          <w:tcPr>
            <w:tcW w:w="5540" w:type="dxa"/>
            <w:vAlign w:val="bottom"/>
            <w:tcBorders>
              <w:left w:val="single" w:sz="8" w:color="auto"/>
              <w:right w:val="single" w:sz="8" w:color="auto"/>
            </w:tcBorders>
          </w:tcPr>
          <w:p>
            <w:pPr>
              <w:ind w:left="160"/>
              <w:spacing w:after="0" w:line="175" w:lineRule="exact"/>
              <w:rPr>
                <w:sz w:val="20"/>
                <w:szCs w:val="20"/>
                <w:color w:val="auto"/>
              </w:rPr>
            </w:pPr>
            <w:r>
              <w:rPr>
                <w:rFonts w:ascii="Arial" w:cs="Arial" w:eastAsia="Arial" w:hAnsi="Arial"/>
                <w:sz w:val="16"/>
                <w:szCs w:val="16"/>
                <w:color w:val="auto"/>
              </w:rPr>
              <w:t>Amgen Inc.</w:t>
            </w:r>
          </w:p>
        </w:tc>
        <w:tc>
          <w:tcPr>
            <w:tcW w:w="55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AbbVie Inc.</w:t>
            </w:r>
          </w:p>
        </w:tc>
      </w:tr>
      <w:tr>
        <w:trPr>
          <w:trHeight w:val="189"/>
        </w:trPr>
        <w:tc>
          <w:tcPr>
            <w:tcW w:w="5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Alnylam Pharmaceuticals, Inc.</w:t>
            </w:r>
          </w:p>
        </w:tc>
        <w:tc>
          <w:tcPr>
            <w:tcW w:w="5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Bristol-Myers Squibb Company</w:t>
            </w:r>
          </w:p>
        </w:tc>
      </w:tr>
      <w:tr>
        <w:trPr>
          <w:trHeight w:val="189"/>
        </w:trPr>
        <w:tc>
          <w:tcPr>
            <w:tcW w:w="5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BioMarin Pharmaceutical Inc.</w:t>
            </w:r>
          </w:p>
        </w:tc>
        <w:tc>
          <w:tcPr>
            <w:tcW w:w="5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Eli Lilly and Company</w:t>
            </w:r>
          </w:p>
        </w:tc>
      </w:tr>
      <w:tr>
        <w:trPr>
          <w:trHeight w:val="189"/>
        </w:trPr>
        <w:tc>
          <w:tcPr>
            <w:tcW w:w="5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Gilead Sciences Inc.</w:t>
            </w:r>
          </w:p>
        </w:tc>
        <w:tc>
          <w:tcPr>
            <w:tcW w:w="5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Jazz Pharmaceuticals plc</w:t>
            </w:r>
          </w:p>
        </w:tc>
      </w:tr>
      <w:tr>
        <w:trPr>
          <w:trHeight w:val="189"/>
        </w:trPr>
        <w:tc>
          <w:tcPr>
            <w:tcW w:w="5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Incyte Corporation</w:t>
            </w:r>
          </w:p>
        </w:tc>
        <w:tc>
          <w:tcPr>
            <w:tcW w:w="5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Merck &amp; Co, Inc.</w:t>
            </w:r>
          </w:p>
        </w:tc>
      </w:tr>
      <w:tr>
        <w:trPr>
          <w:trHeight w:val="189"/>
        </w:trPr>
        <w:tc>
          <w:tcPr>
            <w:tcW w:w="5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Moderna, Inc.</w:t>
            </w:r>
          </w:p>
        </w:tc>
        <w:tc>
          <w:tcPr>
            <w:tcW w:w="5500" w:type="dxa"/>
            <w:vAlign w:val="bottom"/>
            <w:tcBorders>
              <w:right w:val="single" w:sz="8" w:color="auto"/>
            </w:tcBorders>
          </w:tcPr>
          <w:p>
            <w:pPr>
              <w:spacing w:after="0"/>
              <w:rPr>
                <w:sz w:val="16"/>
                <w:szCs w:val="16"/>
                <w:color w:val="auto"/>
              </w:rPr>
            </w:pPr>
          </w:p>
        </w:tc>
      </w:tr>
      <w:tr>
        <w:trPr>
          <w:trHeight w:val="189"/>
        </w:trPr>
        <w:tc>
          <w:tcPr>
            <w:tcW w:w="5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Neurocrine Biosciences, Inc.</w:t>
            </w:r>
          </w:p>
        </w:tc>
        <w:tc>
          <w:tcPr>
            <w:tcW w:w="5500" w:type="dxa"/>
            <w:vAlign w:val="bottom"/>
            <w:tcBorders>
              <w:right w:val="single" w:sz="8" w:color="auto"/>
            </w:tcBorders>
          </w:tcPr>
          <w:p>
            <w:pPr>
              <w:spacing w:after="0"/>
              <w:rPr>
                <w:sz w:val="16"/>
                <w:szCs w:val="16"/>
                <w:color w:val="auto"/>
              </w:rPr>
            </w:pPr>
          </w:p>
        </w:tc>
      </w:tr>
      <w:tr>
        <w:trPr>
          <w:trHeight w:val="189"/>
        </w:trPr>
        <w:tc>
          <w:tcPr>
            <w:tcW w:w="5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Regeneron Pharmaceuticals, Inc.</w:t>
            </w:r>
          </w:p>
        </w:tc>
        <w:tc>
          <w:tcPr>
            <w:tcW w:w="5500" w:type="dxa"/>
            <w:vAlign w:val="bottom"/>
            <w:tcBorders>
              <w:right w:val="single" w:sz="8" w:color="auto"/>
            </w:tcBorders>
          </w:tcPr>
          <w:p>
            <w:pPr>
              <w:spacing w:after="0"/>
              <w:rPr>
                <w:sz w:val="16"/>
                <w:szCs w:val="16"/>
                <w:color w:val="auto"/>
              </w:rPr>
            </w:pPr>
          </w:p>
        </w:tc>
      </w:tr>
      <w:tr>
        <w:trPr>
          <w:trHeight w:val="189"/>
        </w:trPr>
        <w:tc>
          <w:tcPr>
            <w:tcW w:w="5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United Therapeutics Corporation</w:t>
            </w:r>
          </w:p>
        </w:tc>
        <w:tc>
          <w:tcPr>
            <w:tcW w:w="5500" w:type="dxa"/>
            <w:vAlign w:val="bottom"/>
            <w:tcBorders>
              <w:right w:val="single" w:sz="8" w:color="auto"/>
            </w:tcBorders>
          </w:tcPr>
          <w:p>
            <w:pPr>
              <w:spacing w:after="0"/>
              <w:rPr>
                <w:sz w:val="16"/>
                <w:szCs w:val="16"/>
                <w:color w:val="auto"/>
              </w:rPr>
            </w:pPr>
          </w:p>
        </w:tc>
      </w:tr>
      <w:tr>
        <w:trPr>
          <w:trHeight w:val="215"/>
        </w:trPr>
        <w:tc>
          <w:tcPr>
            <w:tcW w:w="5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Vertex Pharmaceuticals Incorporated</w:t>
            </w:r>
          </w:p>
        </w:tc>
        <w:tc>
          <w:tcPr>
            <w:tcW w:w="5500" w:type="dxa"/>
            <w:vAlign w:val="bottom"/>
            <w:tcBorders>
              <w:right w:val="single" w:sz="8" w:color="auto"/>
            </w:tcBorders>
          </w:tcPr>
          <w:p>
            <w:pPr>
              <w:spacing w:after="0"/>
              <w:rPr>
                <w:sz w:val="18"/>
                <w:szCs w:val="18"/>
                <w:color w:val="auto"/>
              </w:rPr>
            </w:pPr>
          </w:p>
        </w:tc>
      </w:tr>
      <w:tr>
        <w:trPr>
          <w:trHeight w:val="29"/>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416"/>
        </w:trPr>
        <w:tc>
          <w:tcPr>
            <w:tcW w:w="5540" w:type="dxa"/>
            <w:vAlign w:val="bottom"/>
          </w:tcPr>
          <w:p>
            <w:pPr>
              <w:spacing w:after="0"/>
              <w:rPr>
                <w:sz w:val="24"/>
                <w:szCs w:val="24"/>
                <w:color w:val="auto"/>
              </w:rPr>
            </w:pPr>
          </w:p>
        </w:tc>
        <w:tc>
          <w:tcPr>
            <w:tcW w:w="5500" w:type="dxa"/>
            <w:vAlign w:val="bottom"/>
          </w:tcPr>
          <w:p>
            <w:pPr>
              <w:ind w:left="3020"/>
              <w:spacing w:after="0"/>
              <w:rPr>
                <w:sz w:val="20"/>
                <w:szCs w:val="20"/>
                <w:color w:val="auto"/>
              </w:rPr>
            </w:pPr>
            <w:r>
              <w:rPr>
                <w:rFonts w:ascii="Arial" w:cs="Arial" w:eastAsia="Arial" w:hAnsi="Arial"/>
                <w:sz w:val="18"/>
                <w:szCs w:val="18"/>
                <w:color w:val="0075C9"/>
                <w:w w:val="99"/>
              </w:rPr>
              <w:t xml:space="preserve">   2026 Proxy Statement   </w:t>
            </w:r>
            <w:r>
              <w:rPr>
                <w:rFonts w:ascii="Arial" w:cs="Arial" w:eastAsia="Arial" w:hAnsi="Arial"/>
                <w:sz w:val="16"/>
                <w:szCs w:val="16"/>
                <w:color w:val="0075C9"/>
                <w:w w:val="99"/>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-173355</wp:posOffset>
            </wp:positionV>
            <wp:extent cx="41973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Looking Ahead: 2026 Peers</w:t>
      </w:r>
    </w:p>
    <w:p>
      <w:pPr>
        <w:spacing w:after="0" w:line="111" w:lineRule="exact"/>
        <w:rPr>
          <w:sz w:val="20"/>
          <w:szCs w:val="20"/>
          <w:color w:val="auto"/>
        </w:rPr>
      </w:pPr>
    </w:p>
    <w:p>
      <w:pPr>
        <w:jc w:val="both"/>
        <w:ind w:left="120" w:right="360"/>
        <w:spacing w:after="0" w:line="266" w:lineRule="auto"/>
        <w:rPr>
          <w:sz w:val="20"/>
          <w:szCs w:val="20"/>
          <w:color w:val="auto"/>
        </w:rPr>
      </w:pPr>
      <w:r>
        <w:rPr>
          <w:rFonts w:ascii="Arial" w:cs="Arial" w:eastAsia="Arial" w:hAnsi="Arial"/>
          <w:sz w:val="16"/>
          <w:szCs w:val="16"/>
          <w:color w:val="auto"/>
        </w:rPr>
        <w:t>In response to stockholder and proxy advisory firm engagement, the CMDC, in partnership with our independent advisor, reviewed the peer group in October 2025. At that time, it was decided to remove Eli Lilly, AbbVie and Merck and add BeOne Medicines to align our peer group closer to Biogen’s size, revenue, and market cap. This updated peer group will be utilized in setting 2026 compensation decisions.</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5540" w:type="dxa"/>
            <w:vAlign w:val="bottom"/>
            <w:tcBorders>
              <w:left w:val="single" w:sz="8" w:color="auto"/>
              <w:bottom w:val="single" w:sz="8" w:color="auto"/>
              <w:right w:val="single" w:sz="8" w:color="auto"/>
            </w:tcBorders>
            <w:shd w:val="clear" w:color="auto" w:fill="0075C9"/>
          </w:tcPr>
          <w:p>
            <w:pPr>
              <w:ind w:left="2160"/>
              <w:spacing w:after="0"/>
              <w:rPr>
                <w:sz w:val="20"/>
                <w:szCs w:val="20"/>
                <w:color w:val="auto"/>
              </w:rPr>
            </w:pPr>
            <w:r>
              <w:rPr>
                <w:rFonts w:ascii="Arial" w:cs="Arial" w:eastAsia="Arial" w:hAnsi="Arial"/>
                <w:sz w:val="16"/>
                <w:szCs w:val="16"/>
                <w:color w:val="FFFFFF"/>
              </w:rPr>
              <w:t>What We Changed</w:t>
            </w:r>
          </w:p>
        </w:tc>
        <w:tc>
          <w:tcPr>
            <w:tcW w:w="5500" w:type="dxa"/>
            <w:vAlign w:val="bottom"/>
            <w:tcBorders>
              <w:bottom w:val="single" w:sz="8" w:color="auto"/>
              <w:right w:val="single" w:sz="8" w:color="auto"/>
            </w:tcBorders>
            <w:shd w:val="clear" w:color="auto" w:fill="0075C9"/>
          </w:tcPr>
          <w:p>
            <w:pPr>
              <w:ind w:left="2240"/>
              <w:spacing w:after="0"/>
              <w:rPr>
                <w:sz w:val="20"/>
                <w:szCs w:val="20"/>
                <w:color w:val="auto"/>
              </w:rPr>
            </w:pPr>
            <w:r>
              <w:rPr>
                <w:rFonts w:ascii="Arial" w:cs="Arial" w:eastAsia="Arial" w:hAnsi="Arial"/>
                <w:sz w:val="16"/>
                <w:szCs w:val="16"/>
                <w:color w:val="FFFFFF"/>
              </w:rPr>
              <w:t>Why It Matters</w:t>
            </w:r>
          </w:p>
        </w:tc>
      </w:tr>
      <w:tr>
        <w:trPr>
          <w:trHeight w:val="188"/>
        </w:trPr>
        <w:tc>
          <w:tcPr>
            <w:tcW w:w="5540" w:type="dxa"/>
            <w:vAlign w:val="bottom"/>
            <w:tcBorders>
              <w:left w:val="single" w:sz="8" w:color="auto"/>
              <w:right w:val="single" w:sz="8" w:color="auto"/>
            </w:tcBorders>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Rebalanced peer group to better reflect Biogen’s size, revenue, and</w:t>
            </w:r>
          </w:p>
        </w:tc>
        <w:tc>
          <w:tcPr>
            <w:tcW w:w="5500" w:type="dxa"/>
            <w:vAlign w:val="bottom"/>
            <w:tcBorders>
              <w:right w:val="single" w:sz="8" w:color="auto"/>
            </w:tcBorders>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Improves comparability and rigor in benchmarking.</w:t>
            </w:r>
          </w:p>
        </w:tc>
      </w:tr>
      <w:tr>
        <w:trPr>
          <w:trHeight w:val="189"/>
        </w:trPr>
        <w:tc>
          <w:tcPr>
            <w:tcW w:w="554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market cap by removing Eli Lilly, AbbVie and Merck while adding</w:t>
            </w:r>
          </w:p>
        </w:tc>
        <w:tc>
          <w:tcPr>
            <w:tcW w:w="5500" w:type="dxa"/>
            <w:vAlign w:val="bottom"/>
            <w:tcBorders>
              <w:right w:val="single" w:sz="8" w:color="auto"/>
            </w:tcBorders>
          </w:tcPr>
          <w:p>
            <w:pPr>
              <w:spacing w:after="0"/>
              <w:rPr>
                <w:sz w:val="16"/>
                <w:szCs w:val="16"/>
                <w:color w:val="auto"/>
              </w:rPr>
            </w:pPr>
          </w:p>
        </w:tc>
      </w:tr>
      <w:tr>
        <w:trPr>
          <w:trHeight w:val="224"/>
        </w:trPr>
        <w:tc>
          <w:tcPr>
            <w:tcW w:w="554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BeOne Medicines.</w:t>
            </w:r>
          </w:p>
        </w:tc>
        <w:tc>
          <w:tcPr>
            <w:tcW w:w="5500" w:type="dxa"/>
            <w:vAlign w:val="bottom"/>
            <w:tcBorders>
              <w:bottom w:val="single" w:sz="8" w:color="auto"/>
              <w:right w:val="single" w:sz="8" w:color="auto"/>
            </w:tcBorders>
          </w:tcPr>
          <w:p>
            <w:pPr>
              <w:spacing w:after="0"/>
              <w:rPr>
                <w:sz w:val="19"/>
                <w:szCs w:val="19"/>
                <w:color w:val="auto"/>
              </w:rPr>
            </w:pPr>
          </w:p>
        </w:tc>
      </w:tr>
    </w:tbl>
    <w:p>
      <w:pPr>
        <w:spacing w:after="0" w:line="94"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For each of the companies in our peer group, when available, we analyze the company’s CD&amp;A and other data publicly filed during the prior year to identify the executives at such companies whose positions are comparable to those held by our NEOs, including our CEO. We then compile and analyze the data for each comparable position. Our competitive analysis includes the structure and design of the executive compensation programs as well as the targeted value of the compensation under these programs.</w:t>
      </w:r>
    </w:p>
    <w:p>
      <w:pPr>
        <w:spacing w:after="0" w:line="70"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For our Executive Committee, other than our CEO, we may supplement the data from our peer group with published compensation surveys. For 2025, consistent with past years, we used the Willis Towers Watson survey. We chose the Willis Towers Watson survey because of the number of companies in our peer group that participate in it, the number of positions reported by the survey that continue to be comparable to our NEO positions and the high standards under which we understand the survey is conducted (including data collection and analysis methodologies). All of the companies in our peer group are represented in a special cross-section of the Willis Towers Watson survey focused on our peer group.</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survey data includes other relevant companies in the biotech and pharmaceutical industry with which we compete for talent.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the process our CMDC follows in setting compensation is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003415" cy="27432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03415" cy="2743200"/>
                    </a:xfrm>
                    <a:prstGeom prst="rect">
                      <a:avLst/>
                    </a:prstGeom>
                    <a:noFill/>
                  </pic:spPr>
                </pic:pic>
              </a:graphicData>
            </a:graphic>
          </wp:anchor>
        </w:drawing>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CMDC Compensation Setting Process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Target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80" w:right="360"/>
        <w:spacing w:after="0" w:line="286" w:lineRule="auto"/>
        <w:rPr>
          <w:sz w:val="20"/>
          <w:szCs w:val="20"/>
          <w:color w:val="auto"/>
        </w:rPr>
      </w:pPr>
      <w:r>
        <w:rPr>
          <w:rFonts w:ascii="Arial" w:cs="Arial" w:eastAsia="Arial" w:hAnsi="Arial"/>
          <w:sz w:val="16"/>
          <w:szCs w:val="16"/>
          <w:color w:val="auto"/>
        </w:rPr>
        <w:t>Monitoring &amp; Tracking</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Results &amp; Awards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color w:val="auto"/>
        </w:rPr>
        <w:t>Management creates an AOP that discusses potential goals for the upcoming year that are tied to the short- and longer-term strategic goals of the company as well as individual goals for our executive officers.</w:t>
      </w:r>
    </w:p>
    <w:p>
      <w:pPr>
        <w:ind w:right="120"/>
        <w:spacing w:after="0" w:line="258" w:lineRule="auto"/>
        <w:rPr>
          <w:sz w:val="20"/>
          <w:szCs w:val="20"/>
          <w:color w:val="auto"/>
        </w:rPr>
      </w:pPr>
      <w:r>
        <w:rPr>
          <w:rFonts w:ascii="Arial" w:cs="Arial" w:eastAsia="Arial" w:hAnsi="Arial"/>
          <w:sz w:val="16"/>
          <w:szCs w:val="16"/>
          <w:color w:val="auto"/>
        </w:rPr>
        <w:t>The AOP for the year is approved by our Board. As part of the AOP approval process, our Board considers many factors relevant to our business, reputation, and strategy, including pipeline and business development, pricing and patient access, market expectations and intellectual property risk.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goals and targets under our executive compensation plans are generally aligned with the AOP.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Payout levels for each performance goal are recommended by management and approved by our CMDC.</w:t>
      </w:r>
    </w:p>
    <w:p>
      <w:pPr>
        <w:spacing w:after="0" w:line="32" w:lineRule="exact"/>
        <w:rPr>
          <w:sz w:val="20"/>
          <w:szCs w:val="20"/>
          <w:color w:val="auto"/>
        </w:rPr>
      </w:pPr>
    </w:p>
    <w:p>
      <w:pPr>
        <w:ind w:right="420"/>
        <w:spacing w:after="0" w:line="264" w:lineRule="auto"/>
        <w:rPr>
          <w:sz w:val="20"/>
          <w:szCs w:val="20"/>
          <w:color w:val="auto"/>
        </w:rPr>
      </w:pPr>
      <w:r>
        <w:rPr>
          <w:rFonts w:ascii="Arial" w:cs="Arial" w:eastAsia="Arial" w:hAnsi="Arial"/>
          <w:sz w:val="16"/>
          <w:szCs w:val="16"/>
          <w:color w:val="auto"/>
        </w:rPr>
        <w:t>The performance goals are then applied to the compensation opportunities for our executive officers, including NEOs, so that executive incentive goals are in alignment with company goals for the year.</w:t>
      </w:r>
    </w:p>
    <w:p>
      <w:pPr>
        <w:ind w:right="100"/>
        <w:spacing w:after="0" w:line="272" w:lineRule="auto"/>
        <w:rPr>
          <w:sz w:val="20"/>
          <w:szCs w:val="20"/>
          <w:color w:val="auto"/>
        </w:rPr>
      </w:pPr>
      <w:r>
        <w:rPr>
          <w:rFonts w:ascii="Arial" w:cs="Arial" w:eastAsia="Arial" w:hAnsi="Arial"/>
          <w:sz w:val="16"/>
          <w:szCs w:val="16"/>
          <w:color w:val="auto"/>
        </w:rPr>
        <w:t>Annually the CMDC reviews base salaries, STI and LTI program ranges, plan designs, benefits and peer group and other broader market data.</w:t>
      </w:r>
    </w:p>
    <w:p>
      <w:pPr>
        <w:spacing w:after="0" w:line="1"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color w:val="auto"/>
        </w:rPr>
        <w:t>Progress against the performance goals are monitored throughout the year based on reports and analysis on progress towards milestones and other success measures.</w:t>
      </w:r>
    </w:p>
    <w:p>
      <w:pPr>
        <w:spacing w:after="0" w:line="1" w:lineRule="exact"/>
        <w:rPr>
          <w:sz w:val="20"/>
          <w:szCs w:val="20"/>
          <w:color w:val="auto"/>
        </w:rPr>
      </w:pPr>
    </w:p>
    <w:p>
      <w:pPr>
        <w:ind w:right="520"/>
        <w:spacing w:after="0" w:line="264" w:lineRule="auto"/>
        <w:rPr>
          <w:sz w:val="20"/>
          <w:szCs w:val="20"/>
          <w:color w:val="auto"/>
        </w:rPr>
      </w:pPr>
      <w:r>
        <w:rPr>
          <w:rFonts w:ascii="Arial" w:cs="Arial" w:eastAsia="Arial" w:hAnsi="Arial"/>
          <w:sz w:val="16"/>
          <w:szCs w:val="16"/>
          <w:color w:val="auto"/>
        </w:rPr>
        <w:t>Our CEO recommends compensation levels for each NEO, other than himself, for the CMDC’s review in the context of such executive officer’s contributions to the company and the other factors described above.</w:t>
      </w:r>
    </w:p>
    <w:p>
      <w:pPr>
        <w:ind w:right="300"/>
        <w:spacing w:after="0" w:line="264" w:lineRule="auto"/>
        <w:rPr>
          <w:sz w:val="20"/>
          <w:szCs w:val="20"/>
          <w:color w:val="auto"/>
        </w:rPr>
      </w:pPr>
      <w:r>
        <w:rPr>
          <w:rFonts w:ascii="Arial" w:cs="Arial" w:eastAsia="Arial" w:hAnsi="Arial"/>
          <w:sz w:val="16"/>
          <w:szCs w:val="16"/>
          <w:color w:val="auto"/>
        </w:rPr>
        <w:t>The CMDC reviews, discusses and approves the final compensation for each NEO, other than our CEO, including base salary, STI and LTI awards.</w:t>
      </w:r>
    </w:p>
    <w:p>
      <w:pPr>
        <w:ind w:right="300"/>
        <w:spacing w:after="0" w:line="286" w:lineRule="auto"/>
        <w:rPr>
          <w:sz w:val="20"/>
          <w:szCs w:val="20"/>
          <w:color w:val="auto"/>
        </w:rPr>
      </w:pPr>
      <w:r>
        <w:rPr>
          <w:rFonts w:ascii="Arial" w:cs="Arial" w:eastAsia="Arial" w:hAnsi="Arial"/>
          <w:sz w:val="16"/>
          <w:szCs w:val="16"/>
          <w:color w:val="auto"/>
        </w:rPr>
        <w:t>The CMDC reviews CEO goal progress and results and recommends the compensation of our CEO, including base salary, STI and LTI awards, to the Board for approval.</w:t>
      </w:r>
    </w:p>
    <w:p>
      <w:pPr>
        <w:spacing w:after="0" w:line="75" w:lineRule="exact"/>
        <w:rPr>
          <w:sz w:val="20"/>
          <w:szCs w:val="20"/>
          <w:color w:val="auto"/>
        </w:rPr>
      </w:pPr>
    </w:p>
    <w:p>
      <w:pPr>
        <w:sectPr>
          <w:pgSz w:w="11900" w:h="16838" w:orient="portrait"/>
          <w:cols w:equalWidth="0" w:num="2">
            <w:col w:w="1540" w:space="240"/>
            <w:col w:w="9360"/>
          </w:cols>
          <w:pgMar w:left="320" w:top="482" w:right="439" w:bottom="1440" w:gutter="0" w:footer="0" w:header="0"/>
          <w:type w:val="continuous"/>
        </w:sectPr>
      </w:pPr>
    </w:p>
    <w:p>
      <w:pPr>
        <w:ind w:left="120" w:right="680"/>
        <w:spacing w:after="0" w:line="286" w:lineRule="auto"/>
        <w:rPr>
          <w:sz w:val="20"/>
          <w:szCs w:val="20"/>
          <w:color w:val="auto"/>
        </w:rPr>
      </w:pPr>
      <w:r>
        <w:rPr>
          <w:rFonts w:ascii="Arial" w:cs="Arial" w:eastAsia="Arial" w:hAnsi="Arial"/>
          <w:sz w:val="16"/>
          <w:szCs w:val="16"/>
          <w:color w:val="auto"/>
        </w:rPr>
        <w:t>Our CMDC is committed to ensuring that award payouts are reflective of our performance outcomes, aligned with stockholder value and hold the executive officers, which includes all of our NEOs, accountable for the company’s business performance compared to original goals.</w:t>
      </w:r>
    </w:p>
    <w:p>
      <w:pPr>
        <w:spacing w:after="0" w:line="102" w:lineRule="exact"/>
        <w:rPr>
          <w:sz w:val="20"/>
          <w:szCs w:val="20"/>
          <w:color w:val="auto"/>
        </w:rPr>
      </w:pPr>
    </w:p>
    <w:p>
      <w:pPr>
        <w:jc w:val="right"/>
        <w:ind w:right="40"/>
        <w:spacing w:after="0"/>
        <w:rPr>
          <w:sz w:val="20"/>
          <w:szCs w:val="20"/>
          <w:color w:val="auto"/>
        </w:rPr>
      </w:pPr>
      <w:r>
        <w:rPr>
          <w:sz w:val="1"/>
          <w:szCs w:val="1"/>
          <w:color w:val="auto"/>
        </w:rPr>
        <w:drawing>
          <wp:inline distT="0" distB="0" distL="0" distR="0">
            <wp:extent cx="419735" cy="1371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8"/>
          <w:szCs w:val="18"/>
          <w:color w:val="0075C9"/>
        </w:rPr>
        <w:t xml:space="preserve">   2026 Proxy Statement   </w:t>
      </w:r>
      <w:r>
        <w:rPr>
          <w:rFonts w:ascii="Arial" w:cs="Arial" w:eastAsia="Arial" w:hAnsi="Arial"/>
          <w:sz w:val="16"/>
          <w:szCs w:val="16"/>
          <w:color w:val="0075C9"/>
        </w:rPr>
        <w:t>-48-</w:t>
      </w:r>
    </w:p>
    <w:p>
      <w:pPr>
        <w:sectPr>
          <w:pgSz w:w="11900" w:h="16838" w:orient="portrait"/>
          <w:cols w:equalWidth="0" w:num="1">
            <w:col w:w="11140"/>
          </w:cols>
          <w:pgMar w:left="320" w:top="482" w:right="4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Retirement Plans</w:t>
      </w:r>
    </w:p>
    <w:p>
      <w:pPr>
        <w:spacing w:after="0" w:line="108"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We maintain a tax-qualified 401(k) plan, as well as an SSP, which is a non-qualified deferred compensation plan covering our executive officers and other eligible employees in the U.S. We offer the SSP as part of the retirement savings component of our benefits program. We designed the SSP to be competitive with the non-qualified deferred compensation plans offered by companies in our peer group at the time it was adopted. Details of the SSP are discussed under the heading “2025 Non-Qualified Deferred Compensation” below.</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Other Benefits</w:t>
      </w:r>
    </w:p>
    <w:p>
      <w:pPr>
        <w:spacing w:after="0" w:line="108"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In addition to eligibility for the benefit programs generally provided to all employees, such as our employee stock purchase plan, 401(k) plan and medical, dental, vision, life and disability insurance, we provide certain supplemental benefits to our executives. These benefits include: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Life Insurance</w:t>
      </w:r>
    </w:p>
    <w:p>
      <w:pPr>
        <w:spacing w:after="0" w:line="113"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All of our U.S. executive officers, including our NEOs, receive company-paid term life insurance equal to three times their annual base salary, up to a maximum benefit amount. In 2025 the maximum benefit amount for the CEO and all other NEOs was $3.5 million. The guaranteed issue amount which is the maximum amount of insurance an employee can receive without evidence of insurability when first eligible under the plan for the CEO is $1.5 million, and $2.25 million for all of our U.S. executive officers, including our NEOs. Employees who are not executive officers receive company-paid term life insurance equal to two times their annual base salary. The additional value of company-provided life insurance for our executive officers reflects competitive practices and is consistent with our philosophy to provide appropriate levels of financial security for our employees based on their positions within the company. The cost of company-paid life insurance in excess of a $50,000 insurance level is taxable income to U.S. employees and is not grossed up by the company.</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Executive Physicals, Tax Preparation, Financial and Estate Planning</w:t>
      </w:r>
    </w:p>
    <w:p>
      <w:pPr>
        <w:spacing w:after="0" w:line="113"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Our executive officers are eligible for reimbursement of expenses incurred for tax preparation and financial and estate planning services as well as the purchase of tax preparation and financial planning software, subject to combined annual expense limits of $7,500 for our EVPs and the CEO. Such reimbursements are taxable income to our executives and are not grossed up.</w:t>
      </w:r>
    </w:p>
    <w:p>
      <w:pPr>
        <w:spacing w:after="0" w:line="63" w:lineRule="exact"/>
        <w:rPr>
          <w:sz w:val="20"/>
          <w:szCs w:val="20"/>
          <w:color w:val="auto"/>
        </w:rPr>
      </w:pPr>
    </w:p>
    <w:p>
      <w:pPr>
        <w:ind w:left="120" w:right="300"/>
        <w:spacing w:after="0" w:line="266" w:lineRule="auto"/>
        <w:rPr>
          <w:sz w:val="20"/>
          <w:szCs w:val="20"/>
          <w:color w:val="auto"/>
        </w:rPr>
      </w:pPr>
      <w:r>
        <w:rPr>
          <w:rFonts w:ascii="Arial" w:cs="Arial" w:eastAsia="Arial" w:hAnsi="Arial"/>
          <w:sz w:val="16"/>
          <w:szCs w:val="16"/>
          <w:color w:val="auto"/>
        </w:rPr>
        <w:t>All of our executive officers, including our CEO, are eligible for reimbursement for the cost of their executive annual physicals, subject to the combined annual expense limits noted above of $7,500 for our EVPs and the CEO. This benefit provides our executive officers with additional flexibility to proactively manage their health and wellness.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Relocation Expenses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our Executive Relocation Policy, we will, in certain circumstances, provide relocation benefits when employees first join us.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Post-Termination Compensation and Benefits</w:t>
      </w:r>
    </w:p>
    <w:p>
      <w:pPr>
        <w:spacing w:after="0" w:line="108" w:lineRule="exact"/>
        <w:rPr>
          <w:sz w:val="20"/>
          <w:szCs w:val="20"/>
          <w:color w:val="auto"/>
        </w:rPr>
      </w:pPr>
    </w:p>
    <w:p>
      <w:pPr>
        <w:ind w:left="120" w:right="40"/>
        <w:spacing w:after="0" w:line="255" w:lineRule="auto"/>
        <w:rPr>
          <w:sz w:val="20"/>
          <w:szCs w:val="20"/>
          <w:color w:val="auto"/>
        </w:rPr>
      </w:pPr>
      <w:r>
        <w:rPr>
          <w:rFonts w:ascii="Arial" w:cs="Arial" w:eastAsia="Arial" w:hAnsi="Arial"/>
          <w:sz w:val="16"/>
          <w:szCs w:val="16"/>
          <w:color w:val="auto"/>
        </w:rPr>
        <w:t>We provide severance benefits to all of our executive officers if their employment is terminated without cause or in certain other circumstances. The terms of these arrangements and the amounts payable under them are described below for each NEO under the heading “Potential Payments Upon Termination or Change in Control.” We provide these benefits because we believe that severance protection is necessary to help our executives maintain their focus on the best interests of the company when providing advice to the company and when making strategic decisions about a potential corporate transaction or change in control, and further encourages effective leadership in the closing and integration of significant transactions affecting the company.</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Stock Ownership Guidelines</w:t>
      </w:r>
    </w:p>
    <w:p>
      <w:pPr>
        <w:spacing w:after="0" w:line="108"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We maintain stock ownership guidelines for our CEO, EVPs and Chief Accounting Officer to strengthen and reinforce the link our compensation programs create between our executives and our stockholders. A summary of our stock ownership guidelines for our CEO, EVPs and Chief Accounting Officer is set forth below.</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340" w:type="dxa"/>
            <w:vAlign w:val="bottom"/>
            <w:shd w:val="clear" w:color="auto" w:fill="0075C9"/>
          </w:tcPr>
          <w:p>
            <w:pPr>
              <w:spacing w:after="0"/>
              <w:rPr>
                <w:sz w:val="15"/>
                <w:szCs w:val="15"/>
                <w:color w:val="auto"/>
              </w:rPr>
            </w:pPr>
          </w:p>
        </w:tc>
        <w:tc>
          <w:tcPr>
            <w:tcW w:w="1500" w:type="dxa"/>
            <w:vAlign w:val="bottom"/>
            <w:shd w:val="clear" w:color="auto" w:fill="0075C9"/>
          </w:tcPr>
          <w:p>
            <w:pPr>
              <w:jc w:val="center"/>
              <w:ind w:left="143"/>
              <w:spacing w:after="0"/>
              <w:rPr>
                <w:sz w:val="20"/>
                <w:szCs w:val="20"/>
                <w:color w:val="auto"/>
              </w:rPr>
            </w:pPr>
            <w:r>
              <w:rPr>
                <w:rFonts w:ascii="Arial" w:cs="Arial" w:eastAsia="Arial" w:hAnsi="Arial"/>
                <w:sz w:val="14"/>
                <w:szCs w:val="14"/>
                <w:color w:val="FFFFFF"/>
              </w:rPr>
              <w:t>Number of Shares</w:t>
            </w:r>
          </w:p>
        </w:tc>
      </w:tr>
      <w:tr>
        <w:trPr>
          <w:trHeight w:val="185"/>
        </w:trPr>
        <w:tc>
          <w:tcPr>
            <w:tcW w:w="3340" w:type="dxa"/>
            <w:vAlign w:val="bottom"/>
            <w:shd w:val="clear" w:color="auto" w:fill="0075C9"/>
          </w:tcPr>
          <w:p>
            <w:pPr>
              <w:ind w:left="80"/>
              <w:spacing w:after="0"/>
              <w:rPr>
                <w:sz w:val="20"/>
                <w:szCs w:val="20"/>
                <w:color w:val="auto"/>
              </w:rPr>
            </w:pPr>
            <w:r>
              <w:rPr>
                <w:rFonts w:ascii="Arial" w:cs="Arial" w:eastAsia="Arial" w:hAnsi="Arial"/>
                <w:sz w:val="14"/>
                <w:szCs w:val="14"/>
                <w:color w:val="FFFFFF"/>
              </w:rPr>
              <w:t>Level</w:t>
            </w:r>
          </w:p>
        </w:tc>
        <w:tc>
          <w:tcPr>
            <w:tcW w:w="1500" w:type="dxa"/>
            <w:vAlign w:val="bottom"/>
            <w:shd w:val="clear" w:color="auto" w:fill="0075C9"/>
          </w:tcPr>
          <w:p>
            <w:pPr>
              <w:jc w:val="center"/>
              <w:ind w:left="143"/>
              <w:spacing w:after="0"/>
              <w:rPr>
                <w:sz w:val="20"/>
                <w:szCs w:val="20"/>
                <w:color w:val="auto"/>
              </w:rPr>
            </w:pPr>
            <w:r>
              <w:rPr>
                <w:rFonts w:ascii="Arial" w:cs="Arial" w:eastAsia="Arial" w:hAnsi="Arial"/>
                <w:sz w:val="14"/>
                <w:szCs w:val="14"/>
                <w:color w:val="FFFFFF"/>
              </w:rPr>
              <w:t>Equal in Value to:</w:t>
            </w:r>
          </w:p>
        </w:tc>
      </w:tr>
      <w:tr>
        <w:trPr>
          <w:trHeight w:val="228"/>
        </w:trPr>
        <w:tc>
          <w:tcPr>
            <w:tcW w:w="3340" w:type="dxa"/>
            <w:vAlign w:val="bottom"/>
            <w:shd w:val="clear" w:color="auto" w:fill="E5F1F9"/>
          </w:tcPr>
          <w:p>
            <w:pPr>
              <w:ind w:left="80"/>
              <w:spacing w:after="0"/>
              <w:rPr>
                <w:sz w:val="20"/>
                <w:szCs w:val="20"/>
                <w:color w:val="auto"/>
              </w:rPr>
            </w:pPr>
            <w:r>
              <w:rPr>
                <w:rFonts w:ascii="Arial" w:cs="Arial" w:eastAsia="Arial" w:hAnsi="Arial"/>
                <w:sz w:val="16"/>
                <w:szCs w:val="16"/>
                <w:color w:val="auto"/>
              </w:rPr>
              <w:t>CEO</w:t>
            </w:r>
          </w:p>
        </w:tc>
        <w:tc>
          <w:tcPr>
            <w:tcW w:w="1500" w:type="dxa"/>
            <w:vAlign w:val="bottom"/>
            <w:shd w:val="clear" w:color="auto" w:fill="E5F1F9"/>
          </w:tcPr>
          <w:p>
            <w:pPr>
              <w:jc w:val="center"/>
              <w:ind w:left="143"/>
              <w:spacing w:after="0"/>
              <w:rPr>
                <w:sz w:val="20"/>
                <w:szCs w:val="20"/>
                <w:color w:val="auto"/>
              </w:rPr>
            </w:pPr>
            <w:r>
              <w:rPr>
                <w:rFonts w:ascii="Arial" w:cs="Arial" w:eastAsia="Arial" w:hAnsi="Arial"/>
                <w:sz w:val="16"/>
                <w:szCs w:val="16"/>
                <w:color w:val="auto"/>
              </w:rPr>
              <w:t>6x base salary</w:t>
            </w:r>
          </w:p>
        </w:tc>
      </w:tr>
      <w:tr>
        <w:trPr>
          <w:trHeight w:val="230"/>
        </w:trPr>
        <w:tc>
          <w:tcPr>
            <w:tcW w:w="3340" w:type="dxa"/>
            <w:vAlign w:val="bottom"/>
            <w:shd w:val="clear" w:color="auto" w:fill="B2D5EE"/>
          </w:tcPr>
          <w:p>
            <w:pPr>
              <w:ind w:left="80"/>
              <w:spacing w:after="0"/>
              <w:rPr>
                <w:sz w:val="20"/>
                <w:szCs w:val="20"/>
                <w:color w:val="auto"/>
              </w:rPr>
            </w:pPr>
            <w:r>
              <w:rPr>
                <w:rFonts w:ascii="Arial" w:cs="Arial" w:eastAsia="Arial" w:hAnsi="Arial"/>
                <w:sz w:val="16"/>
                <w:szCs w:val="16"/>
                <w:color w:val="auto"/>
              </w:rPr>
              <w:t>Executive Vice Presidents</w:t>
            </w:r>
          </w:p>
        </w:tc>
        <w:tc>
          <w:tcPr>
            <w:tcW w:w="1500" w:type="dxa"/>
            <w:vAlign w:val="bottom"/>
            <w:shd w:val="clear" w:color="auto" w:fill="B2D5EE"/>
          </w:tcPr>
          <w:p>
            <w:pPr>
              <w:jc w:val="center"/>
              <w:ind w:left="143"/>
              <w:spacing w:after="0"/>
              <w:rPr>
                <w:sz w:val="20"/>
                <w:szCs w:val="20"/>
                <w:color w:val="auto"/>
              </w:rPr>
            </w:pPr>
            <w:r>
              <w:rPr>
                <w:rFonts w:ascii="Arial" w:cs="Arial" w:eastAsia="Arial" w:hAnsi="Arial"/>
                <w:sz w:val="16"/>
                <w:szCs w:val="16"/>
                <w:color w:val="auto"/>
              </w:rPr>
              <w:t>3x base salary</w:t>
            </w:r>
          </w:p>
        </w:tc>
      </w:tr>
      <w:tr>
        <w:trPr>
          <w:trHeight w:val="230"/>
        </w:trPr>
        <w:tc>
          <w:tcPr>
            <w:tcW w:w="3340" w:type="dxa"/>
            <w:vAlign w:val="bottom"/>
            <w:shd w:val="clear" w:color="auto" w:fill="E5F1F9"/>
          </w:tcPr>
          <w:p>
            <w:pPr>
              <w:ind w:left="80"/>
              <w:spacing w:after="0"/>
              <w:rPr>
                <w:sz w:val="20"/>
                <w:szCs w:val="20"/>
                <w:color w:val="auto"/>
              </w:rPr>
            </w:pPr>
            <w:r>
              <w:rPr>
                <w:rFonts w:ascii="Arial" w:cs="Arial" w:eastAsia="Arial" w:hAnsi="Arial"/>
                <w:sz w:val="16"/>
                <w:szCs w:val="16"/>
                <w:color w:val="auto"/>
              </w:rPr>
              <w:t>Chief Accounting Officer</w:t>
            </w:r>
          </w:p>
        </w:tc>
        <w:tc>
          <w:tcPr>
            <w:tcW w:w="1500" w:type="dxa"/>
            <w:vAlign w:val="bottom"/>
            <w:shd w:val="clear" w:color="auto" w:fill="E5F1F9"/>
          </w:tcPr>
          <w:p>
            <w:pPr>
              <w:jc w:val="center"/>
              <w:ind w:left="143"/>
              <w:spacing w:after="0"/>
              <w:rPr>
                <w:sz w:val="20"/>
                <w:szCs w:val="20"/>
                <w:color w:val="auto"/>
              </w:rPr>
            </w:pPr>
            <w:r>
              <w:rPr>
                <w:rFonts w:ascii="Arial" w:cs="Arial" w:eastAsia="Arial" w:hAnsi="Arial"/>
                <w:sz w:val="16"/>
                <w:szCs w:val="16"/>
                <w:color w:val="auto"/>
              </w:rPr>
              <w:t>1x base salary</w:t>
            </w:r>
          </w:p>
        </w:tc>
      </w:tr>
    </w:tbl>
    <w:p>
      <w:pPr>
        <w:spacing w:after="0" w:line="94"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These executive officers have five years from their initial appointment to meet this requirement. In the event the requirement is not met within that time, 100% of vested stock received in respect of LTI awards is required to be held until the requirement is satisfied. Only stock owned outright and underlying vested or earned performance-based equity awards is credited toward the stock</w:t>
      </w:r>
    </w:p>
    <w:p>
      <w:pPr>
        <w:spacing w:after="0" w:line="11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-49-</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660"/>
        <w:spacing w:after="0"/>
        <w:rPr>
          <w:sz w:val="20"/>
          <w:szCs w:val="20"/>
          <w:color w:val="auto"/>
        </w:rPr>
      </w:pPr>
      <w:r>
        <w:rPr>
          <w:rFonts w:ascii="Arial" w:cs="Arial" w:eastAsia="Arial" w:hAnsi="Arial"/>
          <w:sz w:val="19"/>
          <w:szCs w:val="19"/>
          <w:color w:val="0075C9"/>
        </w:rPr>
        <w:t>Compensation Discussion and Analysis</w:t>
      </w:r>
    </w:p>
    <w:p>
      <w:pPr>
        <w:spacing w:after="0" w:line="154" w:lineRule="exact"/>
        <w:rPr>
          <w:sz w:val="20"/>
          <w:szCs w:val="20"/>
          <w:color w:val="auto"/>
        </w:rPr>
      </w:pPr>
    </w:p>
    <w:p>
      <w:pPr>
        <w:ind w:left="120" w:right="680"/>
        <w:spacing w:after="0" w:line="286" w:lineRule="auto"/>
        <w:rPr>
          <w:sz w:val="20"/>
          <w:szCs w:val="20"/>
          <w:color w:val="auto"/>
        </w:rPr>
      </w:pPr>
      <w:r>
        <w:rPr>
          <w:rFonts w:ascii="Arial" w:cs="Arial" w:eastAsia="Arial" w:hAnsi="Arial"/>
          <w:sz w:val="16"/>
          <w:szCs w:val="16"/>
          <w:color w:val="auto"/>
        </w:rPr>
        <w:t>ownership requirement. Shares underlying unvested or unearned performance-based equity awards are not included in the calculation. All of our executive officers currently meet the stock ownership requirement or are still within the five-year period to meet such requirement.</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Recoupment of Compensation</w:t>
      </w:r>
    </w:p>
    <w:p>
      <w:pPr>
        <w:spacing w:after="0" w:line="108"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We may recover compensation from our employees, including our executive officers, who engage in detrimental or competitive activity. Detrimental activity includes any action or failure to act that constitutes financial malfeasance that is materially injurious to the company, violates our Code of Business Conduct, results in a restatement of our earnings or financial results or results in a violation or breach of law or contract. Competitive activity includes any action or failure to act that violates non-disclosure, non-competition and/or non-solicitation agreements. Our 2025 Performance-Based Management Incentive Plan allows for the forfeiture and/or repayment of cash-based awards and our 2017 Omnibus Equity Plan and our 2024 Omnibus Equity Plan allows for the cancellation of LTI awards in these circumstances as well as the forfeiture of stock or cash acquired upon vesting or sale of LTI awards. In addition, cash sign-on bonuses paid to our NEOs may be subject to repayment if the NEO voluntarily resigns from the company or if his or her employment is terminated by the company in certain circumstances. In 2023 the CMDC approved a clawback policy compliant with the final rules issued under the Dodd-Frank Wall Street Reform and Consumer Protection Act of 2010 applicable Nasdaq listing standards providing for the recoupment of erroneously paid compensation in the case of certain accounting restatements.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Insider Trading, Hedging and Pledging Policy Prohibitions</w:t>
      </w:r>
    </w:p>
    <w:p>
      <w:pPr>
        <w:spacing w:after="0" w:line="108"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We maintain a Global Insider Trading and Information Policy that prohibits our employees, including executive officers, temporary staff and directors, members of their immediate family and family trusts (or similar entities) controlled by or benefitting such persons from, among other things, (i) buying or selling our common stock (or the common stock of the companies we do business with) while aware of any material nonpublic information, (ii) engaging in hedging or derivative or similar transactions with respect to the company’s equity securities, including, purchases or sales of puts and calls, options, forward contracts, put and call collars, equity or performance swap or exchange fund agreements, or any similar agreements or arrangements and</w:t>
      </w:r>
    </w:p>
    <w:p>
      <w:pPr>
        <w:spacing w:after="0" w:line="3" w:lineRule="exact"/>
        <w:rPr>
          <w:sz w:val="20"/>
          <w:szCs w:val="20"/>
          <w:color w:val="auto"/>
        </w:rPr>
      </w:pPr>
    </w:p>
    <w:p>
      <w:pPr>
        <w:ind w:left="120" w:right="60" w:hanging="4"/>
        <w:spacing w:after="0" w:line="256" w:lineRule="auto"/>
        <w:tabs>
          <w:tab w:leader="none" w:pos="38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purchasing company stock on margin, borrowing against any account in which company securities are held, pledging company securities as collateral for a loan or engaging in short sales of the company’s securities. No categories of hedging transactions are specifically permitted by our Global Insider Trading and Information Policy and those that are specifically prohibited are noted above.</w:t>
      </w:r>
    </w:p>
    <w:p>
      <w:pPr>
        <w:spacing w:after="0" w:line="70" w:lineRule="exact"/>
        <w:rPr>
          <w:sz w:val="20"/>
          <w:szCs w:val="20"/>
          <w:color w:val="auto"/>
        </w:rPr>
      </w:pPr>
    </w:p>
    <w:p>
      <w:pPr>
        <w:ind w:left="120" w:right="340"/>
        <w:spacing w:after="0" w:line="259" w:lineRule="auto"/>
        <w:rPr>
          <w:sz w:val="20"/>
          <w:szCs w:val="20"/>
          <w:color w:val="auto"/>
        </w:rPr>
      </w:pPr>
      <w:r>
        <w:rPr>
          <w:rFonts w:ascii="Arial" w:cs="Arial" w:eastAsia="Arial" w:hAnsi="Arial"/>
          <w:sz w:val="16"/>
          <w:szCs w:val="16"/>
          <w:color w:val="auto"/>
        </w:rPr>
        <w:t>We have adopted an insider trading policy governing the purchase, sale and/or other dispositions of our securities by our directors, executive officers, employees, temporary staff and Biogen itself, that we believe is reasonably designed to promote compliance with insider trading laws, rules and regulations and applicable Nasdaq listing standards. A copy of our Global Insider Trading and Information Policy is filed as Exhibit 19.1 to our 2025 Annual Report on Form 10-K.</w:t>
      </w:r>
    </w:p>
    <w:p>
      <w:pPr>
        <w:spacing w:after="0" w:line="12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-50-</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Compensation Discussion and Analysis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Timing of Equity Awards</w:t>
      </w:r>
    </w:p>
    <w:p>
      <w:pPr>
        <w:spacing w:after="0" w:line="108"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While we do not have a specific policy on the timing of equity awards to our NEOs, our longstanding practice has been to consider and grant annual equity awards to our NEOs at our February Board meeting. We also occasionally grant new hire or other special grants in connection with recruitment of executive officers or other business needs. We do not take material nonpublic information into account when determining the timing and terms of awards nor do we time the disclosure of material nonpublic information for the purpose of affecting the value of executive compensation. We do not currently grant awards of stock options, stock appreciation rights or similar option-like awards to our NEOs, but the Board has done so in the past (including in connection with the recruitment and hiring of our CEO) and reserves the right to grant such awards in the future.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Tax-Deductibility of Compensation</w:t>
      </w:r>
    </w:p>
    <w:p>
      <w:pPr>
        <w:spacing w:after="0" w:line="108"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Section 162(m) of the Internal Revenue Code generally limits the amount a company may deduct for compensation in excess of $1.0 million paid to certain “covered employees,” subject to certain transition relief applicable to certain arrangements in place as of November 2, 2017, and not materially modified after such date. Our CMDC regularly reviews the provisions of our plans and programs, works with its independent compensation consultant and reviews and considers, among other things, the tax deductibility of compensation payments. Our CMDC, however, believes that compensation programs that attract, retain and reward executive talent and achievement are necessary for our success and, therefore, are in the best interests of the company and our stockholders without regard to the potential deductibility of the compensation payable under such programs. Consequently, our CMDC will pay or provide, and has paid or provided, compensation that is not tax deductible in whole or in part.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Compensation and Management Development Committee Report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CMDC furnishes the following report:</w:t>
      </w:r>
    </w:p>
    <w:p>
      <w:pPr>
        <w:spacing w:after="0" w:line="113"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The CMDC has reviewed and discussed the CD&amp;A with Biogen management. Based on this review and discussion, the CMDC recommended to the Board that the CD&amp;A be included in this Proxy Statement.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Submitted by,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Jesus B. Mantas (Chair)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Maria C. Freire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Susan K. Langer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Menelas Pangalos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K. Rowinsky</w:t>
      </w:r>
    </w:p>
    <w:p>
      <w:pPr>
        <w:spacing w:after="0" w:line="152"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-51-</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320"/>
        <w:spacing w:after="0"/>
        <w:rPr>
          <w:sz w:val="20"/>
          <w:szCs w:val="20"/>
          <w:color w:val="auto"/>
        </w:rPr>
      </w:pPr>
      <w:r>
        <w:rPr>
          <w:rFonts w:ascii="Arial" w:cs="Arial" w:eastAsia="Arial" w:hAnsi="Arial"/>
          <w:sz w:val="19"/>
          <w:szCs w:val="19"/>
          <w:color w:val="0075C9"/>
        </w:rPr>
        <w:t>Executive Compensation Tables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Summary Compensation Table</w:t>
      </w:r>
    </w:p>
    <w:p>
      <w:pPr>
        <w:spacing w:after="0" w:line="108"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color w:val="auto"/>
        </w:rPr>
        <w:t>The following table shows the compensation paid to or earned by our NEOs during the years ended December 31, 2025, December 31, 2024, and December 31, 2023, for the year(s) in which they were a NEO under applicable SEC rules.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750" w:type="dxa"/>
            <w:vAlign w:val="bottom"/>
            <w:shd w:val="clear" w:color="auto" w:fill="0075C9"/>
          </w:tcPr>
          <w:p>
            <w:pPr>
              <w:spacing w:after="0"/>
              <w:rPr>
                <w:sz w:val="13"/>
                <w:szCs w:val="13"/>
                <w:color w:val="auto"/>
              </w:rPr>
            </w:pPr>
          </w:p>
        </w:tc>
        <w:tc>
          <w:tcPr>
            <w:tcW w:w="410" w:type="dxa"/>
            <w:vAlign w:val="bottom"/>
            <w:shd w:val="clear" w:color="auto" w:fill="0075C9"/>
          </w:tcPr>
          <w:p>
            <w:pPr>
              <w:spacing w:after="0"/>
              <w:rPr>
                <w:sz w:val="13"/>
                <w:szCs w:val="13"/>
                <w:color w:val="auto"/>
              </w:rPr>
            </w:pPr>
          </w:p>
        </w:tc>
        <w:tc>
          <w:tcPr>
            <w:tcW w:w="960" w:type="dxa"/>
            <w:vAlign w:val="bottom"/>
            <w:shd w:val="clear" w:color="auto" w:fill="0075C9"/>
          </w:tcPr>
          <w:p>
            <w:pPr>
              <w:spacing w:after="0"/>
              <w:rPr>
                <w:sz w:val="13"/>
                <w:szCs w:val="13"/>
                <w:color w:val="auto"/>
              </w:rPr>
            </w:pPr>
          </w:p>
        </w:tc>
        <w:tc>
          <w:tcPr>
            <w:tcW w:w="660" w:type="dxa"/>
            <w:vAlign w:val="bottom"/>
            <w:shd w:val="clear" w:color="auto" w:fill="0075C9"/>
          </w:tcPr>
          <w:p>
            <w:pPr>
              <w:spacing w:after="0"/>
              <w:rPr>
                <w:sz w:val="13"/>
                <w:szCs w:val="13"/>
                <w:color w:val="auto"/>
              </w:rPr>
            </w:pPr>
          </w:p>
        </w:tc>
        <w:tc>
          <w:tcPr>
            <w:tcW w:w="960" w:type="dxa"/>
            <w:vAlign w:val="bottom"/>
            <w:shd w:val="clear" w:color="auto" w:fill="0075C9"/>
          </w:tcPr>
          <w:p>
            <w:pPr>
              <w:spacing w:after="0"/>
              <w:rPr>
                <w:sz w:val="13"/>
                <w:szCs w:val="13"/>
                <w:color w:val="auto"/>
              </w:rPr>
            </w:pPr>
          </w:p>
        </w:tc>
        <w:tc>
          <w:tcPr>
            <w:tcW w:w="1140" w:type="dxa"/>
            <w:vAlign w:val="bottom"/>
            <w:shd w:val="clear" w:color="auto" w:fill="0075C9"/>
          </w:tcPr>
          <w:p>
            <w:pPr>
              <w:spacing w:after="0"/>
              <w:rPr>
                <w:sz w:val="13"/>
                <w:szCs w:val="13"/>
                <w:color w:val="auto"/>
              </w:rPr>
            </w:pPr>
          </w:p>
        </w:tc>
        <w:tc>
          <w:tcPr>
            <w:tcW w:w="12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Change in</w:t>
            </w:r>
          </w:p>
        </w:tc>
        <w:tc>
          <w:tcPr>
            <w:tcW w:w="1100" w:type="dxa"/>
            <w:vAlign w:val="bottom"/>
            <w:shd w:val="clear" w:color="auto" w:fill="0075C9"/>
          </w:tcPr>
          <w:p>
            <w:pPr>
              <w:spacing w:after="0"/>
              <w:rPr>
                <w:sz w:val="13"/>
                <w:szCs w:val="13"/>
                <w:color w:val="auto"/>
              </w:rPr>
            </w:pPr>
          </w:p>
        </w:tc>
        <w:tc>
          <w:tcPr>
            <w:tcW w:w="820" w:type="dxa"/>
            <w:vAlign w:val="bottom"/>
            <w:shd w:val="clear" w:color="auto" w:fill="0075C9"/>
          </w:tcPr>
          <w:p>
            <w:pPr>
              <w:spacing w:after="0"/>
              <w:rPr>
                <w:sz w:val="13"/>
                <w:szCs w:val="13"/>
                <w:color w:val="auto"/>
              </w:rPr>
            </w:pPr>
          </w:p>
        </w:tc>
      </w:tr>
      <w:tr>
        <w:trPr>
          <w:trHeight w:val="149"/>
        </w:trPr>
        <w:tc>
          <w:tcPr>
            <w:tcW w:w="3750" w:type="dxa"/>
            <w:vAlign w:val="bottom"/>
            <w:shd w:val="clear" w:color="auto" w:fill="0075C9"/>
          </w:tcPr>
          <w:p>
            <w:pPr>
              <w:spacing w:after="0"/>
              <w:rPr>
                <w:sz w:val="12"/>
                <w:szCs w:val="12"/>
                <w:color w:val="auto"/>
              </w:rPr>
            </w:pPr>
          </w:p>
        </w:tc>
        <w:tc>
          <w:tcPr>
            <w:tcW w:w="410" w:type="dxa"/>
            <w:vAlign w:val="bottom"/>
            <w:shd w:val="clear" w:color="auto" w:fill="0075C9"/>
          </w:tcPr>
          <w:p>
            <w:pPr>
              <w:spacing w:after="0"/>
              <w:rPr>
                <w:sz w:val="12"/>
                <w:szCs w:val="12"/>
                <w:color w:val="auto"/>
              </w:rPr>
            </w:pPr>
          </w:p>
        </w:tc>
        <w:tc>
          <w:tcPr>
            <w:tcW w:w="960" w:type="dxa"/>
            <w:vAlign w:val="bottom"/>
            <w:shd w:val="clear" w:color="auto" w:fill="0075C9"/>
          </w:tcPr>
          <w:p>
            <w:pPr>
              <w:spacing w:after="0"/>
              <w:rPr>
                <w:sz w:val="12"/>
                <w:szCs w:val="12"/>
                <w:color w:val="auto"/>
              </w:rPr>
            </w:pPr>
          </w:p>
        </w:tc>
        <w:tc>
          <w:tcPr>
            <w:tcW w:w="660" w:type="dxa"/>
            <w:vAlign w:val="bottom"/>
            <w:shd w:val="clear" w:color="auto" w:fill="0075C9"/>
          </w:tcPr>
          <w:p>
            <w:pPr>
              <w:spacing w:after="0"/>
              <w:rPr>
                <w:sz w:val="12"/>
                <w:szCs w:val="12"/>
                <w:color w:val="auto"/>
              </w:rPr>
            </w:pPr>
          </w:p>
        </w:tc>
        <w:tc>
          <w:tcPr>
            <w:tcW w:w="960" w:type="dxa"/>
            <w:vAlign w:val="bottom"/>
            <w:shd w:val="clear" w:color="auto" w:fill="0075C9"/>
          </w:tcPr>
          <w:p>
            <w:pPr>
              <w:spacing w:after="0"/>
              <w:rPr>
                <w:sz w:val="12"/>
                <w:szCs w:val="12"/>
                <w:color w:val="auto"/>
              </w:rPr>
            </w:pPr>
          </w:p>
        </w:tc>
        <w:tc>
          <w:tcPr>
            <w:tcW w:w="1140" w:type="dxa"/>
            <w:vAlign w:val="bottom"/>
            <w:shd w:val="clear" w:color="auto" w:fill="0075C9"/>
          </w:tcPr>
          <w:p>
            <w:pPr>
              <w:spacing w:after="0"/>
              <w:rPr>
                <w:sz w:val="12"/>
                <w:szCs w:val="12"/>
                <w:color w:val="auto"/>
              </w:rPr>
            </w:pPr>
          </w:p>
        </w:tc>
        <w:tc>
          <w:tcPr>
            <w:tcW w:w="12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Pension Value</w:t>
            </w:r>
          </w:p>
        </w:tc>
        <w:tc>
          <w:tcPr>
            <w:tcW w:w="1100" w:type="dxa"/>
            <w:vAlign w:val="bottom"/>
            <w:shd w:val="clear" w:color="auto" w:fill="0075C9"/>
          </w:tcPr>
          <w:p>
            <w:pPr>
              <w:spacing w:after="0"/>
              <w:rPr>
                <w:sz w:val="12"/>
                <w:szCs w:val="12"/>
                <w:color w:val="auto"/>
              </w:rPr>
            </w:pPr>
          </w:p>
        </w:tc>
        <w:tc>
          <w:tcPr>
            <w:tcW w:w="820" w:type="dxa"/>
            <w:vAlign w:val="bottom"/>
            <w:shd w:val="clear" w:color="auto" w:fill="0075C9"/>
          </w:tcPr>
          <w:p>
            <w:pPr>
              <w:spacing w:after="0"/>
              <w:rPr>
                <w:sz w:val="12"/>
                <w:szCs w:val="12"/>
                <w:color w:val="auto"/>
              </w:rPr>
            </w:pPr>
          </w:p>
        </w:tc>
      </w:tr>
      <w:tr>
        <w:trPr>
          <w:trHeight w:val="148"/>
        </w:trPr>
        <w:tc>
          <w:tcPr>
            <w:tcW w:w="3750" w:type="dxa"/>
            <w:vAlign w:val="bottom"/>
            <w:shd w:val="clear" w:color="auto" w:fill="0075C9"/>
          </w:tcPr>
          <w:p>
            <w:pPr>
              <w:spacing w:after="0"/>
              <w:rPr>
                <w:sz w:val="12"/>
                <w:szCs w:val="12"/>
                <w:color w:val="auto"/>
              </w:rPr>
            </w:pPr>
          </w:p>
        </w:tc>
        <w:tc>
          <w:tcPr>
            <w:tcW w:w="410" w:type="dxa"/>
            <w:vAlign w:val="bottom"/>
            <w:shd w:val="clear" w:color="auto" w:fill="0075C9"/>
          </w:tcPr>
          <w:p>
            <w:pPr>
              <w:spacing w:after="0"/>
              <w:rPr>
                <w:sz w:val="12"/>
                <w:szCs w:val="12"/>
                <w:color w:val="auto"/>
              </w:rPr>
            </w:pPr>
          </w:p>
        </w:tc>
        <w:tc>
          <w:tcPr>
            <w:tcW w:w="960" w:type="dxa"/>
            <w:vAlign w:val="bottom"/>
            <w:shd w:val="clear" w:color="auto" w:fill="0075C9"/>
          </w:tcPr>
          <w:p>
            <w:pPr>
              <w:spacing w:after="0"/>
              <w:rPr>
                <w:sz w:val="12"/>
                <w:szCs w:val="12"/>
                <w:color w:val="auto"/>
              </w:rPr>
            </w:pPr>
          </w:p>
        </w:tc>
        <w:tc>
          <w:tcPr>
            <w:tcW w:w="660" w:type="dxa"/>
            <w:vAlign w:val="bottom"/>
            <w:shd w:val="clear" w:color="auto" w:fill="0075C9"/>
          </w:tcPr>
          <w:p>
            <w:pPr>
              <w:spacing w:after="0"/>
              <w:rPr>
                <w:sz w:val="12"/>
                <w:szCs w:val="12"/>
                <w:color w:val="auto"/>
              </w:rPr>
            </w:pPr>
          </w:p>
        </w:tc>
        <w:tc>
          <w:tcPr>
            <w:tcW w:w="960" w:type="dxa"/>
            <w:vAlign w:val="bottom"/>
            <w:shd w:val="clear" w:color="auto" w:fill="0075C9"/>
          </w:tcPr>
          <w:p>
            <w:pPr>
              <w:spacing w:after="0"/>
              <w:rPr>
                <w:sz w:val="12"/>
                <w:szCs w:val="12"/>
                <w:color w:val="auto"/>
              </w:rPr>
            </w:pPr>
          </w:p>
        </w:tc>
        <w:tc>
          <w:tcPr>
            <w:tcW w:w="1140" w:type="dxa"/>
            <w:vAlign w:val="bottom"/>
            <w:shd w:val="clear" w:color="auto" w:fill="0075C9"/>
          </w:tcPr>
          <w:p>
            <w:pPr>
              <w:spacing w:after="0"/>
              <w:rPr>
                <w:sz w:val="12"/>
                <w:szCs w:val="12"/>
                <w:color w:val="auto"/>
              </w:rPr>
            </w:pPr>
          </w:p>
        </w:tc>
        <w:tc>
          <w:tcPr>
            <w:tcW w:w="12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and Nonqualified</w:t>
            </w:r>
          </w:p>
        </w:tc>
        <w:tc>
          <w:tcPr>
            <w:tcW w:w="1100" w:type="dxa"/>
            <w:vAlign w:val="bottom"/>
            <w:shd w:val="clear" w:color="auto" w:fill="0075C9"/>
          </w:tcPr>
          <w:p>
            <w:pPr>
              <w:spacing w:after="0"/>
              <w:rPr>
                <w:sz w:val="12"/>
                <w:szCs w:val="12"/>
                <w:color w:val="auto"/>
              </w:rPr>
            </w:pPr>
          </w:p>
        </w:tc>
        <w:tc>
          <w:tcPr>
            <w:tcW w:w="820" w:type="dxa"/>
            <w:vAlign w:val="bottom"/>
            <w:shd w:val="clear" w:color="auto" w:fill="0075C9"/>
          </w:tcPr>
          <w:p>
            <w:pPr>
              <w:spacing w:after="0"/>
              <w:rPr>
                <w:sz w:val="12"/>
                <w:szCs w:val="12"/>
                <w:color w:val="auto"/>
              </w:rPr>
            </w:pPr>
          </w:p>
        </w:tc>
      </w:tr>
      <w:tr>
        <w:trPr>
          <w:trHeight w:val="148"/>
        </w:trPr>
        <w:tc>
          <w:tcPr>
            <w:tcW w:w="3750" w:type="dxa"/>
            <w:vAlign w:val="bottom"/>
            <w:shd w:val="clear" w:color="auto" w:fill="0075C9"/>
          </w:tcPr>
          <w:p>
            <w:pPr>
              <w:spacing w:after="0"/>
              <w:rPr>
                <w:sz w:val="12"/>
                <w:szCs w:val="12"/>
                <w:color w:val="auto"/>
              </w:rPr>
            </w:pPr>
          </w:p>
        </w:tc>
        <w:tc>
          <w:tcPr>
            <w:tcW w:w="410" w:type="dxa"/>
            <w:vAlign w:val="bottom"/>
            <w:shd w:val="clear" w:color="auto" w:fill="0075C9"/>
          </w:tcPr>
          <w:p>
            <w:pPr>
              <w:spacing w:after="0"/>
              <w:rPr>
                <w:sz w:val="12"/>
                <w:szCs w:val="12"/>
                <w:color w:val="auto"/>
              </w:rPr>
            </w:pPr>
          </w:p>
        </w:tc>
        <w:tc>
          <w:tcPr>
            <w:tcW w:w="960" w:type="dxa"/>
            <w:vAlign w:val="bottom"/>
            <w:shd w:val="clear" w:color="auto" w:fill="0075C9"/>
          </w:tcPr>
          <w:p>
            <w:pPr>
              <w:spacing w:after="0"/>
              <w:rPr>
                <w:sz w:val="12"/>
                <w:szCs w:val="12"/>
                <w:color w:val="auto"/>
              </w:rPr>
            </w:pPr>
          </w:p>
        </w:tc>
        <w:tc>
          <w:tcPr>
            <w:tcW w:w="660" w:type="dxa"/>
            <w:vAlign w:val="bottom"/>
            <w:shd w:val="clear" w:color="auto" w:fill="0075C9"/>
          </w:tcPr>
          <w:p>
            <w:pPr>
              <w:spacing w:after="0"/>
              <w:rPr>
                <w:sz w:val="12"/>
                <w:szCs w:val="12"/>
                <w:color w:val="auto"/>
              </w:rPr>
            </w:pPr>
          </w:p>
        </w:tc>
        <w:tc>
          <w:tcPr>
            <w:tcW w:w="960" w:type="dxa"/>
            <w:vAlign w:val="bottom"/>
            <w:shd w:val="clear" w:color="auto" w:fill="0075C9"/>
          </w:tcPr>
          <w:p>
            <w:pPr>
              <w:spacing w:after="0"/>
              <w:rPr>
                <w:sz w:val="12"/>
                <w:szCs w:val="12"/>
                <w:color w:val="auto"/>
              </w:rPr>
            </w:pPr>
          </w:p>
        </w:tc>
        <w:tc>
          <w:tcPr>
            <w:tcW w:w="114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Non-Equity</w:t>
            </w:r>
          </w:p>
        </w:tc>
        <w:tc>
          <w:tcPr>
            <w:tcW w:w="12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Deferred</w:t>
            </w:r>
          </w:p>
        </w:tc>
        <w:tc>
          <w:tcPr>
            <w:tcW w:w="1100" w:type="dxa"/>
            <w:vAlign w:val="bottom"/>
            <w:shd w:val="clear" w:color="auto" w:fill="0075C9"/>
          </w:tcPr>
          <w:p>
            <w:pPr>
              <w:spacing w:after="0"/>
              <w:rPr>
                <w:sz w:val="12"/>
                <w:szCs w:val="12"/>
                <w:color w:val="auto"/>
              </w:rPr>
            </w:pPr>
          </w:p>
        </w:tc>
        <w:tc>
          <w:tcPr>
            <w:tcW w:w="820" w:type="dxa"/>
            <w:vAlign w:val="bottom"/>
            <w:shd w:val="clear" w:color="auto" w:fill="0075C9"/>
          </w:tcPr>
          <w:p>
            <w:pPr>
              <w:spacing w:after="0"/>
              <w:rPr>
                <w:sz w:val="12"/>
                <w:szCs w:val="12"/>
                <w:color w:val="auto"/>
              </w:rPr>
            </w:pPr>
          </w:p>
        </w:tc>
      </w:tr>
      <w:tr>
        <w:trPr>
          <w:trHeight w:val="148"/>
        </w:trPr>
        <w:tc>
          <w:tcPr>
            <w:tcW w:w="3750" w:type="dxa"/>
            <w:vAlign w:val="bottom"/>
            <w:shd w:val="clear" w:color="auto" w:fill="0075C9"/>
          </w:tcPr>
          <w:p>
            <w:pPr>
              <w:spacing w:after="0"/>
              <w:rPr>
                <w:sz w:val="12"/>
                <w:szCs w:val="12"/>
                <w:color w:val="auto"/>
              </w:rPr>
            </w:pPr>
          </w:p>
        </w:tc>
        <w:tc>
          <w:tcPr>
            <w:tcW w:w="410" w:type="dxa"/>
            <w:vAlign w:val="bottom"/>
            <w:shd w:val="clear" w:color="auto" w:fill="0075C9"/>
          </w:tcPr>
          <w:p>
            <w:pPr>
              <w:spacing w:after="0"/>
              <w:rPr>
                <w:sz w:val="12"/>
                <w:szCs w:val="12"/>
                <w:color w:val="auto"/>
              </w:rPr>
            </w:pPr>
          </w:p>
        </w:tc>
        <w:tc>
          <w:tcPr>
            <w:tcW w:w="960" w:type="dxa"/>
            <w:vAlign w:val="bottom"/>
            <w:shd w:val="clear" w:color="auto" w:fill="0075C9"/>
          </w:tcPr>
          <w:p>
            <w:pPr>
              <w:spacing w:after="0"/>
              <w:rPr>
                <w:sz w:val="12"/>
                <w:szCs w:val="12"/>
                <w:color w:val="auto"/>
              </w:rPr>
            </w:pPr>
          </w:p>
        </w:tc>
        <w:tc>
          <w:tcPr>
            <w:tcW w:w="660" w:type="dxa"/>
            <w:vAlign w:val="bottom"/>
            <w:shd w:val="clear" w:color="auto" w:fill="0075C9"/>
          </w:tcPr>
          <w:p>
            <w:pPr>
              <w:spacing w:after="0"/>
              <w:rPr>
                <w:sz w:val="12"/>
                <w:szCs w:val="12"/>
                <w:color w:val="auto"/>
              </w:rPr>
            </w:pPr>
          </w:p>
        </w:tc>
        <w:tc>
          <w:tcPr>
            <w:tcW w:w="96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8"/>
              </w:rPr>
              <w:t>Stock</w:t>
            </w:r>
          </w:p>
        </w:tc>
        <w:tc>
          <w:tcPr>
            <w:tcW w:w="114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Incentive Plan</w:t>
            </w:r>
          </w:p>
        </w:tc>
        <w:tc>
          <w:tcPr>
            <w:tcW w:w="12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Compensation</w:t>
            </w:r>
          </w:p>
        </w:tc>
        <w:tc>
          <w:tcPr>
            <w:tcW w:w="110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All Other</w:t>
            </w:r>
          </w:p>
        </w:tc>
        <w:tc>
          <w:tcPr>
            <w:tcW w:w="820" w:type="dxa"/>
            <w:vAlign w:val="bottom"/>
            <w:shd w:val="clear" w:color="auto" w:fill="0075C9"/>
          </w:tcPr>
          <w:p>
            <w:pPr>
              <w:spacing w:after="0"/>
              <w:rPr>
                <w:sz w:val="12"/>
                <w:szCs w:val="12"/>
                <w:color w:val="auto"/>
              </w:rPr>
            </w:pPr>
          </w:p>
        </w:tc>
      </w:tr>
      <w:tr>
        <w:trPr>
          <w:trHeight w:val="148"/>
        </w:trPr>
        <w:tc>
          <w:tcPr>
            <w:tcW w:w="3750" w:type="dxa"/>
            <w:vAlign w:val="bottom"/>
            <w:shd w:val="clear" w:color="auto" w:fill="0075C9"/>
          </w:tcPr>
          <w:p>
            <w:pPr>
              <w:spacing w:after="0"/>
              <w:rPr>
                <w:sz w:val="20"/>
                <w:szCs w:val="20"/>
                <w:color w:val="auto"/>
              </w:rPr>
            </w:pPr>
            <w:r>
              <w:rPr>
                <w:rFonts w:ascii="Arial" w:cs="Arial" w:eastAsia="Arial" w:hAnsi="Arial"/>
                <w:sz w:val="13"/>
                <w:szCs w:val="13"/>
                <w:color w:val="FFFFFF"/>
              </w:rPr>
              <w:t> Name and Principal Position</w:t>
            </w:r>
          </w:p>
        </w:tc>
        <w:tc>
          <w:tcPr>
            <w:tcW w:w="410" w:type="dxa"/>
            <w:vAlign w:val="bottom"/>
            <w:shd w:val="clear" w:color="auto" w:fill="0075C9"/>
          </w:tcPr>
          <w:p>
            <w:pPr>
              <w:jc w:val="center"/>
              <w:ind w:left="23"/>
              <w:spacing w:after="0"/>
              <w:rPr>
                <w:sz w:val="20"/>
                <w:szCs w:val="20"/>
                <w:color w:val="auto"/>
              </w:rPr>
            </w:pPr>
            <w:r>
              <w:rPr>
                <w:rFonts w:ascii="Arial" w:cs="Arial" w:eastAsia="Arial" w:hAnsi="Arial"/>
                <w:sz w:val="13"/>
                <w:szCs w:val="13"/>
                <w:color w:val="FFFFFF"/>
              </w:rPr>
              <w:t>Year</w:t>
            </w:r>
          </w:p>
        </w:tc>
        <w:tc>
          <w:tcPr>
            <w:tcW w:w="960" w:type="dxa"/>
            <w:vAlign w:val="bottom"/>
            <w:shd w:val="clear" w:color="auto" w:fill="0075C9"/>
          </w:tcPr>
          <w:p>
            <w:pPr>
              <w:jc w:val="center"/>
              <w:ind w:left="33"/>
              <w:spacing w:after="0"/>
              <w:rPr>
                <w:sz w:val="20"/>
                <w:szCs w:val="20"/>
                <w:color w:val="auto"/>
              </w:rPr>
            </w:pPr>
            <w:r>
              <w:rPr>
                <w:rFonts w:ascii="Arial" w:cs="Arial" w:eastAsia="Arial" w:hAnsi="Arial"/>
                <w:sz w:val="13"/>
                <w:szCs w:val="13"/>
                <w:color w:val="FFFFFF"/>
              </w:rPr>
              <w:t>Salary</w:t>
            </w:r>
          </w:p>
        </w:tc>
        <w:tc>
          <w:tcPr>
            <w:tcW w:w="66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Bonus</w:t>
            </w:r>
            <w:r>
              <w:rPr>
                <w:rFonts w:ascii="Arial" w:cs="Arial" w:eastAsia="Arial" w:hAnsi="Arial"/>
                <w:sz w:val="6"/>
                <w:szCs w:val="6"/>
                <w:color w:val="FFFFFF"/>
              </w:rPr>
              <w:t>(1)</w:t>
            </w:r>
          </w:p>
        </w:tc>
        <w:tc>
          <w:tcPr>
            <w:tcW w:w="96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Awards</w:t>
            </w:r>
            <w:r>
              <w:rPr>
                <w:rFonts w:ascii="Arial" w:cs="Arial" w:eastAsia="Arial" w:hAnsi="Arial"/>
                <w:sz w:val="6"/>
                <w:szCs w:val="6"/>
                <w:color w:val="FFFFFF"/>
              </w:rPr>
              <w:t>(2)</w:t>
            </w:r>
          </w:p>
        </w:tc>
        <w:tc>
          <w:tcPr>
            <w:tcW w:w="114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Compensation</w:t>
            </w:r>
            <w:r>
              <w:rPr>
                <w:rFonts w:ascii="Arial" w:cs="Arial" w:eastAsia="Arial" w:hAnsi="Arial"/>
                <w:sz w:val="6"/>
                <w:szCs w:val="6"/>
                <w:color w:val="FFFFFF"/>
              </w:rPr>
              <w:t>(3)</w:t>
            </w:r>
          </w:p>
        </w:tc>
        <w:tc>
          <w:tcPr>
            <w:tcW w:w="12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Earnings</w:t>
            </w:r>
            <w:r>
              <w:rPr>
                <w:rFonts w:ascii="Arial" w:cs="Arial" w:eastAsia="Arial" w:hAnsi="Arial"/>
                <w:sz w:val="6"/>
                <w:szCs w:val="6"/>
                <w:color w:val="FFFFFF"/>
              </w:rPr>
              <w:t>(4)</w:t>
            </w:r>
          </w:p>
        </w:tc>
        <w:tc>
          <w:tcPr>
            <w:tcW w:w="110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Compensation</w:t>
            </w:r>
            <w:r>
              <w:rPr>
                <w:rFonts w:ascii="Arial" w:cs="Arial" w:eastAsia="Arial" w:hAnsi="Arial"/>
                <w:sz w:val="6"/>
                <w:szCs w:val="6"/>
                <w:color w:val="FFFFFF"/>
              </w:rPr>
              <w:t>(5)</w:t>
            </w:r>
          </w:p>
        </w:tc>
        <w:tc>
          <w:tcPr>
            <w:tcW w:w="82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6"/>
              </w:rPr>
              <w:t>Total</w:t>
            </w:r>
          </w:p>
        </w:tc>
      </w:tr>
      <w:tr>
        <w:trPr>
          <w:trHeight w:val="175"/>
        </w:trPr>
        <w:tc>
          <w:tcPr>
            <w:tcW w:w="3750" w:type="dxa"/>
            <w:vAlign w:val="bottom"/>
            <w:shd w:val="clear" w:color="auto" w:fill="0075C9"/>
          </w:tcPr>
          <w:p>
            <w:pPr>
              <w:spacing w:after="0"/>
              <w:rPr>
                <w:sz w:val="20"/>
                <w:szCs w:val="20"/>
                <w:color w:val="auto"/>
              </w:rPr>
            </w:pPr>
            <w:r>
              <w:rPr>
                <w:rFonts w:ascii="Arial" w:cs="Arial" w:eastAsia="Arial" w:hAnsi="Arial"/>
                <w:sz w:val="13"/>
                <w:szCs w:val="13"/>
                <w:color w:val="FFFFFF"/>
              </w:rPr>
              <w:t>                  (a)</w:t>
            </w:r>
          </w:p>
        </w:tc>
        <w:tc>
          <w:tcPr>
            <w:tcW w:w="410" w:type="dxa"/>
            <w:vAlign w:val="bottom"/>
            <w:shd w:val="clear" w:color="auto" w:fill="0075C9"/>
          </w:tcPr>
          <w:p>
            <w:pPr>
              <w:jc w:val="center"/>
              <w:ind w:left="23"/>
              <w:spacing w:after="0"/>
              <w:rPr>
                <w:sz w:val="20"/>
                <w:szCs w:val="20"/>
                <w:color w:val="auto"/>
              </w:rPr>
            </w:pPr>
            <w:r>
              <w:rPr>
                <w:rFonts w:ascii="Arial" w:cs="Arial" w:eastAsia="Arial" w:hAnsi="Arial"/>
                <w:sz w:val="13"/>
                <w:szCs w:val="13"/>
                <w:color w:val="FFFFFF"/>
              </w:rPr>
              <w:t>(b)</w:t>
            </w:r>
          </w:p>
        </w:tc>
        <w:tc>
          <w:tcPr>
            <w:tcW w:w="960" w:type="dxa"/>
            <w:vAlign w:val="bottom"/>
            <w:shd w:val="clear" w:color="auto" w:fill="0075C9"/>
          </w:tcPr>
          <w:p>
            <w:pPr>
              <w:jc w:val="center"/>
              <w:ind w:left="13"/>
              <w:spacing w:after="0"/>
              <w:rPr>
                <w:sz w:val="20"/>
                <w:szCs w:val="20"/>
                <w:color w:val="auto"/>
              </w:rPr>
            </w:pPr>
            <w:r>
              <w:rPr>
                <w:rFonts w:ascii="Arial" w:cs="Arial" w:eastAsia="Arial" w:hAnsi="Arial"/>
                <w:sz w:val="13"/>
                <w:szCs w:val="13"/>
                <w:color w:val="FFFFFF"/>
              </w:rPr>
              <w:t>(c)</w:t>
            </w:r>
          </w:p>
        </w:tc>
        <w:tc>
          <w:tcPr>
            <w:tcW w:w="66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(d)</w:t>
            </w:r>
          </w:p>
        </w:tc>
        <w:tc>
          <w:tcPr>
            <w:tcW w:w="96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(e)</w:t>
            </w:r>
          </w:p>
        </w:tc>
        <w:tc>
          <w:tcPr>
            <w:tcW w:w="114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(f)</w:t>
            </w:r>
          </w:p>
        </w:tc>
        <w:tc>
          <w:tcPr>
            <w:tcW w:w="12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(g)</w:t>
            </w:r>
          </w:p>
        </w:tc>
        <w:tc>
          <w:tcPr>
            <w:tcW w:w="110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(h)</w:t>
            </w:r>
          </w:p>
        </w:tc>
        <w:tc>
          <w:tcPr>
            <w:tcW w:w="8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(i)</w:t>
            </w:r>
          </w:p>
        </w:tc>
      </w:tr>
      <w:tr>
        <w:trPr>
          <w:trHeight w:val="136"/>
        </w:trPr>
        <w:tc>
          <w:tcPr>
            <w:tcW w:w="3750" w:type="dxa"/>
            <w:vAlign w:val="bottom"/>
            <w:shd w:val="clear" w:color="auto" w:fill="B2D5EE"/>
          </w:tcPr>
          <w:p>
            <w:pPr>
              <w:ind w:left="40"/>
              <w:spacing w:after="0" w:line="136" w:lineRule="exact"/>
              <w:rPr>
                <w:sz w:val="20"/>
                <w:szCs w:val="20"/>
                <w:color w:val="auto"/>
              </w:rPr>
            </w:pPr>
            <w:r>
              <w:rPr>
                <w:rFonts w:ascii="Arial" w:cs="Arial" w:eastAsia="Arial" w:hAnsi="Arial"/>
                <w:sz w:val="13"/>
                <w:szCs w:val="13"/>
                <w:b w:val="1"/>
                <w:bCs w:val="1"/>
                <w:color w:val="auto"/>
              </w:rPr>
              <w:t>Christopher A. Viehbacher</w:t>
            </w:r>
          </w:p>
        </w:tc>
        <w:tc>
          <w:tcPr>
            <w:tcW w:w="410" w:type="dxa"/>
            <w:vAlign w:val="bottom"/>
            <w:shd w:val="clear" w:color="auto" w:fill="B2D5EE"/>
          </w:tcPr>
          <w:p>
            <w:pPr>
              <w:jc w:val="center"/>
              <w:ind w:left="3"/>
              <w:spacing w:after="0" w:line="136" w:lineRule="exact"/>
              <w:rPr>
                <w:sz w:val="20"/>
                <w:szCs w:val="20"/>
                <w:color w:val="auto"/>
              </w:rPr>
            </w:pPr>
            <w:r>
              <w:rPr>
                <w:rFonts w:ascii="Arial" w:cs="Arial" w:eastAsia="Arial" w:hAnsi="Arial"/>
                <w:sz w:val="13"/>
                <w:szCs w:val="13"/>
                <w:color w:val="auto"/>
              </w:rPr>
              <w:t>2025</w:t>
            </w:r>
          </w:p>
        </w:tc>
        <w:tc>
          <w:tcPr>
            <w:tcW w:w="960" w:type="dxa"/>
            <w:vAlign w:val="bottom"/>
            <w:shd w:val="clear" w:color="auto" w:fill="B2D5EE"/>
          </w:tcPr>
          <w:p>
            <w:pPr>
              <w:jc w:val="center"/>
              <w:ind w:left="13"/>
              <w:spacing w:after="0" w:line="136" w:lineRule="exact"/>
              <w:rPr>
                <w:sz w:val="20"/>
                <w:szCs w:val="20"/>
                <w:color w:val="auto"/>
              </w:rPr>
            </w:pPr>
            <w:r>
              <w:rPr>
                <w:rFonts w:ascii="Arial" w:cs="Arial" w:eastAsia="Arial" w:hAnsi="Arial"/>
                <w:sz w:val="13"/>
                <w:szCs w:val="13"/>
                <w:color w:val="auto"/>
              </w:rPr>
              <w:t>$1,727,885</w:t>
            </w:r>
          </w:p>
        </w:tc>
        <w:tc>
          <w:tcPr>
            <w:tcW w:w="660" w:type="dxa"/>
            <w:vAlign w:val="bottom"/>
            <w:shd w:val="clear" w:color="auto" w:fill="B2D5EE"/>
          </w:tcPr>
          <w:p>
            <w:pPr>
              <w:jc w:val="center"/>
              <w:spacing w:after="0" w:line="136" w:lineRule="exact"/>
              <w:rPr>
                <w:sz w:val="20"/>
                <w:szCs w:val="20"/>
                <w:color w:val="auto"/>
              </w:rPr>
            </w:pPr>
            <w:r>
              <w:rPr>
                <w:rFonts w:ascii="Arial" w:cs="Arial" w:eastAsia="Arial" w:hAnsi="Arial"/>
                <w:sz w:val="13"/>
                <w:szCs w:val="13"/>
                <w:color w:val="auto"/>
              </w:rPr>
              <w:t>—</w:t>
            </w:r>
          </w:p>
        </w:tc>
        <w:tc>
          <w:tcPr>
            <w:tcW w:w="960" w:type="dxa"/>
            <w:vAlign w:val="bottom"/>
            <w:shd w:val="clear" w:color="auto" w:fill="B2D5EE"/>
          </w:tcPr>
          <w:p>
            <w:pPr>
              <w:jc w:val="center"/>
              <w:spacing w:after="0" w:line="136" w:lineRule="exact"/>
              <w:rPr>
                <w:sz w:val="20"/>
                <w:szCs w:val="20"/>
                <w:color w:val="auto"/>
              </w:rPr>
            </w:pPr>
            <w:r>
              <w:rPr>
                <w:rFonts w:ascii="Arial" w:cs="Arial" w:eastAsia="Arial" w:hAnsi="Arial"/>
                <w:sz w:val="13"/>
                <w:szCs w:val="13"/>
                <w:color w:val="auto"/>
              </w:rPr>
              <w:t>$18,368,875</w:t>
            </w:r>
          </w:p>
        </w:tc>
        <w:tc>
          <w:tcPr>
            <w:tcW w:w="1140" w:type="dxa"/>
            <w:vAlign w:val="bottom"/>
            <w:shd w:val="clear" w:color="auto" w:fill="B2D5EE"/>
          </w:tcPr>
          <w:p>
            <w:pPr>
              <w:jc w:val="center"/>
              <w:spacing w:after="0" w:line="136" w:lineRule="exact"/>
              <w:rPr>
                <w:sz w:val="20"/>
                <w:szCs w:val="20"/>
                <w:color w:val="auto"/>
              </w:rPr>
            </w:pPr>
            <w:r>
              <w:rPr>
                <w:rFonts w:ascii="Arial" w:cs="Arial" w:eastAsia="Arial" w:hAnsi="Arial"/>
                <w:sz w:val="13"/>
                <w:szCs w:val="13"/>
                <w:color w:val="auto"/>
              </w:rPr>
              <w:t>$3,190,875</w:t>
            </w:r>
          </w:p>
        </w:tc>
        <w:tc>
          <w:tcPr>
            <w:tcW w:w="1220" w:type="dxa"/>
            <w:vAlign w:val="bottom"/>
            <w:shd w:val="clear" w:color="auto" w:fill="B2D5EE"/>
          </w:tcPr>
          <w:p>
            <w:pPr>
              <w:jc w:val="center"/>
              <w:spacing w:after="0" w:line="136" w:lineRule="exact"/>
              <w:rPr>
                <w:sz w:val="20"/>
                <w:szCs w:val="20"/>
                <w:color w:val="auto"/>
              </w:rPr>
            </w:pPr>
            <w:r>
              <w:rPr>
                <w:rFonts w:ascii="Arial" w:cs="Arial" w:eastAsia="Arial" w:hAnsi="Arial"/>
                <w:sz w:val="13"/>
                <w:szCs w:val="13"/>
                <w:color w:val="auto"/>
              </w:rPr>
              <w:t>—</w:t>
            </w:r>
          </w:p>
        </w:tc>
        <w:tc>
          <w:tcPr>
            <w:tcW w:w="1100" w:type="dxa"/>
            <w:vAlign w:val="bottom"/>
            <w:shd w:val="clear" w:color="auto" w:fill="B2D5EE"/>
          </w:tcPr>
          <w:p>
            <w:pPr>
              <w:jc w:val="center"/>
              <w:spacing w:after="0" w:line="136" w:lineRule="exact"/>
              <w:rPr>
                <w:sz w:val="20"/>
                <w:szCs w:val="20"/>
                <w:color w:val="auto"/>
              </w:rPr>
            </w:pPr>
            <w:r>
              <w:rPr>
                <w:rFonts w:ascii="Arial" w:cs="Arial" w:eastAsia="Arial" w:hAnsi="Arial"/>
                <w:sz w:val="13"/>
                <w:szCs w:val="13"/>
                <w:color w:val="auto"/>
              </w:rPr>
              <w:t>$358,369</w:t>
            </w:r>
          </w:p>
        </w:tc>
        <w:tc>
          <w:tcPr>
            <w:tcW w:w="820" w:type="dxa"/>
            <w:vAlign w:val="bottom"/>
            <w:shd w:val="clear" w:color="auto" w:fill="B2D5EE"/>
          </w:tcPr>
          <w:p>
            <w:pPr>
              <w:jc w:val="center"/>
              <w:spacing w:after="0" w:line="136" w:lineRule="exact"/>
              <w:rPr>
                <w:sz w:val="20"/>
                <w:szCs w:val="20"/>
                <w:color w:val="auto"/>
              </w:rPr>
            </w:pPr>
            <w:r>
              <w:rPr>
                <w:rFonts w:ascii="Arial" w:cs="Arial" w:eastAsia="Arial" w:hAnsi="Arial"/>
                <w:sz w:val="13"/>
                <w:szCs w:val="13"/>
                <w:color w:val="auto"/>
              </w:rPr>
              <w:t>$23,646,004</w:t>
            </w:r>
          </w:p>
        </w:tc>
      </w:tr>
      <w:tr>
        <w:trPr>
          <w:trHeight w:val="148"/>
        </w:trPr>
        <w:tc>
          <w:tcPr>
            <w:tcW w:w="3750" w:type="dxa"/>
            <w:vAlign w:val="bottom"/>
            <w:shd w:val="clear" w:color="auto" w:fill="B2D5EE"/>
          </w:tcPr>
          <w:p>
            <w:pPr>
              <w:ind w:left="40"/>
              <w:spacing w:after="0"/>
              <w:rPr>
                <w:sz w:val="20"/>
                <w:szCs w:val="20"/>
                <w:color w:val="auto"/>
              </w:rPr>
            </w:pPr>
            <w:r>
              <w:rPr>
                <w:rFonts w:ascii="Arial" w:cs="Arial" w:eastAsia="Arial" w:hAnsi="Arial"/>
                <w:sz w:val="13"/>
                <w:szCs w:val="13"/>
                <w:color w:val="auto"/>
              </w:rPr>
              <w:t>President and Chief Executive Officer</w:t>
            </w:r>
          </w:p>
        </w:tc>
        <w:tc>
          <w:tcPr>
            <w:tcW w:w="410" w:type="dxa"/>
            <w:vAlign w:val="bottom"/>
            <w:shd w:val="clear" w:color="auto" w:fill="B2D5EE"/>
          </w:tcPr>
          <w:p>
            <w:pPr>
              <w:jc w:val="center"/>
              <w:ind w:left="3"/>
              <w:spacing w:after="0"/>
              <w:rPr>
                <w:sz w:val="20"/>
                <w:szCs w:val="20"/>
                <w:color w:val="auto"/>
              </w:rPr>
            </w:pPr>
            <w:r>
              <w:rPr>
                <w:rFonts w:ascii="Arial" w:cs="Arial" w:eastAsia="Arial" w:hAnsi="Arial"/>
                <w:sz w:val="13"/>
                <w:szCs w:val="13"/>
                <w:color w:val="auto"/>
              </w:rPr>
              <w:t>2024</w:t>
            </w:r>
          </w:p>
        </w:tc>
        <w:tc>
          <w:tcPr>
            <w:tcW w:w="960" w:type="dxa"/>
            <w:vAlign w:val="bottom"/>
            <w:shd w:val="clear" w:color="auto" w:fill="B2D5EE"/>
          </w:tcPr>
          <w:p>
            <w:pPr>
              <w:jc w:val="center"/>
              <w:ind w:left="13"/>
              <w:spacing w:after="0"/>
              <w:rPr>
                <w:sz w:val="20"/>
                <w:szCs w:val="20"/>
                <w:color w:val="auto"/>
              </w:rPr>
            </w:pPr>
            <w:r>
              <w:rPr>
                <w:rFonts w:ascii="Arial" w:cs="Arial" w:eastAsia="Arial" w:hAnsi="Arial"/>
                <w:sz w:val="13"/>
                <w:szCs w:val="13"/>
                <w:color w:val="auto"/>
              </w:rPr>
              <w:t>$1,600,000</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6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$18,010,911</w:t>
            </w:r>
          </w:p>
        </w:tc>
        <w:tc>
          <w:tcPr>
            <w:tcW w:w="11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$4,308,480</w:t>
            </w:r>
          </w:p>
        </w:tc>
        <w:tc>
          <w:tcPr>
            <w:tcW w:w="12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$3,573</w:t>
            </w:r>
          </w:p>
        </w:tc>
        <w:tc>
          <w:tcPr>
            <w:tcW w:w="11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$243,701</w:t>
            </w:r>
          </w:p>
        </w:tc>
        <w:tc>
          <w:tcPr>
            <w:tcW w:w="8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$24,166,665</w:t>
            </w:r>
          </w:p>
        </w:tc>
      </w:tr>
      <w:tr>
        <w:trPr>
          <w:trHeight w:val="161"/>
        </w:trPr>
        <w:tc>
          <w:tcPr>
            <w:tcW w:w="3750" w:type="dxa"/>
            <w:vAlign w:val="bottom"/>
            <w:tcBorders>
              <w:bottom w:val="single" w:sz="8" w:color="auto"/>
            </w:tcBorders>
            <w:shd w:val="clear" w:color="auto" w:fill="B2D5EE"/>
          </w:tcPr>
          <w:p>
            <w:pPr>
              <w:spacing w:after="0"/>
              <w:rPr>
                <w:sz w:val="14"/>
                <w:szCs w:val="14"/>
                <w:color w:val="auto"/>
              </w:rPr>
            </w:pPr>
          </w:p>
        </w:tc>
        <w:tc>
          <w:tcPr>
            <w:tcW w:w="410" w:type="dxa"/>
            <w:vAlign w:val="bottom"/>
            <w:tcBorders>
              <w:bottom w:val="single" w:sz="8" w:color="auto"/>
            </w:tcBorders>
            <w:shd w:val="clear" w:color="auto" w:fill="B2D5EE"/>
          </w:tcPr>
          <w:p>
            <w:pPr>
              <w:jc w:val="center"/>
              <w:ind w:left="3"/>
              <w:spacing w:after="0"/>
              <w:rPr>
                <w:sz w:val="20"/>
                <w:szCs w:val="20"/>
                <w:color w:val="auto"/>
              </w:rPr>
            </w:pPr>
            <w:r>
              <w:rPr>
                <w:rFonts w:ascii="Arial" w:cs="Arial" w:eastAsia="Arial" w:hAnsi="Arial"/>
                <w:sz w:val="13"/>
                <w:szCs w:val="13"/>
                <w:color w:val="auto"/>
              </w:rPr>
              <w:t>2023</w:t>
            </w:r>
          </w:p>
        </w:tc>
        <w:tc>
          <w:tcPr>
            <w:tcW w:w="960" w:type="dxa"/>
            <w:vAlign w:val="bottom"/>
            <w:tcBorders>
              <w:bottom w:val="single" w:sz="8" w:color="auto"/>
            </w:tcBorders>
            <w:shd w:val="clear" w:color="auto" w:fill="B2D5EE"/>
          </w:tcPr>
          <w:p>
            <w:pPr>
              <w:jc w:val="center"/>
              <w:ind w:left="13"/>
              <w:spacing w:after="0"/>
              <w:rPr>
                <w:sz w:val="20"/>
                <w:szCs w:val="20"/>
                <w:color w:val="auto"/>
              </w:rPr>
            </w:pPr>
            <w:r>
              <w:rPr>
                <w:rFonts w:ascii="Arial" w:cs="Arial" w:eastAsia="Arial" w:hAnsi="Arial"/>
                <w:sz w:val="13"/>
                <w:szCs w:val="13"/>
                <w:color w:val="auto"/>
              </w:rPr>
              <w:t>$1,600,000</w:t>
            </w:r>
          </w:p>
        </w:tc>
        <w:tc>
          <w:tcPr>
            <w:tcW w:w="66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$2,376,000</w:t>
            </w:r>
          </w:p>
        </w:tc>
        <w:tc>
          <w:tcPr>
            <w:tcW w:w="122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$39</w:t>
            </w:r>
          </w:p>
        </w:tc>
        <w:tc>
          <w:tcPr>
            <w:tcW w:w="110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$93,874</w:t>
            </w:r>
          </w:p>
        </w:tc>
        <w:tc>
          <w:tcPr>
            <w:tcW w:w="82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$4,069,913</w:t>
            </w:r>
          </w:p>
        </w:tc>
      </w:tr>
      <w:tr>
        <w:trPr>
          <w:trHeight w:val="129"/>
        </w:trPr>
        <w:tc>
          <w:tcPr>
            <w:tcW w:w="3750" w:type="dxa"/>
            <w:vAlign w:val="bottom"/>
            <w:shd w:val="clear" w:color="auto" w:fill="E5F1F9"/>
          </w:tcPr>
          <w:p>
            <w:pPr>
              <w:ind w:left="40"/>
              <w:spacing w:after="0" w:line="129" w:lineRule="exact"/>
              <w:rPr>
                <w:sz w:val="20"/>
                <w:szCs w:val="20"/>
                <w:color w:val="auto"/>
              </w:rPr>
            </w:pPr>
            <w:r>
              <w:rPr>
                <w:rFonts w:ascii="Arial" w:cs="Arial" w:eastAsia="Arial" w:hAnsi="Arial"/>
                <w:sz w:val="13"/>
                <w:szCs w:val="13"/>
                <w:b w:val="1"/>
                <w:bCs w:val="1"/>
                <w:color w:val="auto"/>
              </w:rPr>
              <w:t>Robin C. Kramer(6)</w:t>
            </w:r>
          </w:p>
        </w:tc>
        <w:tc>
          <w:tcPr>
            <w:tcW w:w="410" w:type="dxa"/>
            <w:vAlign w:val="bottom"/>
            <w:shd w:val="clear" w:color="auto" w:fill="E5F1F9"/>
          </w:tcPr>
          <w:p>
            <w:pPr>
              <w:jc w:val="center"/>
              <w:ind w:left="3"/>
              <w:spacing w:after="0" w:line="129" w:lineRule="exact"/>
              <w:rPr>
                <w:sz w:val="20"/>
                <w:szCs w:val="20"/>
                <w:color w:val="auto"/>
              </w:rPr>
            </w:pPr>
            <w:r>
              <w:rPr>
                <w:rFonts w:ascii="Arial" w:cs="Arial" w:eastAsia="Arial" w:hAnsi="Arial"/>
                <w:sz w:val="13"/>
                <w:szCs w:val="13"/>
                <w:color w:val="auto"/>
              </w:rPr>
              <w:t>2025</w:t>
            </w:r>
          </w:p>
        </w:tc>
        <w:tc>
          <w:tcPr>
            <w:tcW w:w="960" w:type="dxa"/>
            <w:vAlign w:val="bottom"/>
            <w:shd w:val="clear" w:color="auto" w:fill="E5F1F9"/>
          </w:tcPr>
          <w:p>
            <w:pPr>
              <w:jc w:val="center"/>
              <w:ind w:left="13"/>
              <w:spacing w:after="0" w:line="129" w:lineRule="exact"/>
              <w:rPr>
                <w:sz w:val="20"/>
                <w:szCs w:val="20"/>
                <w:color w:val="auto"/>
              </w:rPr>
            </w:pPr>
            <w:r>
              <w:rPr>
                <w:rFonts w:ascii="Arial" w:cs="Arial" w:eastAsia="Arial" w:hAnsi="Arial"/>
                <w:sz w:val="13"/>
                <w:szCs w:val="13"/>
                <w:color w:val="auto"/>
              </w:rPr>
              <w:t>$759,617</w:t>
            </w:r>
          </w:p>
        </w:tc>
        <w:tc>
          <w:tcPr>
            <w:tcW w:w="66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w:t>
            </w:r>
          </w:p>
        </w:tc>
        <w:tc>
          <w:tcPr>
            <w:tcW w:w="96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$4,173,781</w:t>
            </w:r>
          </w:p>
        </w:tc>
        <w:tc>
          <w:tcPr>
            <w:tcW w:w="114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$788,252</w:t>
            </w:r>
          </w:p>
        </w:tc>
        <w:tc>
          <w:tcPr>
            <w:tcW w:w="122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w:t>
            </w:r>
          </w:p>
        </w:tc>
        <w:tc>
          <w:tcPr>
            <w:tcW w:w="110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$84,934</w:t>
            </w:r>
          </w:p>
        </w:tc>
        <w:tc>
          <w:tcPr>
            <w:tcW w:w="82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$5,806,584</w:t>
            </w:r>
          </w:p>
        </w:tc>
      </w:tr>
      <w:tr>
        <w:trPr>
          <w:trHeight w:val="161"/>
        </w:trPr>
        <w:tc>
          <w:tcPr>
            <w:tcW w:w="3750" w:type="dxa"/>
            <w:vAlign w:val="bottom"/>
            <w:shd w:val="clear" w:color="auto" w:fill="E5F1F9"/>
          </w:tcPr>
          <w:p>
            <w:pPr>
              <w:ind w:left="40"/>
              <w:spacing w:after="0"/>
              <w:rPr>
                <w:sz w:val="20"/>
                <w:szCs w:val="20"/>
                <w:color w:val="auto"/>
              </w:rPr>
            </w:pPr>
            <w:r>
              <w:rPr>
                <w:rFonts w:ascii="Arial" w:cs="Arial" w:eastAsia="Arial" w:hAnsi="Arial"/>
                <w:sz w:val="13"/>
                <w:szCs w:val="13"/>
                <w:color w:val="auto"/>
              </w:rPr>
              <w:t>Executive Vice President and Chief Financial Officer</w:t>
            </w:r>
          </w:p>
        </w:tc>
        <w:tc>
          <w:tcPr>
            <w:tcW w:w="410" w:type="dxa"/>
            <w:vAlign w:val="bottom"/>
            <w:shd w:val="clear" w:color="auto" w:fill="E5F1F9"/>
          </w:tcPr>
          <w:p>
            <w:pPr>
              <w:spacing w:after="0"/>
              <w:rPr>
                <w:sz w:val="14"/>
                <w:szCs w:val="14"/>
                <w:color w:val="auto"/>
              </w:rPr>
            </w:pPr>
          </w:p>
        </w:tc>
        <w:tc>
          <w:tcPr>
            <w:tcW w:w="960" w:type="dxa"/>
            <w:vAlign w:val="bottom"/>
            <w:shd w:val="clear" w:color="auto" w:fill="E5F1F9"/>
          </w:tcPr>
          <w:p>
            <w:pPr>
              <w:spacing w:after="0"/>
              <w:rPr>
                <w:sz w:val="14"/>
                <w:szCs w:val="14"/>
                <w:color w:val="auto"/>
              </w:rPr>
            </w:pPr>
          </w:p>
        </w:tc>
        <w:tc>
          <w:tcPr>
            <w:tcW w:w="660" w:type="dxa"/>
            <w:vAlign w:val="bottom"/>
            <w:shd w:val="clear" w:color="auto" w:fill="E5F1F9"/>
          </w:tcPr>
          <w:p>
            <w:pPr>
              <w:spacing w:after="0"/>
              <w:rPr>
                <w:sz w:val="14"/>
                <w:szCs w:val="14"/>
                <w:color w:val="auto"/>
              </w:rPr>
            </w:pPr>
          </w:p>
        </w:tc>
        <w:tc>
          <w:tcPr>
            <w:tcW w:w="960" w:type="dxa"/>
            <w:vAlign w:val="bottom"/>
            <w:shd w:val="clear" w:color="auto" w:fill="E5F1F9"/>
          </w:tcPr>
          <w:p>
            <w:pPr>
              <w:spacing w:after="0"/>
              <w:rPr>
                <w:sz w:val="14"/>
                <w:szCs w:val="14"/>
                <w:color w:val="auto"/>
              </w:rPr>
            </w:pPr>
          </w:p>
        </w:tc>
        <w:tc>
          <w:tcPr>
            <w:tcW w:w="1140" w:type="dxa"/>
            <w:vAlign w:val="bottom"/>
            <w:shd w:val="clear" w:color="auto" w:fill="E5F1F9"/>
          </w:tcPr>
          <w:p>
            <w:pPr>
              <w:spacing w:after="0"/>
              <w:rPr>
                <w:sz w:val="14"/>
                <w:szCs w:val="14"/>
                <w:color w:val="auto"/>
              </w:rPr>
            </w:pPr>
          </w:p>
        </w:tc>
        <w:tc>
          <w:tcPr>
            <w:tcW w:w="1220" w:type="dxa"/>
            <w:vAlign w:val="bottom"/>
            <w:shd w:val="clear" w:color="auto" w:fill="E5F1F9"/>
          </w:tcPr>
          <w:p>
            <w:pPr>
              <w:spacing w:after="0"/>
              <w:rPr>
                <w:sz w:val="14"/>
                <w:szCs w:val="14"/>
                <w:color w:val="auto"/>
              </w:rPr>
            </w:pPr>
          </w:p>
        </w:tc>
        <w:tc>
          <w:tcPr>
            <w:tcW w:w="1100" w:type="dxa"/>
            <w:vAlign w:val="bottom"/>
            <w:shd w:val="clear" w:color="auto" w:fill="E5F1F9"/>
          </w:tcPr>
          <w:p>
            <w:pPr>
              <w:spacing w:after="0"/>
              <w:rPr>
                <w:sz w:val="14"/>
                <w:szCs w:val="14"/>
                <w:color w:val="auto"/>
              </w:rPr>
            </w:pPr>
          </w:p>
        </w:tc>
        <w:tc>
          <w:tcPr>
            <w:tcW w:w="820" w:type="dxa"/>
            <w:vAlign w:val="bottom"/>
            <w:shd w:val="clear" w:color="auto" w:fill="E5F1F9"/>
          </w:tcPr>
          <w:p>
            <w:pPr>
              <w:spacing w:after="0"/>
              <w:rPr>
                <w:sz w:val="14"/>
                <w:szCs w:val="14"/>
                <w:color w:val="auto"/>
              </w:rPr>
            </w:pPr>
          </w:p>
        </w:tc>
      </w:tr>
      <w:tr>
        <w:trPr>
          <w:trHeight w:val="148"/>
        </w:trPr>
        <w:tc>
          <w:tcPr>
            <w:tcW w:w="3750" w:type="dxa"/>
            <w:vAlign w:val="bottom"/>
            <w:tcBorders>
              <w:bottom w:val="single" w:sz="8" w:color="auto"/>
            </w:tcBorders>
            <w:shd w:val="clear" w:color="auto" w:fill="E5F1F9"/>
          </w:tcPr>
          <w:p>
            <w:pPr>
              <w:spacing w:after="0"/>
              <w:rPr>
                <w:sz w:val="12"/>
                <w:szCs w:val="12"/>
                <w:color w:val="auto"/>
              </w:rPr>
            </w:pPr>
          </w:p>
        </w:tc>
        <w:tc>
          <w:tcPr>
            <w:tcW w:w="410" w:type="dxa"/>
            <w:vAlign w:val="bottom"/>
            <w:tcBorders>
              <w:bottom w:val="single" w:sz="8" w:color="auto"/>
            </w:tcBorders>
            <w:shd w:val="clear" w:color="auto" w:fill="E5F1F9"/>
          </w:tcPr>
          <w:p>
            <w:pPr>
              <w:spacing w:after="0"/>
              <w:rPr>
                <w:sz w:val="12"/>
                <w:szCs w:val="12"/>
                <w:color w:val="auto"/>
              </w:rPr>
            </w:pPr>
          </w:p>
        </w:tc>
        <w:tc>
          <w:tcPr>
            <w:tcW w:w="960" w:type="dxa"/>
            <w:vAlign w:val="bottom"/>
            <w:tcBorders>
              <w:bottom w:val="single" w:sz="8" w:color="auto"/>
            </w:tcBorders>
            <w:shd w:val="clear" w:color="auto" w:fill="E5F1F9"/>
          </w:tcPr>
          <w:p>
            <w:pPr>
              <w:spacing w:after="0"/>
              <w:rPr>
                <w:sz w:val="12"/>
                <w:szCs w:val="12"/>
                <w:color w:val="auto"/>
              </w:rPr>
            </w:pPr>
          </w:p>
        </w:tc>
        <w:tc>
          <w:tcPr>
            <w:tcW w:w="660" w:type="dxa"/>
            <w:vAlign w:val="bottom"/>
            <w:tcBorders>
              <w:bottom w:val="single" w:sz="8" w:color="auto"/>
            </w:tcBorders>
            <w:shd w:val="clear" w:color="auto" w:fill="E5F1F9"/>
          </w:tcPr>
          <w:p>
            <w:pPr>
              <w:spacing w:after="0"/>
              <w:rPr>
                <w:sz w:val="12"/>
                <w:szCs w:val="12"/>
                <w:color w:val="auto"/>
              </w:rPr>
            </w:pPr>
          </w:p>
        </w:tc>
        <w:tc>
          <w:tcPr>
            <w:tcW w:w="960" w:type="dxa"/>
            <w:vAlign w:val="bottom"/>
            <w:tcBorders>
              <w:bottom w:val="single" w:sz="8" w:color="auto"/>
            </w:tcBorders>
            <w:shd w:val="clear" w:color="auto" w:fill="E5F1F9"/>
          </w:tcPr>
          <w:p>
            <w:pPr>
              <w:spacing w:after="0"/>
              <w:rPr>
                <w:sz w:val="12"/>
                <w:szCs w:val="12"/>
                <w:color w:val="auto"/>
              </w:rPr>
            </w:pPr>
          </w:p>
        </w:tc>
        <w:tc>
          <w:tcPr>
            <w:tcW w:w="1140" w:type="dxa"/>
            <w:vAlign w:val="bottom"/>
            <w:tcBorders>
              <w:bottom w:val="single" w:sz="8" w:color="auto"/>
            </w:tcBorders>
            <w:shd w:val="clear" w:color="auto" w:fill="E5F1F9"/>
          </w:tcPr>
          <w:p>
            <w:pPr>
              <w:spacing w:after="0"/>
              <w:rPr>
                <w:sz w:val="12"/>
                <w:szCs w:val="12"/>
                <w:color w:val="auto"/>
              </w:rPr>
            </w:pPr>
          </w:p>
        </w:tc>
        <w:tc>
          <w:tcPr>
            <w:tcW w:w="1220" w:type="dxa"/>
            <w:vAlign w:val="bottom"/>
            <w:tcBorders>
              <w:bottom w:val="single" w:sz="8" w:color="auto"/>
            </w:tcBorders>
            <w:shd w:val="clear" w:color="auto" w:fill="E5F1F9"/>
          </w:tcPr>
          <w:p>
            <w:pPr>
              <w:spacing w:after="0"/>
              <w:rPr>
                <w:sz w:val="12"/>
                <w:szCs w:val="12"/>
                <w:color w:val="auto"/>
              </w:rPr>
            </w:pPr>
          </w:p>
        </w:tc>
        <w:tc>
          <w:tcPr>
            <w:tcW w:w="1100" w:type="dxa"/>
            <w:vAlign w:val="bottom"/>
            <w:tcBorders>
              <w:bottom w:val="single" w:sz="8" w:color="auto"/>
            </w:tcBorders>
            <w:shd w:val="clear" w:color="auto" w:fill="E5F1F9"/>
          </w:tcPr>
          <w:p>
            <w:pPr>
              <w:spacing w:after="0"/>
              <w:rPr>
                <w:sz w:val="12"/>
                <w:szCs w:val="12"/>
                <w:color w:val="auto"/>
              </w:rPr>
            </w:pPr>
          </w:p>
        </w:tc>
        <w:tc>
          <w:tcPr>
            <w:tcW w:w="820" w:type="dxa"/>
            <w:vAlign w:val="bottom"/>
            <w:tcBorders>
              <w:bottom w:val="single" w:sz="8" w:color="auto"/>
            </w:tcBorders>
            <w:shd w:val="clear" w:color="auto" w:fill="E5F1F9"/>
          </w:tcPr>
          <w:p>
            <w:pPr>
              <w:spacing w:after="0"/>
              <w:rPr>
                <w:sz w:val="12"/>
                <w:szCs w:val="12"/>
                <w:color w:val="auto"/>
              </w:rPr>
            </w:pPr>
          </w:p>
        </w:tc>
      </w:tr>
      <w:tr>
        <w:trPr>
          <w:trHeight w:val="129"/>
        </w:trPr>
        <w:tc>
          <w:tcPr>
            <w:tcW w:w="3750" w:type="dxa"/>
            <w:vAlign w:val="bottom"/>
            <w:shd w:val="clear" w:color="auto" w:fill="B2D5EE"/>
          </w:tcPr>
          <w:p>
            <w:pPr>
              <w:ind w:left="40"/>
              <w:spacing w:after="0" w:line="129" w:lineRule="exact"/>
              <w:rPr>
                <w:sz w:val="20"/>
                <w:szCs w:val="20"/>
                <w:color w:val="auto"/>
              </w:rPr>
            </w:pPr>
            <w:r>
              <w:rPr>
                <w:rFonts w:ascii="Arial" w:cs="Arial" w:eastAsia="Arial" w:hAnsi="Arial"/>
                <w:sz w:val="13"/>
                <w:szCs w:val="13"/>
                <w:b w:val="1"/>
                <w:bCs w:val="1"/>
                <w:color w:val="auto"/>
              </w:rPr>
              <w:t>Susan H. Alexander</w:t>
            </w:r>
          </w:p>
        </w:tc>
        <w:tc>
          <w:tcPr>
            <w:tcW w:w="410" w:type="dxa"/>
            <w:vAlign w:val="bottom"/>
            <w:shd w:val="clear" w:color="auto" w:fill="B2D5EE"/>
          </w:tcPr>
          <w:p>
            <w:pPr>
              <w:jc w:val="center"/>
              <w:ind w:left="3"/>
              <w:spacing w:after="0" w:line="129" w:lineRule="exact"/>
              <w:rPr>
                <w:sz w:val="20"/>
                <w:szCs w:val="20"/>
                <w:color w:val="auto"/>
              </w:rPr>
            </w:pPr>
            <w:r>
              <w:rPr>
                <w:rFonts w:ascii="Arial" w:cs="Arial" w:eastAsia="Arial" w:hAnsi="Arial"/>
                <w:sz w:val="13"/>
                <w:szCs w:val="13"/>
                <w:color w:val="auto"/>
              </w:rPr>
              <w:t>2025</w:t>
            </w:r>
          </w:p>
        </w:tc>
        <w:tc>
          <w:tcPr>
            <w:tcW w:w="960" w:type="dxa"/>
            <w:vAlign w:val="bottom"/>
            <w:shd w:val="clear" w:color="auto" w:fill="B2D5EE"/>
          </w:tcPr>
          <w:p>
            <w:pPr>
              <w:jc w:val="center"/>
              <w:ind w:left="33"/>
              <w:spacing w:after="0" w:line="129" w:lineRule="exact"/>
              <w:rPr>
                <w:sz w:val="20"/>
                <w:szCs w:val="20"/>
                <w:color w:val="auto"/>
              </w:rPr>
            </w:pPr>
            <w:r>
              <w:rPr>
                <w:rFonts w:ascii="Arial" w:cs="Arial" w:eastAsia="Arial" w:hAnsi="Arial"/>
                <w:sz w:val="13"/>
                <w:szCs w:val="13"/>
                <w:color w:val="auto"/>
              </w:rPr>
              <w:t>$1,028,111</w:t>
            </w:r>
          </w:p>
        </w:tc>
        <w:tc>
          <w:tcPr>
            <w:tcW w:w="66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w:t>
            </w:r>
          </w:p>
        </w:tc>
        <w:tc>
          <w:tcPr>
            <w:tcW w:w="96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$5,845,129</w:t>
            </w:r>
          </w:p>
        </w:tc>
        <w:tc>
          <w:tcPr>
            <w:tcW w:w="114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$1,062,219</w:t>
            </w:r>
          </w:p>
        </w:tc>
        <w:tc>
          <w:tcPr>
            <w:tcW w:w="122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$37,718</w:t>
            </w:r>
          </w:p>
        </w:tc>
        <w:tc>
          <w:tcPr>
            <w:tcW w:w="110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$159,340</w:t>
            </w:r>
          </w:p>
        </w:tc>
        <w:tc>
          <w:tcPr>
            <w:tcW w:w="82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$8,132,517</w:t>
            </w:r>
          </w:p>
        </w:tc>
      </w:tr>
      <w:tr>
        <w:trPr>
          <w:trHeight w:val="149"/>
        </w:trPr>
        <w:tc>
          <w:tcPr>
            <w:tcW w:w="3750" w:type="dxa"/>
            <w:vAlign w:val="bottom"/>
            <w:shd w:val="clear" w:color="auto" w:fill="B2D5EE"/>
          </w:tcPr>
          <w:p>
            <w:pPr>
              <w:ind w:left="40"/>
              <w:spacing w:after="0"/>
              <w:rPr>
                <w:sz w:val="20"/>
                <w:szCs w:val="20"/>
                <w:color w:val="auto"/>
              </w:rPr>
            </w:pPr>
            <w:r>
              <w:rPr>
                <w:rFonts w:ascii="Arial" w:cs="Arial" w:eastAsia="Arial" w:hAnsi="Arial"/>
                <w:sz w:val="13"/>
                <w:szCs w:val="13"/>
                <w:color w:val="auto"/>
              </w:rPr>
              <w:t>Executive Vice President,</w:t>
            </w:r>
          </w:p>
        </w:tc>
        <w:tc>
          <w:tcPr>
            <w:tcW w:w="410" w:type="dxa"/>
            <w:vAlign w:val="bottom"/>
            <w:shd w:val="clear" w:color="auto" w:fill="B2D5EE"/>
          </w:tcPr>
          <w:p>
            <w:pPr>
              <w:jc w:val="center"/>
              <w:ind w:left="3"/>
              <w:spacing w:after="0"/>
              <w:rPr>
                <w:sz w:val="20"/>
                <w:szCs w:val="20"/>
                <w:color w:val="auto"/>
              </w:rPr>
            </w:pPr>
            <w:r>
              <w:rPr>
                <w:rFonts w:ascii="Arial" w:cs="Arial" w:eastAsia="Arial" w:hAnsi="Arial"/>
                <w:sz w:val="13"/>
                <w:szCs w:val="13"/>
                <w:color w:val="auto"/>
              </w:rPr>
              <w:t>2024</w:t>
            </w:r>
          </w:p>
        </w:tc>
        <w:tc>
          <w:tcPr>
            <w:tcW w:w="960" w:type="dxa"/>
            <w:vAlign w:val="bottom"/>
            <w:shd w:val="clear" w:color="auto" w:fill="B2D5EE"/>
          </w:tcPr>
          <w:p>
            <w:pPr>
              <w:jc w:val="center"/>
              <w:ind w:left="13"/>
              <w:spacing w:after="0"/>
              <w:rPr>
                <w:sz w:val="20"/>
                <w:szCs w:val="20"/>
                <w:color w:val="auto"/>
              </w:rPr>
            </w:pPr>
            <w:r>
              <w:rPr>
                <w:rFonts w:ascii="Arial" w:cs="Arial" w:eastAsia="Arial" w:hAnsi="Arial"/>
                <w:sz w:val="13"/>
                <w:szCs w:val="13"/>
                <w:color w:val="auto"/>
              </w:rPr>
              <w:t>$954,192</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6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$3,879,219</w:t>
            </w:r>
          </w:p>
        </w:tc>
        <w:tc>
          <w:tcPr>
            <w:tcW w:w="11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$1,516,537</w:t>
            </w:r>
          </w:p>
        </w:tc>
        <w:tc>
          <w:tcPr>
            <w:tcW w:w="12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$155,881</w:t>
            </w:r>
          </w:p>
        </w:tc>
        <w:tc>
          <w:tcPr>
            <w:tcW w:w="8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$6,505,829</w:t>
            </w:r>
          </w:p>
        </w:tc>
      </w:tr>
      <w:tr>
        <w:trPr>
          <w:trHeight w:val="175"/>
        </w:trPr>
        <w:tc>
          <w:tcPr>
            <w:tcW w:w="3750" w:type="dxa"/>
            <w:vAlign w:val="bottom"/>
            <w:tcBorders>
              <w:bottom w:val="single" w:sz="8" w:color="auto"/>
            </w:tcBorders>
            <w:shd w:val="clear" w:color="auto" w:fill="B2D5EE"/>
          </w:tcPr>
          <w:p>
            <w:pPr>
              <w:ind w:left="40"/>
              <w:spacing w:after="0"/>
              <w:rPr>
                <w:sz w:val="20"/>
                <w:szCs w:val="20"/>
                <w:color w:val="auto"/>
              </w:rPr>
            </w:pPr>
            <w:r>
              <w:rPr>
                <w:rFonts w:ascii="Arial" w:cs="Arial" w:eastAsia="Arial" w:hAnsi="Arial"/>
                <w:sz w:val="13"/>
                <w:szCs w:val="13"/>
                <w:color w:val="auto"/>
              </w:rPr>
              <w:t>Chief Legal Officer</w:t>
            </w:r>
          </w:p>
        </w:tc>
        <w:tc>
          <w:tcPr>
            <w:tcW w:w="410" w:type="dxa"/>
            <w:vAlign w:val="bottom"/>
            <w:tcBorders>
              <w:bottom w:val="single" w:sz="8" w:color="auto"/>
            </w:tcBorders>
            <w:shd w:val="clear" w:color="auto" w:fill="B2D5EE"/>
          </w:tcPr>
          <w:p>
            <w:pPr>
              <w:jc w:val="center"/>
              <w:ind w:left="3"/>
              <w:spacing w:after="0"/>
              <w:rPr>
                <w:sz w:val="20"/>
                <w:szCs w:val="20"/>
                <w:color w:val="auto"/>
              </w:rPr>
            </w:pPr>
            <w:r>
              <w:rPr>
                <w:rFonts w:ascii="Arial" w:cs="Arial" w:eastAsia="Arial" w:hAnsi="Arial"/>
                <w:sz w:val="13"/>
                <w:szCs w:val="13"/>
                <w:color w:val="auto"/>
              </w:rPr>
              <w:t>2023</w:t>
            </w:r>
          </w:p>
        </w:tc>
        <w:tc>
          <w:tcPr>
            <w:tcW w:w="960" w:type="dxa"/>
            <w:vAlign w:val="bottom"/>
            <w:tcBorders>
              <w:bottom w:val="single" w:sz="8" w:color="auto"/>
            </w:tcBorders>
            <w:shd w:val="clear" w:color="auto" w:fill="B2D5EE"/>
          </w:tcPr>
          <w:p>
            <w:pPr>
              <w:jc w:val="center"/>
              <w:ind w:left="13"/>
              <w:spacing w:after="0"/>
              <w:rPr>
                <w:sz w:val="20"/>
                <w:szCs w:val="20"/>
                <w:color w:val="auto"/>
              </w:rPr>
            </w:pPr>
            <w:r>
              <w:rPr>
                <w:rFonts w:ascii="Arial" w:cs="Arial" w:eastAsia="Arial" w:hAnsi="Arial"/>
                <w:sz w:val="13"/>
                <w:szCs w:val="13"/>
                <w:color w:val="auto"/>
              </w:rPr>
              <w:t>$924,417</w:t>
            </w:r>
          </w:p>
        </w:tc>
        <w:tc>
          <w:tcPr>
            <w:tcW w:w="66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$4,600,947</w:t>
            </w:r>
          </w:p>
        </w:tc>
        <w:tc>
          <w:tcPr>
            <w:tcW w:w="114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$846,611</w:t>
            </w:r>
          </w:p>
        </w:tc>
        <w:tc>
          <w:tcPr>
            <w:tcW w:w="122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$148,759</w:t>
            </w:r>
          </w:p>
        </w:tc>
        <w:tc>
          <w:tcPr>
            <w:tcW w:w="110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9"/>
              </w:rPr>
              <w:t>$183,118</w:t>
            </w:r>
          </w:p>
        </w:tc>
        <w:tc>
          <w:tcPr>
            <w:tcW w:w="82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$6,703,852</w:t>
            </w:r>
          </w:p>
        </w:tc>
      </w:tr>
      <w:tr>
        <w:trPr>
          <w:trHeight w:val="129"/>
        </w:trPr>
        <w:tc>
          <w:tcPr>
            <w:tcW w:w="3750" w:type="dxa"/>
            <w:vAlign w:val="bottom"/>
            <w:shd w:val="clear" w:color="auto" w:fill="E5F1F9"/>
          </w:tcPr>
          <w:p>
            <w:pPr>
              <w:ind w:left="40"/>
              <w:spacing w:after="0" w:line="129" w:lineRule="exact"/>
              <w:rPr>
                <w:sz w:val="20"/>
                <w:szCs w:val="20"/>
                <w:color w:val="auto"/>
              </w:rPr>
            </w:pPr>
            <w:r>
              <w:rPr>
                <w:rFonts w:ascii="Arial" w:cs="Arial" w:eastAsia="Arial" w:hAnsi="Arial"/>
                <w:sz w:val="13"/>
                <w:szCs w:val="13"/>
                <w:b w:val="1"/>
                <w:bCs w:val="1"/>
                <w:color w:val="auto"/>
              </w:rPr>
              <w:t>Priya A. Singhal</w:t>
            </w:r>
          </w:p>
        </w:tc>
        <w:tc>
          <w:tcPr>
            <w:tcW w:w="410" w:type="dxa"/>
            <w:vAlign w:val="bottom"/>
            <w:shd w:val="clear" w:color="auto" w:fill="E5F1F9"/>
          </w:tcPr>
          <w:p>
            <w:pPr>
              <w:jc w:val="center"/>
              <w:ind w:left="3"/>
              <w:spacing w:after="0" w:line="129" w:lineRule="exact"/>
              <w:rPr>
                <w:sz w:val="20"/>
                <w:szCs w:val="20"/>
                <w:color w:val="auto"/>
              </w:rPr>
            </w:pPr>
            <w:r>
              <w:rPr>
                <w:rFonts w:ascii="Arial" w:cs="Arial" w:eastAsia="Arial" w:hAnsi="Arial"/>
                <w:sz w:val="13"/>
                <w:szCs w:val="13"/>
                <w:color w:val="auto"/>
              </w:rPr>
              <w:t>2025</w:t>
            </w:r>
          </w:p>
        </w:tc>
        <w:tc>
          <w:tcPr>
            <w:tcW w:w="960" w:type="dxa"/>
            <w:vAlign w:val="bottom"/>
            <w:shd w:val="clear" w:color="auto" w:fill="E5F1F9"/>
          </w:tcPr>
          <w:p>
            <w:pPr>
              <w:jc w:val="center"/>
              <w:ind w:left="13"/>
              <w:spacing w:after="0" w:line="129" w:lineRule="exact"/>
              <w:rPr>
                <w:sz w:val="20"/>
                <w:szCs w:val="20"/>
                <w:color w:val="auto"/>
              </w:rPr>
            </w:pPr>
            <w:r>
              <w:rPr>
                <w:rFonts w:ascii="Arial" w:cs="Arial" w:eastAsia="Arial" w:hAnsi="Arial"/>
                <w:sz w:val="13"/>
                <w:szCs w:val="13"/>
                <w:color w:val="auto"/>
              </w:rPr>
              <w:t>$929,712</w:t>
            </w:r>
          </w:p>
        </w:tc>
        <w:tc>
          <w:tcPr>
            <w:tcW w:w="66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$898</w:t>
            </w:r>
          </w:p>
        </w:tc>
        <w:tc>
          <w:tcPr>
            <w:tcW w:w="96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$5,566,081</w:t>
            </w:r>
          </w:p>
        </w:tc>
        <w:tc>
          <w:tcPr>
            <w:tcW w:w="114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$950,833</w:t>
            </w:r>
          </w:p>
        </w:tc>
        <w:tc>
          <w:tcPr>
            <w:tcW w:w="122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w:t>
            </w:r>
          </w:p>
        </w:tc>
        <w:tc>
          <w:tcPr>
            <w:tcW w:w="110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$123,863</w:t>
            </w:r>
          </w:p>
        </w:tc>
        <w:tc>
          <w:tcPr>
            <w:tcW w:w="82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$7,571,387</w:t>
            </w:r>
          </w:p>
        </w:tc>
      </w:tr>
      <w:tr>
        <w:trPr>
          <w:trHeight w:val="161"/>
        </w:trPr>
        <w:tc>
          <w:tcPr>
            <w:tcW w:w="3750" w:type="dxa"/>
            <w:vAlign w:val="bottom"/>
            <w:shd w:val="clear" w:color="auto" w:fill="E5F1F9"/>
          </w:tcPr>
          <w:p>
            <w:pPr>
              <w:ind w:left="40"/>
              <w:spacing w:after="0"/>
              <w:rPr>
                <w:sz w:val="20"/>
                <w:szCs w:val="20"/>
                <w:color w:val="auto"/>
              </w:rPr>
            </w:pPr>
            <w:r>
              <w:rPr>
                <w:rFonts w:ascii="Arial" w:cs="Arial" w:eastAsia="Arial" w:hAnsi="Arial"/>
                <w:sz w:val="13"/>
                <w:szCs w:val="13"/>
                <w:color w:val="auto"/>
              </w:rPr>
              <w:t>Head of Development</w:t>
            </w:r>
          </w:p>
        </w:tc>
        <w:tc>
          <w:tcPr>
            <w:tcW w:w="410" w:type="dxa"/>
            <w:vAlign w:val="bottom"/>
            <w:shd w:val="clear" w:color="auto" w:fill="E5F1F9"/>
          </w:tcPr>
          <w:p>
            <w:pPr>
              <w:jc w:val="center"/>
              <w:ind w:left="3"/>
              <w:spacing w:after="0"/>
              <w:rPr>
                <w:sz w:val="20"/>
                <w:szCs w:val="20"/>
                <w:color w:val="auto"/>
              </w:rPr>
            </w:pPr>
            <w:r>
              <w:rPr>
                <w:rFonts w:ascii="Arial" w:cs="Arial" w:eastAsia="Arial" w:hAnsi="Arial"/>
                <w:sz w:val="13"/>
                <w:szCs w:val="13"/>
                <w:color w:val="auto"/>
              </w:rPr>
              <w:t>2024</w:t>
            </w:r>
          </w:p>
        </w:tc>
        <w:tc>
          <w:tcPr>
            <w:tcW w:w="960" w:type="dxa"/>
            <w:vAlign w:val="bottom"/>
            <w:shd w:val="clear" w:color="auto" w:fill="E5F1F9"/>
          </w:tcPr>
          <w:p>
            <w:pPr>
              <w:jc w:val="center"/>
              <w:ind w:left="13"/>
              <w:spacing w:after="0"/>
              <w:rPr>
                <w:sz w:val="20"/>
                <w:szCs w:val="20"/>
                <w:color w:val="auto"/>
              </w:rPr>
            </w:pPr>
            <w:r>
              <w:rPr>
                <w:rFonts w:ascii="Arial" w:cs="Arial" w:eastAsia="Arial" w:hAnsi="Arial"/>
                <w:sz w:val="13"/>
                <w:szCs w:val="13"/>
                <w:color w:val="auto"/>
              </w:rPr>
              <w:t>$816,346</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$4,433,862</w:t>
            </w:r>
          </w:p>
        </w:tc>
        <w:tc>
          <w:tcPr>
            <w:tcW w:w="11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$1,020,938</w:t>
            </w:r>
          </w:p>
        </w:tc>
        <w:tc>
          <w:tcPr>
            <w:tcW w:w="12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$2,110</w:t>
            </w:r>
          </w:p>
        </w:tc>
        <w:tc>
          <w:tcPr>
            <w:tcW w:w="110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9"/>
              </w:rPr>
              <w:t>$114,407</w:t>
            </w:r>
          </w:p>
        </w:tc>
        <w:tc>
          <w:tcPr>
            <w:tcW w:w="8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$6,387,663</w:t>
            </w:r>
          </w:p>
        </w:tc>
      </w:tr>
      <w:tr>
        <w:trPr>
          <w:trHeight w:val="148"/>
        </w:trPr>
        <w:tc>
          <w:tcPr>
            <w:tcW w:w="3750" w:type="dxa"/>
            <w:vAlign w:val="bottom"/>
            <w:tcBorders>
              <w:bottom w:val="single" w:sz="8" w:color="auto"/>
            </w:tcBorders>
            <w:shd w:val="clear" w:color="auto" w:fill="E5F1F9"/>
          </w:tcPr>
          <w:p>
            <w:pPr>
              <w:spacing w:after="0"/>
              <w:rPr>
                <w:sz w:val="12"/>
                <w:szCs w:val="12"/>
                <w:color w:val="auto"/>
              </w:rPr>
            </w:pPr>
          </w:p>
        </w:tc>
        <w:tc>
          <w:tcPr>
            <w:tcW w:w="410" w:type="dxa"/>
            <w:vAlign w:val="bottom"/>
            <w:tcBorders>
              <w:bottom w:val="single" w:sz="8" w:color="auto"/>
            </w:tcBorders>
            <w:shd w:val="clear" w:color="auto" w:fill="E5F1F9"/>
          </w:tcPr>
          <w:p>
            <w:pPr>
              <w:spacing w:after="0"/>
              <w:rPr>
                <w:sz w:val="12"/>
                <w:szCs w:val="12"/>
                <w:color w:val="auto"/>
              </w:rPr>
            </w:pPr>
          </w:p>
        </w:tc>
        <w:tc>
          <w:tcPr>
            <w:tcW w:w="960" w:type="dxa"/>
            <w:vAlign w:val="bottom"/>
            <w:tcBorders>
              <w:bottom w:val="single" w:sz="8" w:color="auto"/>
            </w:tcBorders>
            <w:shd w:val="clear" w:color="auto" w:fill="E5F1F9"/>
          </w:tcPr>
          <w:p>
            <w:pPr>
              <w:spacing w:after="0"/>
              <w:rPr>
                <w:sz w:val="12"/>
                <w:szCs w:val="12"/>
                <w:color w:val="auto"/>
              </w:rPr>
            </w:pPr>
          </w:p>
        </w:tc>
        <w:tc>
          <w:tcPr>
            <w:tcW w:w="660" w:type="dxa"/>
            <w:vAlign w:val="bottom"/>
            <w:tcBorders>
              <w:bottom w:val="single" w:sz="8" w:color="auto"/>
            </w:tcBorders>
            <w:shd w:val="clear" w:color="auto" w:fill="E5F1F9"/>
          </w:tcPr>
          <w:p>
            <w:pPr>
              <w:spacing w:after="0"/>
              <w:rPr>
                <w:sz w:val="12"/>
                <w:szCs w:val="12"/>
                <w:color w:val="auto"/>
              </w:rPr>
            </w:pPr>
          </w:p>
        </w:tc>
        <w:tc>
          <w:tcPr>
            <w:tcW w:w="960" w:type="dxa"/>
            <w:vAlign w:val="bottom"/>
            <w:tcBorders>
              <w:bottom w:val="single" w:sz="8" w:color="auto"/>
            </w:tcBorders>
            <w:shd w:val="clear" w:color="auto" w:fill="E5F1F9"/>
          </w:tcPr>
          <w:p>
            <w:pPr>
              <w:spacing w:after="0"/>
              <w:rPr>
                <w:sz w:val="12"/>
                <w:szCs w:val="12"/>
                <w:color w:val="auto"/>
              </w:rPr>
            </w:pPr>
          </w:p>
        </w:tc>
        <w:tc>
          <w:tcPr>
            <w:tcW w:w="1140" w:type="dxa"/>
            <w:vAlign w:val="bottom"/>
            <w:tcBorders>
              <w:bottom w:val="single" w:sz="8" w:color="auto"/>
            </w:tcBorders>
            <w:shd w:val="clear" w:color="auto" w:fill="E5F1F9"/>
          </w:tcPr>
          <w:p>
            <w:pPr>
              <w:spacing w:after="0"/>
              <w:rPr>
                <w:sz w:val="12"/>
                <w:szCs w:val="12"/>
                <w:color w:val="auto"/>
              </w:rPr>
            </w:pPr>
          </w:p>
        </w:tc>
        <w:tc>
          <w:tcPr>
            <w:tcW w:w="1220" w:type="dxa"/>
            <w:vAlign w:val="bottom"/>
            <w:tcBorders>
              <w:bottom w:val="single" w:sz="8" w:color="auto"/>
            </w:tcBorders>
            <w:shd w:val="clear" w:color="auto" w:fill="E5F1F9"/>
          </w:tcPr>
          <w:p>
            <w:pPr>
              <w:spacing w:after="0"/>
              <w:rPr>
                <w:sz w:val="12"/>
                <w:szCs w:val="12"/>
                <w:color w:val="auto"/>
              </w:rPr>
            </w:pPr>
          </w:p>
        </w:tc>
        <w:tc>
          <w:tcPr>
            <w:tcW w:w="1100" w:type="dxa"/>
            <w:vAlign w:val="bottom"/>
            <w:tcBorders>
              <w:bottom w:val="single" w:sz="8" w:color="auto"/>
            </w:tcBorders>
            <w:shd w:val="clear" w:color="auto" w:fill="E5F1F9"/>
          </w:tcPr>
          <w:p>
            <w:pPr>
              <w:spacing w:after="0"/>
              <w:rPr>
                <w:sz w:val="12"/>
                <w:szCs w:val="12"/>
                <w:color w:val="auto"/>
              </w:rPr>
            </w:pPr>
          </w:p>
        </w:tc>
        <w:tc>
          <w:tcPr>
            <w:tcW w:w="820" w:type="dxa"/>
            <w:vAlign w:val="bottom"/>
            <w:tcBorders>
              <w:bottom w:val="single" w:sz="8" w:color="auto"/>
            </w:tcBorders>
            <w:shd w:val="clear" w:color="auto" w:fill="E5F1F9"/>
          </w:tcPr>
          <w:p>
            <w:pPr>
              <w:spacing w:after="0"/>
              <w:rPr>
                <w:sz w:val="12"/>
                <w:szCs w:val="12"/>
                <w:color w:val="auto"/>
              </w:rPr>
            </w:pPr>
          </w:p>
        </w:tc>
      </w:tr>
      <w:tr>
        <w:trPr>
          <w:trHeight w:val="129"/>
        </w:trPr>
        <w:tc>
          <w:tcPr>
            <w:tcW w:w="3750" w:type="dxa"/>
            <w:vAlign w:val="bottom"/>
            <w:shd w:val="clear" w:color="auto" w:fill="B2D5EE"/>
          </w:tcPr>
          <w:p>
            <w:pPr>
              <w:ind w:left="40"/>
              <w:spacing w:after="0" w:line="129" w:lineRule="exact"/>
              <w:rPr>
                <w:sz w:val="20"/>
                <w:szCs w:val="20"/>
                <w:color w:val="auto"/>
              </w:rPr>
            </w:pPr>
            <w:r>
              <w:rPr>
                <w:rFonts w:ascii="Arial" w:cs="Arial" w:eastAsia="Arial" w:hAnsi="Arial"/>
                <w:sz w:val="13"/>
                <w:szCs w:val="13"/>
                <w:b w:val="1"/>
                <w:bCs w:val="1"/>
                <w:color w:val="auto"/>
              </w:rPr>
              <w:t>Nicole C. Murphy</w:t>
            </w:r>
          </w:p>
        </w:tc>
        <w:tc>
          <w:tcPr>
            <w:tcW w:w="410" w:type="dxa"/>
            <w:vAlign w:val="bottom"/>
            <w:shd w:val="clear" w:color="auto" w:fill="B2D5EE"/>
          </w:tcPr>
          <w:p>
            <w:pPr>
              <w:jc w:val="center"/>
              <w:ind w:left="3"/>
              <w:spacing w:after="0" w:line="129" w:lineRule="exact"/>
              <w:rPr>
                <w:sz w:val="20"/>
                <w:szCs w:val="20"/>
                <w:color w:val="auto"/>
              </w:rPr>
            </w:pPr>
            <w:r>
              <w:rPr>
                <w:rFonts w:ascii="Arial" w:cs="Arial" w:eastAsia="Arial" w:hAnsi="Arial"/>
                <w:sz w:val="13"/>
                <w:szCs w:val="13"/>
                <w:color w:val="auto"/>
              </w:rPr>
              <w:t>2025</w:t>
            </w:r>
          </w:p>
        </w:tc>
        <w:tc>
          <w:tcPr>
            <w:tcW w:w="960" w:type="dxa"/>
            <w:vAlign w:val="bottom"/>
            <w:shd w:val="clear" w:color="auto" w:fill="B2D5EE"/>
          </w:tcPr>
          <w:p>
            <w:pPr>
              <w:jc w:val="center"/>
              <w:ind w:left="13"/>
              <w:spacing w:after="0" w:line="129" w:lineRule="exact"/>
              <w:rPr>
                <w:sz w:val="20"/>
                <w:szCs w:val="20"/>
                <w:color w:val="auto"/>
              </w:rPr>
            </w:pPr>
            <w:r>
              <w:rPr>
                <w:rFonts w:ascii="Arial" w:cs="Arial" w:eastAsia="Arial" w:hAnsi="Arial"/>
                <w:sz w:val="13"/>
                <w:szCs w:val="13"/>
                <w:color w:val="auto"/>
              </w:rPr>
              <w:t>$909,109</w:t>
            </w:r>
          </w:p>
        </w:tc>
        <w:tc>
          <w:tcPr>
            <w:tcW w:w="66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w:t>
            </w:r>
          </w:p>
        </w:tc>
        <w:tc>
          <w:tcPr>
            <w:tcW w:w="96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$5,566,081</w:t>
            </w:r>
          </w:p>
        </w:tc>
        <w:tc>
          <w:tcPr>
            <w:tcW w:w="114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$977,828</w:t>
            </w:r>
          </w:p>
        </w:tc>
        <w:tc>
          <w:tcPr>
            <w:tcW w:w="122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w:t>
            </w:r>
          </w:p>
        </w:tc>
        <w:tc>
          <w:tcPr>
            <w:tcW w:w="110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$122,487</w:t>
            </w:r>
          </w:p>
        </w:tc>
        <w:tc>
          <w:tcPr>
            <w:tcW w:w="820" w:type="dxa"/>
            <w:vAlign w:val="bottom"/>
            <w:shd w:val="clear" w:color="auto" w:fill="B2D5EE"/>
          </w:tcPr>
          <w:p>
            <w:pPr>
              <w:jc w:val="center"/>
              <w:spacing w:after="0" w:line="129" w:lineRule="exact"/>
              <w:rPr>
                <w:sz w:val="20"/>
                <w:szCs w:val="20"/>
                <w:color w:val="auto"/>
              </w:rPr>
            </w:pPr>
            <w:r>
              <w:rPr>
                <w:rFonts w:ascii="Arial" w:cs="Arial" w:eastAsia="Arial" w:hAnsi="Arial"/>
                <w:sz w:val="13"/>
                <w:szCs w:val="13"/>
                <w:color w:val="auto"/>
              </w:rPr>
              <w:t>$7,575,505</w:t>
            </w:r>
          </w:p>
        </w:tc>
      </w:tr>
      <w:tr>
        <w:trPr>
          <w:trHeight w:val="148"/>
        </w:trPr>
        <w:tc>
          <w:tcPr>
            <w:tcW w:w="3750" w:type="dxa"/>
            <w:vAlign w:val="bottom"/>
            <w:shd w:val="clear" w:color="auto" w:fill="B2D5EE"/>
          </w:tcPr>
          <w:p>
            <w:pPr>
              <w:ind w:left="40"/>
              <w:spacing w:after="0"/>
              <w:rPr>
                <w:sz w:val="20"/>
                <w:szCs w:val="20"/>
                <w:color w:val="auto"/>
              </w:rPr>
            </w:pPr>
            <w:r>
              <w:rPr>
                <w:rFonts w:ascii="Arial" w:cs="Arial" w:eastAsia="Arial" w:hAnsi="Arial"/>
                <w:sz w:val="13"/>
                <w:szCs w:val="13"/>
                <w:color w:val="auto"/>
              </w:rPr>
              <w:t>Head of Pharmaceutical</w:t>
            </w:r>
          </w:p>
        </w:tc>
        <w:tc>
          <w:tcPr>
            <w:tcW w:w="410" w:type="dxa"/>
            <w:vAlign w:val="bottom"/>
            <w:shd w:val="clear" w:color="auto" w:fill="B2D5EE"/>
          </w:tcPr>
          <w:p>
            <w:pPr>
              <w:jc w:val="center"/>
              <w:ind w:left="3"/>
              <w:spacing w:after="0"/>
              <w:rPr>
                <w:sz w:val="20"/>
                <w:szCs w:val="20"/>
                <w:color w:val="auto"/>
              </w:rPr>
            </w:pPr>
            <w:r>
              <w:rPr>
                <w:rFonts w:ascii="Arial" w:cs="Arial" w:eastAsia="Arial" w:hAnsi="Arial"/>
                <w:sz w:val="13"/>
                <w:szCs w:val="13"/>
                <w:color w:val="auto"/>
              </w:rPr>
              <w:t>2024</w:t>
            </w:r>
          </w:p>
        </w:tc>
        <w:tc>
          <w:tcPr>
            <w:tcW w:w="960" w:type="dxa"/>
            <w:vAlign w:val="bottom"/>
            <w:shd w:val="clear" w:color="auto" w:fill="B2D5EE"/>
          </w:tcPr>
          <w:p>
            <w:pPr>
              <w:jc w:val="center"/>
              <w:ind w:left="13"/>
              <w:spacing w:after="0"/>
              <w:rPr>
                <w:sz w:val="20"/>
                <w:szCs w:val="20"/>
                <w:color w:val="auto"/>
              </w:rPr>
            </w:pPr>
            <w:r>
              <w:rPr>
                <w:rFonts w:ascii="Arial" w:cs="Arial" w:eastAsia="Arial" w:hAnsi="Arial"/>
                <w:sz w:val="13"/>
                <w:szCs w:val="13"/>
                <w:color w:val="auto"/>
              </w:rPr>
              <w:t>$764,567</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6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$3,879,219</w:t>
            </w:r>
          </w:p>
        </w:tc>
        <w:tc>
          <w:tcPr>
            <w:tcW w:w="11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$999,034</w:t>
            </w:r>
          </w:p>
        </w:tc>
        <w:tc>
          <w:tcPr>
            <w:tcW w:w="12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$97,539</w:t>
            </w:r>
          </w:p>
        </w:tc>
        <w:tc>
          <w:tcPr>
            <w:tcW w:w="8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$5,740,359</w:t>
            </w:r>
          </w:p>
        </w:tc>
      </w:tr>
      <w:tr>
        <w:trPr>
          <w:trHeight w:val="175"/>
        </w:trPr>
        <w:tc>
          <w:tcPr>
            <w:tcW w:w="3750" w:type="dxa"/>
            <w:vAlign w:val="bottom"/>
            <w:tcBorders>
              <w:bottom w:val="single" w:sz="8" w:color="auto"/>
            </w:tcBorders>
            <w:shd w:val="clear" w:color="auto" w:fill="B2D5EE"/>
          </w:tcPr>
          <w:p>
            <w:pPr>
              <w:ind w:left="40"/>
              <w:spacing w:after="0"/>
              <w:rPr>
                <w:sz w:val="20"/>
                <w:szCs w:val="20"/>
                <w:color w:val="auto"/>
              </w:rPr>
            </w:pPr>
            <w:r>
              <w:rPr>
                <w:rFonts w:ascii="Arial" w:cs="Arial" w:eastAsia="Arial" w:hAnsi="Arial"/>
                <w:sz w:val="13"/>
                <w:szCs w:val="13"/>
                <w:color w:val="auto"/>
              </w:rPr>
              <w:t>Operations and Technology</w:t>
            </w:r>
          </w:p>
        </w:tc>
        <w:tc>
          <w:tcPr>
            <w:tcW w:w="410" w:type="dxa"/>
            <w:vAlign w:val="bottom"/>
            <w:tcBorders>
              <w:bottom w:val="single" w:sz="8" w:color="auto"/>
            </w:tcBorders>
            <w:shd w:val="clear" w:color="auto" w:fill="B2D5EE"/>
          </w:tcPr>
          <w:p>
            <w:pPr>
              <w:jc w:val="center"/>
              <w:ind w:left="3"/>
              <w:spacing w:after="0"/>
              <w:rPr>
                <w:sz w:val="20"/>
                <w:szCs w:val="20"/>
                <w:color w:val="auto"/>
              </w:rPr>
            </w:pPr>
            <w:r>
              <w:rPr>
                <w:rFonts w:ascii="Arial" w:cs="Arial" w:eastAsia="Arial" w:hAnsi="Arial"/>
                <w:sz w:val="13"/>
                <w:szCs w:val="13"/>
                <w:color w:val="auto"/>
              </w:rPr>
              <w:t>2023</w:t>
            </w:r>
          </w:p>
        </w:tc>
        <w:tc>
          <w:tcPr>
            <w:tcW w:w="960" w:type="dxa"/>
            <w:vAlign w:val="bottom"/>
            <w:tcBorders>
              <w:bottom w:val="single" w:sz="8" w:color="auto"/>
            </w:tcBorders>
            <w:shd w:val="clear" w:color="auto" w:fill="B2D5EE"/>
          </w:tcPr>
          <w:p>
            <w:pPr>
              <w:jc w:val="center"/>
              <w:ind w:left="13"/>
              <w:spacing w:after="0"/>
              <w:rPr>
                <w:sz w:val="20"/>
                <w:szCs w:val="20"/>
                <w:color w:val="auto"/>
              </w:rPr>
            </w:pPr>
            <w:r>
              <w:rPr>
                <w:rFonts w:ascii="Arial" w:cs="Arial" w:eastAsia="Arial" w:hAnsi="Arial"/>
                <w:sz w:val="13"/>
                <w:szCs w:val="13"/>
                <w:color w:val="auto"/>
              </w:rPr>
              <w:t>$670,642</w:t>
            </w:r>
          </w:p>
        </w:tc>
        <w:tc>
          <w:tcPr>
            <w:tcW w:w="66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$4,268,453</w:t>
            </w:r>
          </w:p>
        </w:tc>
        <w:tc>
          <w:tcPr>
            <w:tcW w:w="114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$676,603</w:t>
            </w:r>
          </w:p>
        </w:tc>
        <w:tc>
          <w:tcPr>
            <w:tcW w:w="122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$98,621</w:t>
            </w:r>
          </w:p>
        </w:tc>
        <w:tc>
          <w:tcPr>
            <w:tcW w:w="82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$5,714,319</w:t>
            </w:r>
          </w:p>
        </w:tc>
      </w:tr>
      <w:tr>
        <w:trPr>
          <w:trHeight w:val="129"/>
        </w:trPr>
        <w:tc>
          <w:tcPr>
            <w:tcW w:w="3750" w:type="dxa"/>
            <w:vAlign w:val="bottom"/>
            <w:shd w:val="clear" w:color="auto" w:fill="E5F1F9"/>
          </w:tcPr>
          <w:p>
            <w:pPr>
              <w:ind w:left="40"/>
              <w:spacing w:after="0" w:line="129" w:lineRule="exact"/>
              <w:rPr>
                <w:sz w:val="20"/>
                <w:szCs w:val="20"/>
                <w:color w:val="auto"/>
              </w:rPr>
            </w:pPr>
            <w:r>
              <w:rPr>
                <w:rFonts w:ascii="Arial" w:cs="Arial" w:eastAsia="Arial" w:hAnsi="Arial"/>
                <w:sz w:val="10"/>
                <w:szCs w:val="10"/>
                <w:b w:val="1"/>
                <w:bCs w:val="1"/>
                <w:color w:val="auto"/>
              </w:rPr>
              <w:t>Michael R. McDonnell</w:t>
            </w:r>
            <w:r>
              <w:rPr>
                <w:rFonts w:ascii="Arial" w:cs="Arial" w:eastAsia="Arial" w:hAnsi="Arial"/>
                <w:sz w:val="14"/>
                <w:szCs w:val="14"/>
                <w:b w:val="1"/>
                <w:bCs w:val="1"/>
                <w:color w:val="auto"/>
                <w:vertAlign w:val="superscript"/>
              </w:rPr>
              <w:t>(7)</w:t>
            </w:r>
          </w:p>
        </w:tc>
        <w:tc>
          <w:tcPr>
            <w:tcW w:w="410" w:type="dxa"/>
            <w:vAlign w:val="bottom"/>
            <w:shd w:val="clear" w:color="auto" w:fill="E5F1F9"/>
          </w:tcPr>
          <w:p>
            <w:pPr>
              <w:jc w:val="center"/>
              <w:ind w:left="3"/>
              <w:spacing w:after="0" w:line="129" w:lineRule="exact"/>
              <w:rPr>
                <w:sz w:val="20"/>
                <w:szCs w:val="20"/>
                <w:color w:val="auto"/>
              </w:rPr>
            </w:pPr>
            <w:r>
              <w:rPr>
                <w:rFonts w:ascii="Arial" w:cs="Arial" w:eastAsia="Arial" w:hAnsi="Arial"/>
                <w:sz w:val="13"/>
                <w:szCs w:val="13"/>
                <w:color w:val="auto"/>
              </w:rPr>
              <w:t>2025</w:t>
            </w:r>
          </w:p>
        </w:tc>
        <w:tc>
          <w:tcPr>
            <w:tcW w:w="960" w:type="dxa"/>
            <w:vAlign w:val="bottom"/>
            <w:shd w:val="clear" w:color="auto" w:fill="E5F1F9"/>
          </w:tcPr>
          <w:p>
            <w:pPr>
              <w:jc w:val="center"/>
              <w:ind w:left="13"/>
              <w:spacing w:after="0" w:line="129" w:lineRule="exact"/>
              <w:rPr>
                <w:sz w:val="20"/>
                <w:szCs w:val="20"/>
                <w:color w:val="auto"/>
              </w:rPr>
            </w:pPr>
            <w:r>
              <w:rPr>
                <w:rFonts w:ascii="Arial" w:cs="Arial" w:eastAsia="Arial" w:hAnsi="Arial"/>
                <w:sz w:val="13"/>
                <w:szCs w:val="13"/>
                <w:color w:val="auto"/>
              </w:rPr>
              <w:t>$226,895</w:t>
            </w:r>
          </w:p>
        </w:tc>
        <w:tc>
          <w:tcPr>
            <w:tcW w:w="66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w:t>
            </w:r>
          </w:p>
        </w:tc>
        <w:tc>
          <w:tcPr>
            <w:tcW w:w="96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w w:val="91"/>
              </w:rPr>
              <w:t>—</w:t>
            </w:r>
          </w:p>
        </w:tc>
        <w:tc>
          <w:tcPr>
            <w:tcW w:w="114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w:t>
            </w:r>
          </w:p>
        </w:tc>
        <w:tc>
          <w:tcPr>
            <w:tcW w:w="122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w:t>
            </w:r>
          </w:p>
        </w:tc>
        <w:tc>
          <w:tcPr>
            <w:tcW w:w="110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$43,955</w:t>
            </w:r>
          </w:p>
        </w:tc>
        <w:tc>
          <w:tcPr>
            <w:tcW w:w="820" w:type="dxa"/>
            <w:vAlign w:val="bottom"/>
            <w:shd w:val="clear" w:color="auto" w:fill="E5F1F9"/>
          </w:tcPr>
          <w:p>
            <w:pPr>
              <w:jc w:val="center"/>
              <w:spacing w:after="0" w:line="129" w:lineRule="exact"/>
              <w:rPr>
                <w:sz w:val="20"/>
                <w:szCs w:val="20"/>
                <w:color w:val="auto"/>
              </w:rPr>
            </w:pPr>
            <w:r>
              <w:rPr>
                <w:rFonts w:ascii="Arial" w:cs="Arial" w:eastAsia="Arial" w:hAnsi="Arial"/>
                <w:sz w:val="13"/>
                <w:szCs w:val="13"/>
                <w:color w:val="auto"/>
              </w:rPr>
              <w:t>$270,850</w:t>
            </w:r>
          </w:p>
        </w:tc>
      </w:tr>
      <w:tr>
        <w:trPr>
          <w:trHeight w:val="148"/>
        </w:trPr>
        <w:tc>
          <w:tcPr>
            <w:tcW w:w="3750" w:type="dxa"/>
            <w:vAlign w:val="bottom"/>
            <w:shd w:val="clear" w:color="auto" w:fill="E5F1F9"/>
          </w:tcPr>
          <w:p>
            <w:pPr>
              <w:ind w:left="40"/>
              <w:spacing w:after="0"/>
              <w:rPr>
                <w:sz w:val="20"/>
                <w:szCs w:val="20"/>
                <w:color w:val="auto"/>
              </w:rPr>
            </w:pPr>
            <w:r>
              <w:rPr>
                <w:rFonts w:ascii="Arial" w:cs="Arial" w:eastAsia="Arial" w:hAnsi="Arial"/>
                <w:sz w:val="13"/>
                <w:szCs w:val="13"/>
                <w:color w:val="auto"/>
              </w:rPr>
              <w:t>Former Executive Vice President</w:t>
            </w:r>
          </w:p>
        </w:tc>
        <w:tc>
          <w:tcPr>
            <w:tcW w:w="410" w:type="dxa"/>
            <w:vAlign w:val="bottom"/>
            <w:shd w:val="clear" w:color="auto" w:fill="E5F1F9"/>
          </w:tcPr>
          <w:p>
            <w:pPr>
              <w:jc w:val="center"/>
              <w:ind w:left="3"/>
              <w:spacing w:after="0"/>
              <w:rPr>
                <w:sz w:val="20"/>
                <w:szCs w:val="20"/>
                <w:color w:val="auto"/>
              </w:rPr>
            </w:pPr>
            <w:r>
              <w:rPr>
                <w:rFonts w:ascii="Arial" w:cs="Arial" w:eastAsia="Arial" w:hAnsi="Arial"/>
                <w:sz w:val="13"/>
                <w:szCs w:val="13"/>
                <w:color w:val="auto"/>
              </w:rPr>
              <w:t>2024</w:t>
            </w:r>
          </w:p>
        </w:tc>
        <w:tc>
          <w:tcPr>
            <w:tcW w:w="960" w:type="dxa"/>
            <w:vAlign w:val="bottom"/>
            <w:shd w:val="clear" w:color="auto" w:fill="E5F1F9"/>
          </w:tcPr>
          <w:p>
            <w:pPr>
              <w:jc w:val="center"/>
              <w:ind w:left="13"/>
              <w:spacing w:after="0"/>
              <w:rPr>
                <w:sz w:val="20"/>
                <w:szCs w:val="20"/>
                <w:color w:val="auto"/>
              </w:rPr>
            </w:pPr>
            <w:r>
              <w:rPr>
                <w:rFonts w:ascii="Arial" w:cs="Arial" w:eastAsia="Arial" w:hAnsi="Arial"/>
                <w:sz w:val="13"/>
                <w:szCs w:val="13"/>
                <w:color w:val="auto"/>
              </w:rPr>
              <w:t>$992,531</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$4,433,862</w:t>
            </w:r>
          </w:p>
        </w:tc>
        <w:tc>
          <w:tcPr>
            <w:tcW w:w="11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$1,211,989</w:t>
            </w:r>
          </w:p>
        </w:tc>
        <w:tc>
          <w:tcPr>
            <w:tcW w:w="12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$1,056</w:t>
            </w:r>
          </w:p>
        </w:tc>
        <w:tc>
          <w:tcPr>
            <w:tcW w:w="11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$187,296</w:t>
            </w:r>
          </w:p>
        </w:tc>
        <w:tc>
          <w:tcPr>
            <w:tcW w:w="8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$6,826,734</w:t>
            </w:r>
          </w:p>
        </w:tc>
      </w:tr>
      <w:tr>
        <w:trPr>
          <w:trHeight w:val="175"/>
        </w:trPr>
        <w:tc>
          <w:tcPr>
            <w:tcW w:w="3750" w:type="dxa"/>
            <w:vAlign w:val="bottom"/>
            <w:tcBorders>
              <w:bottom w:val="single" w:sz="8" w:color="auto"/>
            </w:tcBorders>
            <w:shd w:val="clear" w:color="auto" w:fill="E5F1F9"/>
          </w:tcPr>
          <w:p>
            <w:pPr>
              <w:ind w:left="40"/>
              <w:spacing w:after="0"/>
              <w:rPr>
                <w:sz w:val="20"/>
                <w:szCs w:val="20"/>
                <w:color w:val="auto"/>
              </w:rPr>
            </w:pPr>
            <w:r>
              <w:rPr>
                <w:rFonts w:ascii="Arial" w:cs="Arial" w:eastAsia="Arial" w:hAnsi="Arial"/>
                <w:sz w:val="13"/>
                <w:szCs w:val="13"/>
                <w:color w:val="auto"/>
              </w:rPr>
              <w:t>and Chief Financial Officer</w:t>
            </w:r>
          </w:p>
        </w:tc>
        <w:tc>
          <w:tcPr>
            <w:tcW w:w="410" w:type="dxa"/>
            <w:vAlign w:val="bottom"/>
            <w:tcBorders>
              <w:bottom w:val="single" w:sz="8" w:color="auto"/>
            </w:tcBorders>
            <w:shd w:val="clear" w:color="auto" w:fill="E5F1F9"/>
          </w:tcPr>
          <w:p>
            <w:pPr>
              <w:jc w:val="center"/>
              <w:ind w:left="3"/>
              <w:spacing w:after="0"/>
              <w:rPr>
                <w:sz w:val="20"/>
                <w:szCs w:val="20"/>
                <w:color w:val="auto"/>
              </w:rPr>
            </w:pPr>
            <w:r>
              <w:rPr>
                <w:rFonts w:ascii="Arial" w:cs="Arial" w:eastAsia="Arial" w:hAnsi="Arial"/>
                <w:sz w:val="13"/>
                <w:szCs w:val="13"/>
                <w:color w:val="auto"/>
              </w:rPr>
              <w:t>2023</w:t>
            </w:r>
          </w:p>
        </w:tc>
        <w:tc>
          <w:tcPr>
            <w:tcW w:w="960" w:type="dxa"/>
            <w:vAlign w:val="bottom"/>
            <w:tcBorders>
              <w:bottom w:val="single" w:sz="8" w:color="auto"/>
            </w:tcBorders>
            <w:shd w:val="clear" w:color="auto" w:fill="E5F1F9"/>
          </w:tcPr>
          <w:p>
            <w:pPr>
              <w:jc w:val="center"/>
              <w:ind w:left="13"/>
              <w:spacing w:after="0"/>
              <w:rPr>
                <w:sz w:val="20"/>
                <w:szCs w:val="20"/>
                <w:color w:val="auto"/>
              </w:rPr>
            </w:pPr>
            <w:r>
              <w:rPr>
                <w:rFonts w:ascii="Arial" w:cs="Arial" w:eastAsia="Arial" w:hAnsi="Arial"/>
                <w:sz w:val="13"/>
                <w:szCs w:val="13"/>
                <w:color w:val="auto"/>
              </w:rPr>
              <w:t>$945,268</w:t>
            </w:r>
          </w:p>
        </w:tc>
        <w:tc>
          <w:tcPr>
            <w:tcW w:w="66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$4,960,629</w:t>
            </w:r>
          </w:p>
        </w:tc>
        <w:tc>
          <w:tcPr>
            <w:tcW w:w="114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$1,129,183</w:t>
            </w:r>
          </w:p>
        </w:tc>
        <w:tc>
          <w:tcPr>
            <w:tcW w:w="122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$837</w:t>
            </w:r>
          </w:p>
        </w:tc>
        <w:tc>
          <w:tcPr>
            <w:tcW w:w="110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$131,684</w:t>
            </w:r>
          </w:p>
        </w:tc>
        <w:tc>
          <w:tcPr>
            <w:tcW w:w="82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$7,167,601</w:t>
            </w:r>
          </w:p>
        </w:tc>
      </w:tr>
    </w:tbl>
    <w:p>
      <w:pPr>
        <w:spacing w:after="0" w:line="101"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 to the Summary Compensation Table</w:t>
      </w:r>
    </w:p>
    <w:p>
      <w:pPr>
        <w:spacing w:after="0" w:line="121"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amount in column (d) reflects a special service-based recognition award provided to Dr. Singhal in 2025.</w:t>
      </w:r>
    </w:p>
    <w:p>
      <w:pPr>
        <w:spacing w:after="0" w:line="15" w:lineRule="exact"/>
        <w:rPr>
          <w:rFonts w:ascii="Arial" w:cs="Arial" w:eastAsia="Arial" w:hAnsi="Arial"/>
          <w:sz w:val="14"/>
          <w:szCs w:val="14"/>
          <w:color w:val="auto"/>
        </w:rPr>
      </w:pPr>
    </w:p>
    <w:p>
      <w:pPr>
        <w:ind w:left="540" w:right="20" w:hanging="424"/>
        <w:spacing w:after="0" w:line="244"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amounts in column (e) reflect the grant date fair value, computed in accordance with ASC 718, for RSUs and PSUs granted during 2025, 2024 and 2023, excluding the effect of estimated forfeitures. The 2025 and 2024 amounts include rTSR PSUs, EPS CAGR PSUs and RSUs. Under the former LTI design, a portion of PSUs were settled in cash. The cash portion of PSUs are included in the year when the applicable performance goals were set and the fair value of the PSUs was determinable. For NEOs, except Mr. Viehbacher, the 2023 amounts include rTSR PSUs, RSUs, and one-third of the cash-settled PSUs from 2021, which is the tranche of the award for which performance goals were set in 2023 relating to the 2023 performance period. The grant date fair value for rTSR PSU awards was determined as of the date of grant using a lattice model with a Monte Carlo simulation based on the probable outcome of applicable performance conditions. The grant date fair value for RSU and EPS CAGR PSU awards was determined by multiplying the number of stock subject to the award (assuming target performance for such PSUs) by the closing price of the company’s common stock on the grant date.</w:t>
      </w: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149"/>
        </w:trPr>
        <w:tc>
          <w:tcPr>
            <w:tcW w:w="3180" w:type="dxa"/>
            <w:vAlign w:val="bottom"/>
            <w:shd w:val="clear" w:color="auto" w:fill="0075C9"/>
          </w:tcPr>
          <w:p>
            <w:pPr>
              <w:spacing w:after="0"/>
              <w:rPr>
                <w:sz w:val="12"/>
                <w:szCs w:val="12"/>
                <w:color w:val="auto"/>
              </w:rPr>
            </w:pPr>
          </w:p>
        </w:tc>
        <w:tc>
          <w:tcPr>
            <w:tcW w:w="1280" w:type="dxa"/>
            <w:vAlign w:val="bottom"/>
            <w:shd w:val="clear" w:color="auto" w:fill="0075C9"/>
          </w:tcPr>
          <w:p>
            <w:pPr>
              <w:jc w:val="right"/>
              <w:spacing w:after="0"/>
              <w:rPr>
                <w:sz w:val="20"/>
                <w:szCs w:val="20"/>
                <w:color w:val="auto"/>
              </w:rPr>
            </w:pPr>
            <w:r>
              <w:rPr>
                <w:rFonts w:ascii="Arial" w:cs="Arial" w:eastAsia="Arial" w:hAnsi="Arial"/>
                <w:sz w:val="13"/>
                <w:szCs w:val="13"/>
                <w:color w:val="FFFFFF"/>
              </w:rPr>
              <w:t>2025</w:t>
            </w:r>
          </w:p>
        </w:tc>
        <w:tc>
          <w:tcPr>
            <w:tcW w:w="960" w:type="dxa"/>
            <w:vAlign w:val="bottom"/>
            <w:shd w:val="clear" w:color="auto" w:fill="0075C9"/>
          </w:tcPr>
          <w:p>
            <w:pPr>
              <w:spacing w:after="0"/>
              <w:rPr>
                <w:sz w:val="12"/>
                <w:szCs w:val="12"/>
                <w:color w:val="auto"/>
              </w:rPr>
            </w:pPr>
          </w:p>
        </w:tc>
        <w:tc>
          <w:tcPr>
            <w:tcW w:w="960" w:type="dxa"/>
            <w:vAlign w:val="bottom"/>
            <w:shd w:val="clear" w:color="auto" w:fill="0075C9"/>
          </w:tcPr>
          <w:p>
            <w:pPr>
              <w:spacing w:after="0"/>
              <w:rPr>
                <w:sz w:val="12"/>
                <w:szCs w:val="12"/>
                <w:color w:val="auto"/>
              </w:rPr>
            </w:pPr>
          </w:p>
        </w:tc>
        <w:tc>
          <w:tcPr>
            <w:tcW w:w="1280" w:type="dxa"/>
            <w:vAlign w:val="bottom"/>
            <w:shd w:val="clear" w:color="auto" w:fill="0075C9"/>
          </w:tcPr>
          <w:p>
            <w:pPr>
              <w:jc w:val="right"/>
              <w:ind w:right="893"/>
              <w:spacing w:after="0"/>
              <w:rPr>
                <w:sz w:val="20"/>
                <w:szCs w:val="20"/>
                <w:color w:val="auto"/>
              </w:rPr>
            </w:pPr>
            <w:r>
              <w:rPr>
                <w:rFonts w:ascii="Arial" w:cs="Arial" w:eastAsia="Arial" w:hAnsi="Arial"/>
                <w:sz w:val="13"/>
                <w:szCs w:val="13"/>
                <w:color w:val="FFFFFF"/>
              </w:rPr>
              <w:t>2024</w:t>
            </w:r>
          </w:p>
        </w:tc>
        <w:tc>
          <w:tcPr>
            <w:tcW w:w="900" w:type="dxa"/>
            <w:vAlign w:val="bottom"/>
            <w:shd w:val="clear" w:color="auto" w:fill="0075C9"/>
          </w:tcPr>
          <w:p>
            <w:pPr>
              <w:spacing w:after="0"/>
              <w:rPr>
                <w:sz w:val="12"/>
                <w:szCs w:val="12"/>
                <w:color w:val="auto"/>
              </w:rPr>
            </w:pPr>
          </w:p>
        </w:tc>
        <w:tc>
          <w:tcPr>
            <w:tcW w:w="1140" w:type="dxa"/>
            <w:vAlign w:val="bottom"/>
            <w:shd w:val="clear" w:color="auto" w:fill="0075C9"/>
          </w:tcPr>
          <w:p>
            <w:pPr>
              <w:jc w:val="right"/>
              <w:ind w:right="753"/>
              <w:spacing w:after="0"/>
              <w:rPr>
                <w:sz w:val="20"/>
                <w:szCs w:val="20"/>
                <w:color w:val="auto"/>
              </w:rPr>
            </w:pPr>
            <w:r>
              <w:rPr>
                <w:rFonts w:ascii="Arial" w:cs="Arial" w:eastAsia="Arial" w:hAnsi="Arial"/>
                <w:sz w:val="13"/>
                <w:szCs w:val="13"/>
                <w:color w:val="FFFFFF"/>
              </w:rPr>
              <w:t>2023</w:t>
            </w:r>
          </w:p>
        </w:tc>
      </w:tr>
      <w:tr>
        <w:trPr>
          <w:trHeight w:val="149"/>
        </w:trPr>
        <w:tc>
          <w:tcPr>
            <w:tcW w:w="3180" w:type="dxa"/>
            <w:vAlign w:val="bottom"/>
            <w:shd w:val="clear" w:color="auto" w:fill="0075C9"/>
          </w:tcPr>
          <w:p>
            <w:pPr>
              <w:spacing w:after="0"/>
              <w:rPr>
                <w:sz w:val="12"/>
                <w:szCs w:val="12"/>
                <w:color w:val="auto"/>
              </w:rPr>
            </w:pPr>
          </w:p>
        </w:tc>
        <w:tc>
          <w:tcPr>
            <w:tcW w:w="1280" w:type="dxa"/>
            <w:vAlign w:val="bottom"/>
            <w:shd w:val="clear" w:color="auto" w:fill="0075C9"/>
          </w:tcPr>
          <w:p>
            <w:pPr>
              <w:jc w:val="center"/>
              <w:ind w:right="113"/>
              <w:spacing w:after="0"/>
              <w:rPr>
                <w:sz w:val="20"/>
                <w:szCs w:val="20"/>
                <w:color w:val="auto"/>
              </w:rPr>
            </w:pPr>
            <w:r>
              <w:rPr>
                <w:rFonts w:ascii="Arial" w:cs="Arial" w:eastAsia="Arial" w:hAnsi="Arial"/>
                <w:sz w:val="13"/>
                <w:szCs w:val="13"/>
                <w:color w:val="FFFFFF"/>
              </w:rPr>
              <w:t>Target</w:t>
            </w:r>
          </w:p>
        </w:tc>
        <w:tc>
          <w:tcPr>
            <w:tcW w:w="960" w:type="dxa"/>
            <w:vAlign w:val="bottom"/>
            <w:shd w:val="clear" w:color="auto" w:fill="0075C9"/>
          </w:tcPr>
          <w:p>
            <w:pPr>
              <w:jc w:val="center"/>
              <w:ind w:right="113"/>
              <w:spacing w:after="0"/>
              <w:rPr>
                <w:sz w:val="20"/>
                <w:szCs w:val="20"/>
                <w:color w:val="auto"/>
              </w:rPr>
            </w:pPr>
            <w:r>
              <w:rPr>
                <w:rFonts w:ascii="Arial" w:cs="Arial" w:eastAsia="Arial" w:hAnsi="Arial"/>
                <w:sz w:val="13"/>
                <w:szCs w:val="13"/>
                <w:color w:val="FFFFFF"/>
              </w:rPr>
              <w:t>Maximum</w:t>
            </w:r>
          </w:p>
        </w:tc>
        <w:tc>
          <w:tcPr>
            <w:tcW w:w="960" w:type="dxa"/>
            <w:vAlign w:val="bottom"/>
            <w:shd w:val="clear" w:color="auto" w:fill="0075C9"/>
          </w:tcPr>
          <w:p>
            <w:pPr>
              <w:jc w:val="center"/>
              <w:ind w:left="93"/>
              <w:spacing w:after="0"/>
              <w:rPr>
                <w:sz w:val="20"/>
                <w:szCs w:val="20"/>
                <w:color w:val="auto"/>
              </w:rPr>
            </w:pPr>
            <w:r>
              <w:rPr>
                <w:rFonts w:ascii="Arial" w:cs="Arial" w:eastAsia="Arial" w:hAnsi="Arial"/>
                <w:sz w:val="13"/>
                <w:szCs w:val="13"/>
                <w:color w:val="FFFFFF"/>
                <w:w w:val="95"/>
              </w:rPr>
              <w:t>Target</w:t>
            </w:r>
          </w:p>
        </w:tc>
        <w:tc>
          <w:tcPr>
            <w:tcW w:w="1280" w:type="dxa"/>
            <w:vAlign w:val="bottom"/>
            <w:shd w:val="clear" w:color="auto" w:fill="0075C9"/>
          </w:tcPr>
          <w:p>
            <w:pPr>
              <w:jc w:val="center"/>
              <w:ind w:left="93"/>
              <w:spacing w:after="0"/>
              <w:rPr>
                <w:sz w:val="20"/>
                <w:szCs w:val="20"/>
                <w:color w:val="auto"/>
              </w:rPr>
            </w:pPr>
            <w:r>
              <w:rPr>
                <w:rFonts w:ascii="Arial" w:cs="Arial" w:eastAsia="Arial" w:hAnsi="Arial"/>
                <w:sz w:val="13"/>
                <w:szCs w:val="13"/>
                <w:color w:val="FFFFFF"/>
              </w:rPr>
              <w:t>Maximum</w:t>
            </w:r>
          </w:p>
        </w:tc>
        <w:tc>
          <w:tcPr>
            <w:tcW w:w="900" w:type="dxa"/>
            <w:vAlign w:val="bottom"/>
            <w:shd w:val="clear" w:color="auto" w:fill="0075C9"/>
          </w:tcPr>
          <w:p>
            <w:pPr>
              <w:jc w:val="center"/>
              <w:ind w:left="93"/>
              <w:spacing w:after="0"/>
              <w:rPr>
                <w:sz w:val="20"/>
                <w:szCs w:val="20"/>
                <w:color w:val="auto"/>
              </w:rPr>
            </w:pPr>
            <w:r>
              <w:rPr>
                <w:rFonts w:ascii="Arial" w:cs="Arial" w:eastAsia="Arial" w:hAnsi="Arial"/>
                <w:sz w:val="13"/>
                <w:szCs w:val="13"/>
                <w:color w:val="FFFFFF"/>
              </w:rPr>
              <w:t>Target</w:t>
            </w:r>
          </w:p>
        </w:tc>
        <w:tc>
          <w:tcPr>
            <w:tcW w:w="1140" w:type="dxa"/>
            <w:vAlign w:val="bottom"/>
            <w:shd w:val="clear" w:color="auto" w:fill="0075C9"/>
          </w:tcPr>
          <w:p>
            <w:pPr>
              <w:jc w:val="center"/>
              <w:ind w:left="173"/>
              <w:spacing w:after="0"/>
              <w:rPr>
                <w:sz w:val="20"/>
                <w:szCs w:val="20"/>
                <w:color w:val="auto"/>
              </w:rPr>
            </w:pPr>
            <w:r>
              <w:rPr>
                <w:rFonts w:ascii="Arial" w:cs="Arial" w:eastAsia="Arial" w:hAnsi="Arial"/>
                <w:sz w:val="13"/>
                <w:szCs w:val="13"/>
                <w:color w:val="FFFFFF"/>
              </w:rPr>
              <w:t>Maximum</w:t>
            </w:r>
          </w:p>
        </w:tc>
      </w:tr>
      <w:tr>
        <w:trPr>
          <w:trHeight w:val="188"/>
        </w:trPr>
        <w:tc>
          <w:tcPr>
            <w:tcW w:w="3180" w:type="dxa"/>
            <w:vAlign w:val="bottom"/>
            <w:shd w:val="clear" w:color="auto" w:fill="0075C9"/>
          </w:tcPr>
          <w:p>
            <w:pPr>
              <w:spacing w:after="0"/>
              <w:rPr>
                <w:sz w:val="20"/>
                <w:szCs w:val="20"/>
                <w:color w:val="auto"/>
              </w:rPr>
            </w:pPr>
            <w:r>
              <w:rPr>
                <w:rFonts w:ascii="Arial" w:cs="Arial" w:eastAsia="Arial" w:hAnsi="Arial"/>
                <w:sz w:val="13"/>
                <w:szCs w:val="13"/>
                <w:color w:val="FFFFFF"/>
              </w:rPr>
              <w:t> Executive Officer</w:t>
            </w:r>
          </w:p>
        </w:tc>
        <w:tc>
          <w:tcPr>
            <w:tcW w:w="1280" w:type="dxa"/>
            <w:vAlign w:val="bottom"/>
            <w:shd w:val="clear" w:color="auto" w:fill="0075C9"/>
          </w:tcPr>
          <w:p>
            <w:pPr>
              <w:jc w:val="center"/>
              <w:ind w:right="113"/>
              <w:spacing w:after="0"/>
              <w:rPr>
                <w:sz w:val="20"/>
                <w:szCs w:val="20"/>
                <w:color w:val="auto"/>
              </w:rPr>
            </w:pPr>
            <w:r>
              <w:rPr>
                <w:rFonts w:ascii="Arial" w:cs="Arial" w:eastAsia="Arial" w:hAnsi="Arial"/>
                <w:sz w:val="13"/>
                <w:szCs w:val="13"/>
                <w:color w:val="FFFFFF"/>
              </w:rPr>
              <w:t>Payout</w:t>
            </w:r>
          </w:p>
        </w:tc>
        <w:tc>
          <w:tcPr>
            <w:tcW w:w="960" w:type="dxa"/>
            <w:vAlign w:val="bottom"/>
            <w:shd w:val="clear" w:color="auto" w:fill="0075C9"/>
          </w:tcPr>
          <w:p>
            <w:pPr>
              <w:jc w:val="center"/>
              <w:ind w:right="113"/>
              <w:spacing w:after="0"/>
              <w:rPr>
                <w:sz w:val="20"/>
                <w:szCs w:val="20"/>
                <w:color w:val="auto"/>
              </w:rPr>
            </w:pPr>
            <w:r>
              <w:rPr>
                <w:rFonts w:ascii="Arial" w:cs="Arial" w:eastAsia="Arial" w:hAnsi="Arial"/>
                <w:sz w:val="13"/>
                <w:szCs w:val="13"/>
                <w:color w:val="FFFFFF"/>
              </w:rPr>
              <w:t>Payout</w:t>
            </w:r>
          </w:p>
        </w:tc>
        <w:tc>
          <w:tcPr>
            <w:tcW w:w="960" w:type="dxa"/>
            <w:vAlign w:val="bottom"/>
            <w:shd w:val="clear" w:color="auto" w:fill="0075C9"/>
          </w:tcPr>
          <w:p>
            <w:pPr>
              <w:jc w:val="center"/>
              <w:ind w:left="73"/>
              <w:spacing w:after="0"/>
              <w:rPr>
                <w:sz w:val="20"/>
                <w:szCs w:val="20"/>
                <w:color w:val="auto"/>
              </w:rPr>
            </w:pPr>
            <w:r>
              <w:rPr>
                <w:rFonts w:ascii="Arial" w:cs="Arial" w:eastAsia="Arial" w:hAnsi="Arial"/>
                <w:sz w:val="13"/>
                <w:szCs w:val="13"/>
                <w:color w:val="FFFFFF"/>
              </w:rPr>
              <w:t>Payout</w:t>
            </w:r>
          </w:p>
        </w:tc>
        <w:tc>
          <w:tcPr>
            <w:tcW w:w="1280" w:type="dxa"/>
            <w:vAlign w:val="bottom"/>
            <w:shd w:val="clear" w:color="auto" w:fill="0075C9"/>
          </w:tcPr>
          <w:p>
            <w:pPr>
              <w:jc w:val="center"/>
              <w:ind w:left="73"/>
              <w:spacing w:after="0"/>
              <w:rPr>
                <w:sz w:val="20"/>
                <w:szCs w:val="20"/>
                <w:color w:val="auto"/>
              </w:rPr>
            </w:pPr>
            <w:r>
              <w:rPr>
                <w:rFonts w:ascii="Arial" w:cs="Arial" w:eastAsia="Arial" w:hAnsi="Arial"/>
                <w:sz w:val="13"/>
                <w:szCs w:val="13"/>
                <w:color w:val="FFFFFF"/>
              </w:rPr>
              <w:t>Payout</w:t>
            </w:r>
          </w:p>
        </w:tc>
        <w:tc>
          <w:tcPr>
            <w:tcW w:w="900" w:type="dxa"/>
            <w:vAlign w:val="bottom"/>
            <w:shd w:val="clear" w:color="auto" w:fill="0075C9"/>
          </w:tcPr>
          <w:p>
            <w:pPr>
              <w:jc w:val="center"/>
              <w:ind w:left="93"/>
              <w:spacing w:after="0"/>
              <w:rPr>
                <w:sz w:val="20"/>
                <w:szCs w:val="20"/>
                <w:color w:val="auto"/>
              </w:rPr>
            </w:pPr>
            <w:r>
              <w:rPr>
                <w:rFonts w:ascii="Arial" w:cs="Arial" w:eastAsia="Arial" w:hAnsi="Arial"/>
                <w:sz w:val="13"/>
                <w:szCs w:val="13"/>
                <w:color w:val="FFFFFF"/>
              </w:rPr>
              <w:t>Payout</w:t>
            </w:r>
          </w:p>
        </w:tc>
        <w:tc>
          <w:tcPr>
            <w:tcW w:w="1140" w:type="dxa"/>
            <w:vAlign w:val="bottom"/>
            <w:shd w:val="clear" w:color="auto" w:fill="0075C9"/>
          </w:tcPr>
          <w:p>
            <w:pPr>
              <w:jc w:val="center"/>
              <w:ind w:left="173"/>
              <w:spacing w:after="0"/>
              <w:rPr>
                <w:sz w:val="20"/>
                <w:szCs w:val="20"/>
                <w:color w:val="auto"/>
              </w:rPr>
            </w:pPr>
            <w:r>
              <w:rPr>
                <w:rFonts w:ascii="Arial" w:cs="Arial" w:eastAsia="Arial" w:hAnsi="Arial"/>
                <w:sz w:val="13"/>
                <w:szCs w:val="13"/>
                <w:color w:val="FFFFFF"/>
              </w:rPr>
              <w:t>Payout</w:t>
            </w:r>
          </w:p>
        </w:tc>
      </w:tr>
      <w:tr>
        <w:trPr>
          <w:trHeight w:val="162"/>
        </w:trPr>
        <w:tc>
          <w:tcPr>
            <w:tcW w:w="3180" w:type="dxa"/>
            <w:vAlign w:val="bottom"/>
            <w:shd w:val="clear" w:color="auto" w:fill="B2D5EE"/>
          </w:tcPr>
          <w:p>
            <w:pPr>
              <w:ind w:left="40"/>
              <w:spacing w:after="0"/>
              <w:rPr>
                <w:sz w:val="20"/>
                <w:szCs w:val="20"/>
                <w:color w:val="auto"/>
              </w:rPr>
            </w:pPr>
            <w:r>
              <w:rPr>
                <w:rFonts w:ascii="Arial" w:cs="Arial" w:eastAsia="Arial" w:hAnsi="Arial"/>
                <w:sz w:val="13"/>
                <w:szCs w:val="13"/>
                <w:color w:val="auto"/>
              </w:rPr>
              <w:t>Mr. Viehbacher</w:t>
            </w:r>
          </w:p>
        </w:tc>
        <w:tc>
          <w:tcPr>
            <w:tcW w:w="1280" w:type="dxa"/>
            <w:vAlign w:val="bottom"/>
            <w:shd w:val="clear" w:color="auto" w:fill="B2D5EE"/>
          </w:tcPr>
          <w:p>
            <w:pPr>
              <w:jc w:val="center"/>
              <w:ind w:right="113"/>
              <w:spacing w:after="0"/>
              <w:rPr>
                <w:sz w:val="20"/>
                <w:szCs w:val="20"/>
                <w:color w:val="auto"/>
              </w:rPr>
            </w:pPr>
            <w:r>
              <w:rPr>
                <w:rFonts w:ascii="Arial" w:cs="Arial" w:eastAsia="Arial" w:hAnsi="Arial"/>
                <w:sz w:val="13"/>
                <w:szCs w:val="13"/>
                <w:color w:val="auto"/>
              </w:rPr>
              <w:t>$11,768,602</w:t>
            </w:r>
          </w:p>
        </w:tc>
        <w:tc>
          <w:tcPr>
            <w:tcW w:w="960" w:type="dxa"/>
            <w:vAlign w:val="bottom"/>
            <w:shd w:val="clear" w:color="auto" w:fill="B2D5EE"/>
          </w:tcPr>
          <w:p>
            <w:pPr>
              <w:jc w:val="center"/>
              <w:ind w:right="93"/>
              <w:spacing w:after="0"/>
              <w:rPr>
                <w:sz w:val="20"/>
                <w:szCs w:val="20"/>
                <w:color w:val="auto"/>
              </w:rPr>
            </w:pPr>
            <w:r>
              <w:rPr>
                <w:rFonts w:ascii="Arial" w:cs="Arial" w:eastAsia="Arial" w:hAnsi="Arial"/>
                <w:sz w:val="13"/>
                <w:szCs w:val="13"/>
                <w:color w:val="auto"/>
              </w:rPr>
              <w:t>$23,537,204</w:t>
            </w:r>
          </w:p>
        </w:tc>
        <w:tc>
          <w:tcPr>
            <w:tcW w:w="960" w:type="dxa"/>
            <w:vAlign w:val="bottom"/>
            <w:shd w:val="clear" w:color="auto" w:fill="B2D5EE"/>
          </w:tcPr>
          <w:p>
            <w:pPr>
              <w:jc w:val="center"/>
              <w:ind w:left="73"/>
              <w:spacing w:after="0"/>
              <w:rPr>
                <w:sz w:val="20"/>
                <w:szCs w:val="20"/>
                <w:color w:val="auto"/>
              </w:rPr>
            </w:pPr>
            <w:r>
              <w:rPr>
                <w:rFonts w:ascii="Arial" w:cs="Arial" w:eastAsia="Arial" w:hAnsi="Arial"/>
                <w:sz w:val="13"/>
                <w:szCs w:val="13"/>
                <w:color w:val="auto"/>
              </w:rPr>
              <w:t>$11,510,318</w:t>
            </w:r>
          </w:p>
        </w:tc>
        <w:tc>
          <w:tcPr>
            <w:tcW w:w="128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$23,020,635</w:t>
            </w:r>
          </w:p>
        </w:tc>
        <w:tc>
          <w:tcPr>
            <w:tcW w:w="90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B2D5EE"/>
          </w:tcPr>
          <w:p>
            <w:pPr>
              <w:jc w:val="center"/>
              <w:ind w:left="173"/>
              <w:spacing w:after="0"/>
              <w:rPr>
                <w:sz w:val="20"/>
                <w:szCs w:val="20"/>
                <w:color w:val="auto"/>
              </w:rPr>
            </w:pPr>
            <w:r>
              <w:rPr>
                <w:rFonts w:ascii="Arial" w:cs="Arial" w:eastAsia="Arial" w:hAnsi="Arial"/>
                <w:sz w:val="13"/>
                <w:szCs w:val="13"/>
                <w:color w:val="auto"/>
              </w:rPr>
              <w:t>—</w:t>
            </w:r>
          </w:p>
        </w:tc>
      </w:tr>
      <w:tr>
        <w:trPr>
          <w:trHeight w:val="162"/>
        </w:trPr>
        <w:tc>
          <w:tcPr>
            <w:tcW w:w="3180" w:type="dxa"/>
            <w:vAlign w:val="bottom"/>
            <w:shd w:val="clear" w:color="auto" w:fill="E5F1F9"/>
          </w:tcPr>
          <w:p>
            <w:pPr>
              <w:ind w:left="40"/>
              <w:spacing w:after="0"/>
              <w:rPr>
                <w:sz w:val="20"/>
                <w:szCs w:val="20"/>
                <w:color w:val="auto"/>
              </w:rPr>
            </w:pPr>
            <w:r>
              <w:rPr>
                <w:rFonts w:ascii="Arial" w:cs="Arial" w:eastAsia="Arial" w:hAnsi="Arial"/>
                <w:sz w:val="13"/>
                <w:szCs w:val="13"/>
                <w:color w:val="auto"/>
              </w:rPr>
              <w:t>Ms. Kramer</w:t>
            </w:r>
          </w:p>
        </w:tc>
        <w:tc>
          <w:tcPr>
            <w:tcW w:w="1280" w:type="dxa"/>
            <w:vAlign w:val="bottom"/>
            <w:shd w:val="clear" w:color="auto" w:fill="E5F1F9"/>
          </w:tcPr>
          <w:p>
            <w:pPr>
              <w:jc w:val="center"/>
              <w:ind w:right="93"/>
              <w:spacing w:after="0"/>
              <w:rPr>
                <w:sz w:val="20"/>
                <w:szCs w:val="20"/>
                <w:color w:val="auto"/>
              </w:rPr>
            </w:pPr>
            <w:r>
              <w:rPr>
                <w:rFonts w:ascii="Arial" w:cs="Arial" w:eastAsia="Arial" w:hAnsi="Arial"/>
                <w:sz w:val="13"/>
                <w:szCs w:val="13"/>
                <w:color w:val="auto"/>
              </w:rPr>
              <w:t>$2,673,913</w:t>
            </w:r>
          </w:p>
        </w:tc>
        <w:tc>
          <w:tcPr>
            <w:tcW w:w="960" w:type="dxa"/>
            <w:vAlign w:val="bottom"/>
            <w:shd w:val="clear" w:color="auto" w:fill="E5F1F9"/>
          </w:tcPr>
          <w:p>
            <w:pPr>
              <w:jc w:val="center"/>
              <w:ind w:right="93"/>
              <w:spacing w:after="0"/>
              <w:rPr>
                <w:sz w:val="20"/>
                <w:szCs w:val="20"/>
                <w:color w:val="auto"/>
              </w:rPr>
            </w:pPr>
            <w:r>
              <w:rPr>
                <w:rFonts w:ascii="Arial" w:cs="Arial" w:eastAsia="Arial" w:hAnsi="Arial"/>
                <w:sz w:val="13"/>
                <w:szCs w:val="13"/>
                <w:color w:val="auto"/>
              </w:rPr>
              <w:t>$5,347,826</w:t>
            </w:r>
          </w:p>
        </w:tc>
        <w:tc>
          <w:tcPr>
            <w:tcW w:w="96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w w:val="91"/>
              </w:rPr>
              <w:t>—</w:t>
            </w:r>
          </w:p>
        </w:tc>
        <w:tc>
          <w:tcPr>
            <w:tcW w:w="128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w w:val="91"/>
              </w:rPr>
              <w:t>—</w:t>
            </w:r>
          </w:p>
        </w:tc>
        <w:tc>
          <w:tcPr>
            <w:tcW w:w="90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E5F1F9"/>
          </w:tcPr>
          <w:p>
            <w:pPr>
              <w:jc w:val="center"/>
              <w:ind w:left="173"/>
              <w:spacing w:after="0"/>
              <w:rPr>
                <w:sz w:val="20"/>
                <w:szCs w:val="20"/>
                <w:color w:val="auto"/>
              </w:rPr>
            </w:pPr>
            <w:r>
              <w:rPr>
                <w:rFonts w:ascii="Arial" w:cs="Arial" w:eastAsia="Arial" w:hAnsi="Arial"/>
                <w:sz w:val="13"/>
                <w:szCs w:val="13"/>
                <w:color w:val="auto"/>
              </w:rPr>
              <w:t>—</w:t>
            </w:r>
          </w:p>
        </w:tc>
      </w:tr>
      <w:tr>
        <w:trPr>
          <w:trHeight w:val="162"/>
        </w:trPr>
        <w:tc>
          <w:tcPr>
            <w:tcW w:w="3180" w:type="dxa"/>
            <w:vAlign w:val="bottom"/>
            <w:shd w:val="clear" w:color="auto" w:fill="B2D5EE"/>
          </w:tcPr>
          <w:p>
            <w:pPr>
              <w:ind w:left="40"/>
              <w:spacing w:after="0"/>
              <w:rPr>
                <w:sz w:val="20"/>
                <w:szCs w:val="20"/>
                <w:color w:val="auto"/>
              </w:rPr>
            </w:pPr>
            <w:r>
              <w:rPr>
                <w:rFonts w:ascii="Arial" w:cs="Arial" w:eastAsia="Arial" w:hAnsi="Arial"/>
                <w:sz w:val="13"/>
                <w:szCs w:val="13"/>
                <w:color w:val="auto"/>
              </w:rPr>
              <w:t>Ms. Alexander</w:t>
            </w:r>
          </w:p>
        </w:tc>
        <w:tc>
          <w:tcPr>
            <w:tcW w:w="1280" w:type="dxa"/>
            <w:vAlign w:val="bottom"/>
            <w:shd w:val="clear" w:color="auto" w:fill="B2D5EE"/>
          </w:tcPr>
          <w:p>
            <w:pPr>
              <w:jc w:val="center"/>
              <w:ind w:right="93"/>
              <w:spacing w:after="0"/>
              <w:rPr>
                <w:sz w:val="20"/>
                <w:szCs w:val="20"/>
                <w:color w:val="auto"/>
              </w:rPr>
            </w:pPr>
            <w:r>
              <w:rPr>
                <w:rFonts w:ascii="Arial" w:cs="Arial" w:eastAsia="Arial" w:hAnsi="Arial"/>
                <w:sz w:val="13"/>
                <w:szCs w:val="13"/>
                <w:color w:val="auto"/>
              </w:rPr>
              <w:t>$3,745,172</w:t>
            </w:r>
          </w:p>
        </w:tc>
        <w:tc>
          <w:tcPr>
            <w:tcW w:w="960" w:type="dxa"/>
            <w:vAlign w:val="bottom"/>
            <w:shd w:val="clear" w:color="auto" w:fill="B2D5EE"/>
          </w:tcPr>
          <w:p>
            <w:pPr>
              <w:jc w:val="center"/>
              <w:ind w:right="93"/>
              <w:spacing w:after="0"/>
              <w:rPr>
                <w:sz w:val="20"/>
                <w:szCs w:val="20"/>
                <w:color w:val="auto"/>
              </w:rPr>
            </w:pPr>
            <w:r>
              <w:rPr>
                <w:rFonts w:ascii="Arial" w:cs="Arial" w:eastAsia="Arial" w:hAnsi="Arial"/>
                <w:sz w:val="13"/>
                <w:szCs w:val="13"/>
                <w:color w:val="auto"/>
              </w:rPr>
              <w:t>$7,490,343</w:t>
            </w:r>
          </w:p>
        </w:tc>
        <w:tc>
          <w:tcPr>
            <w:tcW w:w="96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$2,479,276</w:t>
            </w:r>
          </w:p>
        </w:tc>
        <w:tc>
          <w:tcPr>
            <w:tcW w:w="128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$4,958,552</w:t>
            </w:r>
          </w:p>
        </w:tc>
        <w:tc>
          <w:tcPr>
            <w:tcW w:w="90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$2,725,541</w:t>
            </w:r>
          </w:p>
        </w:tc>
        <w:tc>
          <w:tcPr>
            <w:tcW w:w="1140" w:type="dxa"/>
            <w:vAlign w:val="bottom"/>
            <w:shd w:val="clear" w:color="auto" w:fill="B2D5EE"/>
          </w:tcPr>
          <w:p>
            <w:pPr>
              <w:jc w:val="center"/>
              <w:ind w:left="173"/>
              <w:spacing w:after="0"/>
              <w:rPr>
                <w:sz w:val="20"/>
                <w:szCs w:val="20"/>
                <w:color w:val="auto"/>
              </w:rPr>
            </w:pPr>
            <w:r>
              <w:rPr>
                <w:rFonts w:ascii="Arial" w:cs="Arial" w:eastAsia="Arial" w:hAnsi="Arial"/>
                <w:sz w:val="13"/>
                <w:szCs w:val="13"/>
                <w:color w:val="auto"/>
              </w:rPr>
              <w:t>$5,451,081</w:t>
            </w:r>
          </w:p>
        </w:tc>
      </w:tr>
      <w:tr>
        <w:trPr>
          <w:trHeight w:val="162"/>
        </w:trPr>
        <w:tc>
          <w:tcPr>
            <w:tcW w:w="3180" w:type="dxa"/>
            <w:vAlign w:val="bottom"/>
            <w:shd w:val="clear" w:color="auto" w:fill="E5F1F9"/>
          </w:tcPr>
          <w:p>
            <w:pPr>
              <w:ind w:left="40"/>
              <w:spacing w:after="0"/>
              <w:rPr>
                <w:sz w:val="20"/>
                <w:szCs w:val="20"/>
                <w:color w:val="auto"/>
              </w:rPr>
            </w:pPr>
            <w:r>
              <w:rPr>
                <w:rFonts w:ascii="Arial" w:cs="Arial" w:eastAsia="Arial" w:hAnsi="Arial"/>
                <w:sz w:val="13"/>
                <w:szCs w:val="13"/>
                <w:color w:val="auto"/>
              </w:rPr>
              <w:t>Dr. Singhal</w:t>
            </w:r>
          </w:p>
        </w:tc>
        <w:tc>
          <w:tcPr>
            <w:tcW w:w="1280" w:type="dxa"/>
            <w:vAlign w:val="bottom"/>
            <w:shd w:val="clear" w:color="auto" w:fill="E5F1F9"/>
          </w:tcPr>
          <w:p>
            <w:pPr>
              <w:jc w:val="center"/>
              <w:ind w:right="93"/>
              <w:spacing w:after="0"/>
              <w:rPr>
                <w:sz w:val="20"/>
                <w:szCs w:val="20"/>
                <w:color w:val="auto"/>
              </w:rPr>
            </w:pPr>
            <w:r>
              <w:rPr>
                <w:rFonts w:ascii="Arial" w:cs="Arial" w:eastAsia="Arial" w:hAnsi="Arial"/>
                <w:sz w:val="13"/>
                <w:szCs w:val="13"/>
                <w:color w:val="auto"/>
              </w:rPr>
              <w:t>$3,565,783</w:t>
            </w:r>
          </w:p>
        </w:tc>
        <w:tc>
          <w:tcPr>
            <w:tcW w:w="960" w:type="dxa"/>
            <w:vAlign w:val="bottom"/>
            <w:shd w:val="clear" w:color="auto" w:fill="E5F1F9"/>
          </w:tcPr>
          <w:p>
            <w:pPr>
              <w:jc w:val="center"/>
              <w:ind w:right="93"/>
              <w:spacing w:after="0"/>
              <w:rPr>
                <w:sz w:val="20"/>
                <w:szCs w:val="20"/>
                <w:color w:val="auto"/>
              </w:rPr>
            </w:pPr>
            <w:r>
              <w:rPr>
                <w:rFonts w:ascii="Arial" w:cs="Arial" w:eastAsia="Arial" w:hAnsi="Arial"/>
                <w:sz w:val="13"/>
                <w:szCs w:val="13"/>
                <w:color w:val="auto"/>
              </w:rPr>
              <w:t>$7,131,565</w:t>
            </w:r>
          </w:p>
        </w:tc>
        <w:tc>
          <w:tcPr>
            <w:tcW w:w="96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rPr>
              <w:t>$2,834,271</w:t>
            </w:r>
          </w:p>
        </w:tc>
        <w:tc>
          <w:tcPr>
            <w:tcW w:w="128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rPr>
              <w:t>$5,668,542</w:t>
            </w:r>
          </w:p>
        </w:tc>
        <w:tc>
          <w:tcPr>
            <w:tcW w:w="90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rPr>
              <w:t>—</w:t>
            </w:r>
          </w:p>
        </w:tc>
        <w:tc>
          <w:tcPr>
            <w:tcW w:w="1140" w:type="dxa"/>
            <w:vAlign w:val="bottom"/>
            <w:shd w:val="clear" w:color="auto" w:fill="E5F1F9"/>
          </w:tcPr>
          <w:p>
            <w:pPr>
              <w:jc w:val="center"/>
              <w:ind w:left="173"/>
              <w:spacing w:after="0"/>
              <w:rPr>
                <w:sz w:val="20"/>
                <w:szCs w:val="20"/>
                <w:color w:val="auto"/>
              </w:rPr>
            </w:pPr>
            <w:r>
              <w:rPr>
                <w:rFonts w:ascii="Arial" w:cs="Arial" w:eastAsia="Arial" w:hAnsi="Arial"/>
                <w:sz w:val="13"/>
                <w:szCs w:val="13"/>
                <w:color w:val="auto"/>
              </w:rPr>
              <w:t>—</w:t>
            </w:r>
          </w:p>
        </w:tc>
      </w:tr>
      <w:tr>
        <w:trPr>
          <w:trHeight w:val="162"/>
        </w:trPr>
        <w:tc>
          <w:tcPr>
            <w:tcW w:w="3180" w:type="dxa"/>
            <w:vAlign w:val="bottom"/>
            <w:shd w:val="clear" w:color="auto" w:fill="B2D5EE"/>
          </w:tcPr>
          <w:p>
            <w:pPr>
              <w:ind w:left="40"/>
              <w:spacing w:after="0"/>
              <w:rPr>
                <w:sz w:val="20"/>
                <w:szCs w:val="20"/>
                <w:color w:val="auto"/>
              </w:rPr>
            </w:pPr>
            <w:r>
              <w:rPr>
                <w:rFonts w:ascii="Arial" w:cs="Arial" w:eastAsia="Arial" w:hAnsi="Arial"/>
                <w:sz w:val="13"/>
                <w:szCs w:val="13"/>
                <w:color w:val="auto"/>
              </w:rPr>
              <w:t>Ms. Murphy</w:t>
            </w:r>
          </w:p>
        </w:tc>
        <w:tc>
          <w:tcPr>
            <w:tcW w:w="1280" w:type="dxa"/>
            <w:vAlign w:val="bottom"/>
            <w:shd w:val="clear" w:color="auto" w:fill="B2D5EE"/>
          </w:tcPr>
          <w:p>
            <w:pPr>
              <w:jc w:val="center"/>
              <w:ind w:right="93"/>
              <w:spacing w:after="0"/>
              <w:rPr>
                <w:sz w:val="20"/>
                <w:szCs w:val="20"/>
                <w:color w:val="auto"/>
              </w:rPr>
            </w:pPr>
            <w:r>
              <w:rPr>
                <w:rFonts w:ascii="Arial" w:cs="Arial" w:eastAsia="Arial" w:hAnsi="Arial"/>
                <w:sz w:val="13"/>
                <w:szCs w:val="13"/>
                <w:color w:val="auto"/>
              </w:rPr>
              <w:t>$3,565,783</w:t>
            </w:r>
          </w:p>
        </w:tc>
        <w:tc>
          <w:tcPr>
            <w:tcW w:w="960" w:type="dxa"/>
            <w:vAlign w:val="bottom"/>
            <w:shd w:val="clear" w:color="auto" w:fill="B2D5EE"/>
          </w:tcPr>
          <w:p>
            <w:pPr>
              <w:jc w:val="center"/>
              <w:ind w:right="93"/>
              <w:spacing w:after="0"/>
              <w:rPr>
                <w:sz w:val="20"/>
                <w:szCs w:val="20"/>
                <w:color w:val="auto"/>
              </w:rPr>
            </w:pPr>
            <w:r>
              <w:rPr>
                <w:rFonts w:ascii="Arial" w:cs="Arial" w:eastAsia="Arial" w:hAnsi="Arial"/>
                <w:sz w:val="13"/>
                <w:szCs w:val="13"/>
                <w:color w:val="auto"/>
              </w:rPr>
              <w:t>$7,131,565</w:t>
            </w:r>
          </w:p>
        </w:tc>
        <w:tc>
          <w:tcPr>
            <w:tcW w:w="96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$2,479,276</w:t>
            </w:r>
          </w:p>
        </w:tc>
        <w:tc>
          <w:tcPr>
            <w:tcW w:w="128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$4,958,552</w:t>
            </w:r>
          </w:p>
        </w:tc>
        <w:tc>
          <w:tcPr>
            <w:tcW w:w="900" w:type="dxa"/>
            <w:vAlign w:val="bottom"/>
            <w:shd w:val="clear" w:color="auto" w:fill="B2D5EE"/>
          </w:tcPr>
          <w:p>
            <w:pPr>
              <w:jc w:val="center"/>
              <w:ind w:left="93"/>
              <w:spacing w:after="0"/>
              <w:rPr>
                <w:sz w:val="20"/>
                <w:szCs w:val="20"/>
                <w:color w:val="auto"/>
              </w:rPr>
            </w:pPr>
            <w:r>
              <w:rPr>
                <w:rFonts w:ascii="Arial" w:cs="Arial" w:eastAsia="Arial" w:hAnsi="Arial"/>
                <w:sz w:val="13"/>
                <w:szCs w:val="13"/>
                <w:color w:val="auto"/>
              </w:rPr>
              <w:t>$2,468,691</w:t>
            </w:r>
          </w:p>
        </w:tc>
        <w:tc>
          <w:tcPr>
            <w:tcW w:w="1140" w:type="dxa"/>
            <w:vAlign w:val="bottom"/>
            <w:shd w:val="clear" w:color="auto" w:fill="B2D5EE"/>
          </w:tcPr>
          <w:p>
            <w:pPr>
              <w:jc w:val="center"/>
              <w:ind w:left="173"/>
              <w:spacing w:after="0"/>
              <w:rPr>
                <w:sz w:val="20"/>
                <w:szCs w:val="20"/>
                <w:color w:val="auto"/>
              </w:rPr>
            </w:pPr>
            <w:r>
              <w:rPr>
                <w:rFonts w:ascii="Arial" w:cs="Arial" w:eastAsia="Arial" w:hAnsi="Arial"/>
                <w:sz w:val="13"/>
                <w:szCs w:val="13"/>
                <w:color w:val="auto"/>
              </w:rPr>
              <w:t>$4,937,382</w:t>
            </w:r>
          </w:p>
        </w:tc>
      </w:tr>
      <w:tr>
        <w:trPr>
          <w:trHeight w:val="162"/>
        </w:trPr>
        <w:tc>
          <w:tcPr>
            <w:tcW w:w="3180" w:type="dxa"/>
            <w:vAlign w:val="bottom"/>
            <w:shd w:val="clear" w:color="auto" w:fill="E5F1F9"/>
          </w:tcPr>
          <w:p>
            <w:pPr>
              <w:ind w:left="40"/>
              <w:spacing w:after="0"/>
              <w:rPr>
                <w:sz w:val="20"/>
                <w:szCs w:val="20"/>
                <w:color w:val="auto"/>
              </w:rPr>
            </w:pPr>
            <w:r>
              <w:rPr>
                <w:rFonts w:ascii="Arial" w:cs="Arial" w:eastAsia="Arial" w:hAnsi="Arial"/>
                <w:sz w:val="13"/>
                <w:szCs w:val="13"/>
                <w:color w:val="auto"/>
              </w:rPr>
              <w:t>Mr. McDonnell</w:t>
            </w:r>
          </w:p>
        </w:tc>
        <w:tc>
          <w:tcPr>
            <w:tcW w:w="1280" w:type="dxa"/>
            <w:vAlign w:val="bottom"/>
            <w:shd w:val="clear" w:color="auto" w:fill="E5F1F9"/>
          </w:tcPr>
          <w:p>
            <w:pPr>
              <w:jc w:val="center"/>
              <w:ind w:right="113"/>
              <w:spacing w:after="0"/>
              <w:rPr>
                <w:sz w:val="20"/>
                <w:szCs w:val="20"/>
                <w:color w:val="auto"/>
              </w:rPr>
            </w:pPr>
            <w:r>
              <w:rPr>
                <w:rFonts w:ascii="Arial" w:cs="Arial" w:eastAsia="Arial" w:hAnsi="Arial"/>
                <w:sz w:val="13"/>
                <w:szCs w:val="13"/>
                <w:color w:val="auto"/>
              </w:rPr>
              <w:t>—</w:t>
            </w:r>
          </w:p>
        </w:tc>
        <w:tc>
          <w:tcPr>
            <w:tcW w:w="960" w:type="dxa"/>
            <w:vAlign w:val="bottom"/>
            <w:shd w:val="clear" w:color="auto" w:fill="E5F1F9"/>
          </w:tcPr>
          <w:p>
            <w:pPr>
              <w:jc w:val="center"/>
              <w:ind w:right="93"/>
              <w:spacing w:after="0"/>
              <w:rPr>
                <w:sz w:val="20"/>
                <w:szCs w:val="20"/>
                <w:color w:val="auto"/>
              </w:rPr>
            </w:pPr>
            <w:r>
              <w:rPr>
                <w:rFonts w:ascii="Arial" w:cs="Arial" w:eastAsia="Arial" w:hAnsi="Arial"/>
                <w:sz w:val="13"/>
                <w:szCs w:val="13"/>
                <w:color w:val="auto"/>
                <w:w w:val="91"/>
              </w:rPr>
              <w:t>—</w:t>
            </w:r>
          </w:p>
        </w:tc>
        <w:tc>
          <w:tcPr>
            <w:tcW w:w="96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rPr>
              <w:t>$2,834,271</w:t>
            </w:r>
          </w:p>
        </w:tc>
        <w:tc>
          <w:tcPr>
            <w:tcW w:w="128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rPr>
              <w:t>$5,668,542</w:t>
            </w:r>
          </w:p>
        </w:tc>
        <w:tc>
          <w:tcPr>
            <w:tcW w:w="900" w:type="dxa"/>
            <w:vAlign w:val="bottom"/>
            <w:shd w:val="clear" w:color="auto" w:fill="E5F1F9"/>
          </w:tcPr>
          <w:p>
            <w:pPr>
              <w:jc w:val="center"/>
              <w:ind w:left="93"/>
              <w:spacing w:after="0"/>
              <w:rPr>
                <w:sz w:val="20"/>
                <w:szCs w:val="20"/>
                <w:color w:val="auto"/>
              </w:rPr>
            </w:pPr>
            <w:r>
              <w:rPr>
                <w:rFonts w:ascii="Arial" w:cs="Arial" w:eastAsia="Arial" w:hAnsi="Arial"/>
                <w:sz w:val="13"/>
                <w:szCs w:val="13"/>
                <w:color w:val="auto"/>
              </w:rPr>
              <w:t>$2,961,052</w:t>
            </w:r>
          </w:p>
        </w:tc>
        <w:tc>
          <w:tcPr>
            <w:tcW w:w="1140" w:type="dxa"/>
            <w:vAlign w:val="bottom"/>
            <w:shd w:val="clear" w:color="auto" w:fill="E5F1F9"/>
          </w:tcPr>
          <w:p>
            <w:pPr>
              <w:jc w:val="center"/>
              <w:ind w:left="173"/>
              <w:spacing w:after="0"/>
              <w:rPr>
                <w:sz w:val="20"/>
                <w:szCs w:val="20"/>
                <w:color w:val="auto"/>
              </w:rPr>
            </w:pPr>
            <w:r>
              <w:rPr>
                <w:rFonts w:ascii="Arial" w:cs="Arial" w:eastAsia="Arial" w:hAnsi="Arial"/>
                <w:sz w:val="13"/>
                <w:szCs w:val="13"/>
                <w:color w:val="auto"/>
              </w:rPr>
              <w:t>$5,922,104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-830580</wp:posOffset>
            </wp:positionV>
            <wp:extent cx="4072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92"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amounts in column (f) reflect actual non-equity incentive plan compensation paid under our STI program for the applicable year.</w:t>
      </w:r>
    </w:p>
    <w:p>
      <w:pPr>
        <w:spacing w:after="0" w:line="15" w:lineRule="exact"/>
        <w:rPr>
          <w:rFonts w:ascii="Arial" w:cs="Arial" w:eastAsia="Arial" w:hAnsi="Arial"/>
          <w:sz w:val="14"/>
          <w:szCs w:val="14"/>
          <w:color w:val="auto"/>
        </w:rPr>
      </w:pPr>
    </w:p>
    <w:p>
      <w:pPr>
        <w:ind w:left="540" w:right="160" w:hanging="424"/>
        <w:spacing w:after="0" w:line="252"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amounts in column (g) reflect earnings in the SSP that are in excess of 120% of the applicable federal long-term rate. The federal long-term rates applied in this calculation are 5.44%, 5.32% and 5.33% for 2025, 2024 and 2023, respectively. The SSP is described under the heading “2025 Non-Qualified Deferred Compensation” on page 56.</w:t>
      </w:r>
    </w:p>
    <w:p>
      <w:pPr>
        <w:spacing w:after="0" w:line="123"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-52-</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320"/>
        <w:spacing w:after="0"/>
        <w:rPr>
          <w:sz w:val="20"/>
          <w:szCs w:val="20"/>
          <w:color w:val="auto"/>
        </w:rPr>
      </w:pPr>
      <w:r>
        <w:rPr>
          <w:rFonts w:ascii="Arial" w:cs="Arial" w:eastAsia="Arial" w:hAnsi="Arial"/>
          <w:sz w:val="19"/>
          <w:szCs w:val="19"/>
          <w:color w:val="0075C9"/>
        </w:rPr>
        <w:t>Executive Compensation Tables</w:t>
      </w:r>
    </w:p>
    <w:p>
      <w:pPr>
        <w:spacing w:after="0" w:line="158"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amounts in column (h) for 2025 reflect the following:</w:t>
      </w:r>
    </w:p>
    <w:p>
      <w:pPr>
        <w:spacing w:after="0" w:line="132" w:lineRule="exact"/>
        <w:rPr>
          <w:sz w:val="20"/>
          <w:szCs w:val="20"/>
          <w:color w:val="auto"/>
        </w:rPr>
      </w:pPr>
    </w:p>
    <w:tbl>
      <w:tblPr>
        <w:tblLayout w:type="fixed"/>
        <w:tblInd w:w="780" w:type="dxa"/>
        <w:tblCellMar>
          <w:top w:w="0" w:type="dxa"/>
          <w:left w:w="0" w:type="dxa"/>
          <w:bottom w:w="0" w:type="dxa"/>
          <w:right w:w="0" w:type="dxa"/>
        </w:tblCellMar>
      </w:tblPr>
      <w:tr>
        <w:trPr>
          <w:trHeight w:val="163"/>
        </w:trPr>
        <w:tc>
          <w:tcPr>
            <w:tcW w:w="3160" w:type="dxa"/>
            <w:vAlign w:val="bottom"/>
            <w:shd w:val="clear" w:color="auto" w:fill="0075C9"/>
          </w:tcPr>
          <w:p>
            <w:pPr>
              <w:spacing w:after="0"/>
              <w:rPr>
                <w:sz w:val="14"/>
                <w:szCs w:val="14"/>
                <w:color w:val="auto"/>
              </w:rPr>
            </w:pPr>
          </w:p>
        </w:tc>
        <w:tc>
          <w:tcPr>
            <w:tcW w:w="2020" w:type="dxa"/>
            <w:vAlign w:val="bottom"/>
            <w:shd w:val="clear" w:color="auto" w:fill="0075C9"/>
          </w:tcPr>
          <w:p>
            <w:pPr>
              <w:jc w:val="center"/>
              <w:ind w:left="113"/>
              <w:spacing w:after="0"/>
              <w:rPr>
                <w:sz w:val="20"/>
                <w:szCs w:val="20"/>
                <w:color w:val="auto"/>
              </w:rPr>
            </w:pPr>
            <w:r>
              <w:rPr>
                <w:rFonts w:ascii="Arial" w:cs="Arial" w:eastAsia="Arial" w:hAnsi="Arial"/>
                <w:sz w:val="13"/>
                <w:szCs w:val="13"/>
                <w:color w:val="FFFFFF"/>
              </w:rPr>
              <w:t>Company Matching</w:t>
            </w:r>
          </w:p>
        </w:tc>
        <w:tc>
          <w:tcPr>
            <w:tcW w:w="148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Company</w:t>
            </w:r>
          </w:p>
        </w:tc>
        <w:tc>
          <w:tcPr>
            <w:tcW w:w="15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Personal Health</w:t>
            </w:r>
          </w:p>
        </w:tc>
        <w:tc>
          <w:tcPr>
            <w:tcW w:w="1520" w:type="dxa"/>
            <w:vAlign w:val="bottom"/>
            <w:shd w:val="clear" w:color="auto" w:fill="0075C9"/>
          </w:tcPr>
          <w:p>
            <w:pPr>
              <w:jc w:val="center"/>
              <w:ind w:left="193"/>
              <w:spacing w:after="0"/>
              <w:rPr>
                <w:sz w:val="20"/>
                <w:szCs w:val="20"/>
                <w:color w:val="auto"/>
              </w:rPr>
            </w:pPr>
            <w:r>
              <w:rPr>
                <w:rFonts w:ascii="Arial" w:cs="Arial" w:eastAsia="Arial" w:hAnsi="Arial"/>
                <w:sz w:val="13"/>
                <w:szCs w:val="13"/>
                <w:color w:val="FFFFFF"/>
              </w:rPr>
              <w:t> Value of </w:t>
            </w:r>
          </w:p>
        </w:tc>
      </w:tr>
      <w:tr>
        <w:trPr>
          <w:trHeight w:val="148"/>
        </w:trPr>
        <w:tc>
          <w:tcPr>
            <w:tcW w:w="3160" w:type="dxa"/>
            <w:vAlign w:val="bottom"/>
            <w:shd w:val="clear" w:color="auto" w:fill="0075C9"/>
          </w:tcPr>
          <w:p>
            <w:pPr>
              <w:spacing w:after="0"/>
              <w:rPr>
                <w:sz w:val="12"/>
                <w:szCs w:val="12"/>
                <w:color w:val="auto"/>
              </w:rPr>
            </w:pPr>
          </w:p>
        </w:tc>
        <w:tc>
          <w:tcPr>
            <w:tcW w:w="2020" w:type="dxa"/>
            <w:vAlign w:val="bottom"/>
            <w:shd w:val="clear" w:color="auto" w:fill="0075C9"/>
          </w:tcPr>
          <w:p>
            <w:pPr>
              <w:jc w:val="center"/>
              <w:ind w:left="93"/>
              <w:spacing w:after="0"/>
              <w:rPr>
                <w:sz w:val="20"/>
                <w:szCs w:val="20"/>
                <w:color w:val="auto"/>
              </w:rPr>
            </w:pPr>
            <w:r>
              <w:rPr>
                <w:rFonts w:ascii="Arial" w:cs="Arial" w:eastAsia="Arial" w:hAnsi="Arial"/>
                <w:sz w:val="13"/>
                <w:szCs w:val="13"/>
                <w:color w:val="FFFFFF"/>
              </w:rPr>
              <w:t>Contribution to 401(k)</w:t>
            </w:r>
          </w:p>
        </w:tc>
        <w:tc>
          <w:tcPr>
            <w:tcW w:w="148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Contribution</w:t>
            </w:r>
          </w:p>
        </w:tc>
        <w:tc>
          <w:tcPr>
            <w:tcW w:w="15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and Financial</w:t>
            </w:r>
          </w:p>
        </w:tc>
        <w:tc>
          <w:tcPr>
            <w:tcW w:w="1520" w:type="dxa"/>
            <w:vAlign w:val="bottom"/>
            <w:shd w:val="clear" w:color="auto" w:fill="0075C9"/>
          </w:tcPr>
          <w:p>
            <w:pPr>
              <w:jc w:val="center"/>
              <w:ind w:left="193"/>
              <w:spacing w:after="0"/>
              <w:rPr>
                <w:sz w:val="20"/>
                <w:szCs w:val="20"/>
                <w:color w:val="auto"/>
              </w:rPr>
            </w:pPr>
            <w:r>
              <w:rPr>
                <w:rFonts w:ascii="Arial" w:cs="Arial" w:eastAsia="Arial" w:hAnsi="Arial"/>
                <w:sz w:val="13"/>
                <w:szCs w:val="13"/>
                <w:color w:val="FFFFFF"/>
              </w:rPr>
              <w:t>Company-Paid Life </w:t>
            </w:r>
          </w:p>
        </w:tc>
      </w:tr>
      <w:tr>
        <w:trPr>
          <w:trHeight w:val="188"/>
        </w:trPr>
        <w:tc>
          <w:tcPr>
            <w:tcW w:w="3160" w:type="dxa"/>
            <w:vAlign w:val="bottom"/>
            <w:shd w:val="clear" w:color="auto" w:fill="0075C9"/>
          </w:tcPr>
          <w:p>
            <w:pPr>
              <w:spacing w:after="0"/>
              <w:rPr>
                <w:sz w:val="20"/>
                <w:szCs w:val="20"/>
                <w:color w:val="auto"/>
              </w:rPr>
            </w:pPr>
            <w:r>
              <w:rPr>
                <w:rFonts w:ascii="Arial" w:cs="Arial" w:eastAsia="Arial" w:hAnsi="Arial"/>
                <w:sz w:val="13"/>
                <w:szCs w:val="13"/>
                <w:color w:val="FFFFFF"/>
              </w:rPr>
              <w:t> Executive Officer</w:t>
            </w:r>
          </w:p>
        </w:tc>
        <w:tc>
          <w:tcPr>
            <w:tcW w:w="2020" w:type="dxa"/>
            <w:vAlign w:val="bottom"/>
            <w:shd w:val="clear" w:color="auto" w:fill="0075C9"/>
          </w:tcPr>
          <w:p>
            <w:pPr>
              <w:jc w:val="center"/>
              <w:ind w:left="113"/>
              <w:spacing w:after="0"/>
              <w:rPr>
                <w:sz w:val="20"/>
                <w:szCs w:val="20"/>
                <w:color w:val="auto"/>
              </w:rPr>
            </w:pPr>
            <w:r>
              <w:rPr>
                <w:rFonts w:ascii="Arial" w:cs="Arial" w:eastAsia="Arial" w:hAnsi="Arial"/>
                <w:sz w:val="13"/>
                <w:szCs w:val="13"/>
                <w:color w:val="FFFFFF"/>
              </w:rPr>
              <w:t>Plan Account</w:t>
            </w:r>
          </w:p>
        </w:tc>
        <w:tc>
          <w:tcPr>
            <w:tcW w:w="148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to SSP Account</w:t>
            </w:r>
          </w:p>
        </w:tc>
        <w:tc>
          <w:tcPr>
            <w:tcW w:w="15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Planning*</w:t>
            </w:r>
          </w:p>
        </w:tc>
        <w:tc>
          <w:tcPr>
            <w:tcW w:w="1520" w:type="dxa"/>
            <w:vAlign w:val="bottom"/>
            <w:shd w:val="clear" w:color="auto" w:fill="0075C9"/>
          </w:tcPr>
          <w:p>
            <w:pPr>
              <w:jc w:val="center"/>
              <w:ind w:left="193"/>
              <w:spacing w:after="0"/>
              <w:rPr>
                <w:sz w:val="20"/>
                <w:szCs w:val="20"/>
                <w:color w:val="auto"/>
              </w:rPr>
            </w:pPr>
            <w:r>
              <w:rPr>
                <w:rFonts w:ascii="Arial" w:cs="Arial" w:eastAsia="Arial" w:hAnsi="Arial"/>
                <w:sz w:val="13"/>
                <w:szCs w:val="13"/>
                <w:color w:val="FFFFFF"/>
              </w:rPr>
              <w:t>Insurance Premiums</w:t>
            </w:r>
          </w:p>
        </w:tc>
      </w:tr>
      <w:tr>
        <w:trPr>
          <w:trHeight w:val="203"/>
        </w:trPr>
        <w:tc>
          <w:tcPr>
            <w:tcW w:w="3160" w:type="dxa"/>
            <w:vAlign w:val="bottom"/>
            <w:shd w:val="clear" w:color="auto" w:fill="B2D5EE"/>
          </w:tcPr>
          <w:p>
            <w:pPr>
              <w:ind w:left="40"/>
              <w:spacing w:after="0"/>
              <w:rPr>
                <w:sz w:val="20"/>
                <w:szCs w:val="20"/>
                <w:color w:val="auto"/>
              </w:rPr>
            </w:pPr>
            <w:r>
              <w:rPr>
                <w:rFonts w:ascii="Arial" w:cs="Arial" w:eastAsia="Arial" w:hAnsi="Arial"/>
                <w:sz w:val="13"/>
                <w:szCs w:val="13"/>
                <w:color w:val="auto"/>
              </w:rPr>
              <w:t>Mr. Viehbacher</w:t>
            </w:r>
          </w:p>
        </w:tc>
        <w:tc>
          <w:tcPr>
            <w:tcW w:w="2020" w:type="dxa"/>
            <w:vAlign w:val="bottom"/>
            <w:shd w:val="clear" w:color="auto" w:fill="B2D5EE"/>
          </w:tcPr>
          <w:p>
            <w:pPr>
              <w:jc w:val="center"/>
              <w:ind w:left="113"/>
              <w:spacing w:after="0"/>
              <w:rPr>
                <w:sz w:val="20"/>
                <w:szCs w:val="20"/>
                <w:color w:val="auto"/>
              </w:rPr>
            </w:pPr>
            <w:r>
              <w:rPr>
                <w:rFonts w:ascii="Arial" w:cs="Arial" w:eastAsia="Arial" w:hAnsi="Arial"/>
                <w:sz w:val="13"/>
                <w:szCs w:val="13"/>
                <w:color w:val="auto"/>
              </w:rPr>
              <w:t>$21,000</w:t>
            </w:r>
          </w:p>
        </w:tc>
        <w:tc>
          <w:tcPr>
            <w:tcW w:w="14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$336,278</w:t>
            </w:r>
          </w:p>
        </w:tc>
        <w:tc>
          <w:tcPr>
            <w:tcW w:w="1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1520" w:type="dxa"/>
            <w:vAlign w:val="bottom"/>
            <w:shd w:val="clear" w:color="auto" w:fill="B2D5EE"/>
          </w:tcPr>
          <w:p>
            <w:pPr>
              <w:jc w:val="center"/>
              <w:ind w:left="193"/>
              <w:spacing w:after="0"/>
              <w:rPr>
                <w:sz w:val="20"/>
                <w:szCs w:val="20"/>
                <w:color w:val="auto"/>
              </w:rPr>
            </w:pPr>
            <w:r>
              <w:rPr>
                <w:rFonts w:ascii="Arial" w:cs="Arial" w:eastAsia="Arial" w:hAnsi="Arial"/>
                <w:sz w:val="13"/>
                <w:szCs w:val="13"/>
                <w:color w:val="auto"/>
              </w:rPr>
              <w:t>$1,091</w:t>
            </w:r>
          </w:p>
        </w:tc>
      </w:tr>
      <w:tr>
        <w:trPr>
          <w:trHeight w:val="197"/>
        </w:trPr>
        <w:tc>
          <w:tcPr>
            <w:tcW w:w="3160" w:type="dxa"/>
            <w:vAlign w:val="bottom"/>
            <w:shd w:val="clear" w:color="auto" w:fill="E5F1F9"/>
          </w:tcPr>
          <w:p>
            <w:pPr>
              <w:ind w:left="40"/>
              <w:spacing w:after="0"/>
              <w:rPr>
                <w:sz w:val="20"/>
                <w:szCs w:val="20"/>
                <w:color w:val="auto"/>
              </w:rPr>
            </w:pPr>
            <w:r>
              <w:rPr>
                <w:rFonts w:ascii="Arial" w:cs="Arial" w:eastAsia="Arial" w:hAnsi="Arial"/>
                <w:sz w:val="13"/>
                <w:szCs w:val="13"/>
                <w:color w:val="auto"/>
              </w:rPr>
              <w:t>Ms. Kramer</w:t>
            </w:r>
          </w:p>
        </w:tc>
        <w:tc>
          <w:tcPr>
            <w:tcW w:w="2020" w:type="dxa"/>
            <w:vAlign w:val="bottom"/>
            <w:shd w:val="clear" w:color="auto" w:fill="E5F1F9"/>
          </w:tcPr>
          <w:p>
            <w:pPr>
              <w:jc w:val="center"/>
              <w:ind w:left="113"/>
              <w:spacing w:after="0"/>
              <w:rPr>
                <w:sz w:val="20"/>
                <w:szCs w:val="20"/>
                <w:color w:val="auto"/>
              </w:rPr>
            </w:pPr>
            <w:r>
              <w:rPr>
                <w:rFonts w:ascii="Arial" w:cs="Arial" w:eastAsia="Arial" w:hAnsi="Arial"/>
                <w:sz w:val="13"/>
                <w:szCs w:val="13"/>
                <w:color w:val="auto"/>
              </w:rPr>
              <w:t>$21,000</w:t>
            </w:r>
          </w:p>
        </w:tc>
        <w:tc>
          <w:tcPr>
            <w:tcW w:w="14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$55,766</w:t>
            </w:r>
          </w:p>
        </w:tc>
        <w:tc>
          <w:tcPr>
            <w:tcW w:w="1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$6,804</w:t>
            </w:r>
          </w:p>
        </w:tc>
        <w:tc>
          <w:tcPr>
            <w:tcW w:w="1520" w:type="dxa"/>
            <w:vAlign w:val="bottom"/>
            <w:shd w:val="clear" w:color="auto" w:fill="E5F1F9"/>
          </w:tcPr>
          <w:p>
            <w:pPr>
              <w:jc w:val="center"/>
              <w:ind w:left="193"/>
              <w:spacing w:after="0"/>
              <w:rPr>
                <w:sz w:val="20"/>
                <w:szCs w:val="20"/>
                <w:color w:val="auto"/>
              </w:rPr>
            </w:pPr>
            <w:r>
              <w:rPr>
                <w:rFonts w:ascii="Arial" w:cs="Arial" w:eastAsia="Arial" w:hAnsi="Arial"/>
                <w:sz w:val="13"/>
                <w:szCs w:val="13"/>
                <w:color w:val="auto"/>
              </w:rPr>
              <w:t>$1,364</w:t>
            </w:r>
          </w:p>
        </w:tc>
      </w:tr>
      <w:tr>
        <w:trPr>
          <w:trHeight w:val="208"/>
        </w:trPr>
        <w:tc>
          <w:tcPr>
            <w:tcW w:w="3160" w:type="dxa"/>
            <w:vAlign w:val="bottom"/>
            <w:shd w:val="clear" w:color="auto" w:fill="B2D5EE"/>
          </w:tcPr>
          <w:p>
            <w:pPr>
              <w:ind w:left="40"/>
              <w:spacing w:after="0"/>
              <w:rPr>
                <w:sz w:val="20"/>
                <w:szCs w:val="20"/>
                <w:color w:val="auto"/>
              </w:rPr>
            </w:pPr>
            <w:r>
              <w:rPr>
                <w:rFonts w:ascii="Arial" w:cs="Arial" w:eastAsia="Arial" w:hAnsi="Arial"/>
                <w:sz w:val="13"/>
                <w:szCs w:val="13"/>
                <w:color w:val="auto"/>
              </w:rPr>
              <w:t>Ms. Alexander</w:t>
            </w:r>
          </w:p>
        </w:tc>
        <w:tc>
          <w:tcPr>
            <w:tcW w:w="2020" w:type="dxa"/>
            <w:vAlign w:val="bottom"/>
            <w:shd w:val="clear" w:color="auto" w:fill="B2D5EE"/>
          </w:tcPr>
          <w:p>
            <w:pPr>
              <w:jc w:val="center"/>
              <w:ind w:left="113"/>
              <w:spacing w:after="0"/>
              <w:rPr>
                <w:sz w:val="20"/>
                <w:szCs w:val="20"/>
                <w:color w:val="auto"/>
              </w:rPr>
            </w:pPr>
            <w:r>
              <w:rPr>
                <w:rFonts w:ascii="Arial" w:cs="Arial" w:eastAsia="Arial" w:hAnsi="Arial"/>
                <w:sz w:val="13"/>
                <w:szCs w:val="13"/>
                <w:color w:val="auto"/>
              </w:rPr>
              <w:t>$21,000</w:t>
            </w:r>
          </w:p>
        </w:tc>
        <w:tc>
          <w:tcPr>
            <w:tcW w:w="14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$128,851</w:t>
            </w:r>
          </w:p>
        </w:tc>
        <w:tc>
          <w:tcPr>
            <w:tcW w:w="1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$7,400</w:t>
            </w:r>
          </w:p>
        </w:tc>
        <w:tc>
          <w:tcPr>
            <w:tcW w:w="1520" w:type="dxa"/>
            <w:vAlign w:val="bottom"/>
            <w:shd w:val="clear" w:color="auto" w:fill="B2D5EE"/>
          </w:tcPr>
          <w:p>
            <w:pPr>
              <w:jc w:val="center"/>
              <w:ind w:left="193"/>
              <w:spacing w:after="0"/>
              <w:rPr>
                <w:sz w:val="20"/>
                <w:szCs w:val="20"/>
                <w:color w:val="auto"/>
              </w:rPr>
            </w:pPr>
            <w:r>
              <w:rPr>
                <w:rFonts w:ascii="Arial" w:cs="Arial" w:eastAsia="Arial" w:hAnsi="Arial"/>
                <w:sz w:val="13"/>
                <w:szCs w:val="13"/>
                <w:color w:val="auto"/>
              </w:rPr>
              <w:t>$2,089</w:t>
            </w:r>
          </w:p>
        </w:tc>
      </w:tr>
      <w:tr>
        <w:trPr>
          <w:trHeight w:val="197"/>
        </w:trPr>
        <w:tc>
          <w:tcPr>
            <w:tcW w:w="3160" w:type="dxa"/>
            <w:vAlign w:val="bottom"/>
            <w:shd w:val="clear" w:color="auto" w:fill="E5F1F9"/>
          </w:tcPr>
          <w:p>
            <w:pPr>
              <w:ind w:left="40"/>
              <w:spacing w:after="0"/>
              <w:rPr>
                <w:sz w:val="20"/>
                <w:szCs w:val="20"/>
                <w:color w:val="auto"/>
              </w:rPr>
            </w:pPr>
            <w:r>
              <w:rPr>
                <w:rFonts w:ascii="Arial" w:cs="Arial" w:eastAsia="Arial" w:hAnsi="Arial"/>
                <w:sz w:val="13"/>
                <w:szCs w:val="13"/>
                <w:color w:val="auto"/>
              </w:rPr>
              <w:t>Dr. Singhal</w:t>
            </w:r>
          </w:p>
        </w:tc>
        <w:tc>
          <w:tcPr>
            <w:tcW w:w="2020" w:type="dxa"/>
            <w:vAlign w:val="bottom"/>
            <w:shd w:val="clear" w:color="auto" w:fill="E5F1F9"/>
          </w:tcPr>
          <w:p>
            <w:pPr>
              <w:jc w:val="center"/>
              <w:ind w:left="113"/>
              <w:spacing w:after="0"/>
              <w:rPr>
                <w:sz w:val="20"/>
                <w:szCs w:val="20"/>
                <w:color w:val="auto"/>
              </w:rPr>
            </w:pPr>
            <w:r>
              <w:rPr>
                <w:rFonts w:ascii="Arial" w:cs="Arial" w:eastAsia="Arial" w:hAnsi="Arial"/>
                <w:sz w:val="13"/>
                <w:szCs w:val="13"/>
                <w:color w:val="auto"/>
              </w:rPr>
              <w:t>$21,000</w:t>
            </w:r>
          </w:p>
        </w:tc>
        <w:tc>
          <w:tcPr>
            <w:tcW w:w="14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$92,802</w:t>
            </w:r>
          </w:p>
        </w:tc>
        <w:tc>
          <w:tcPr>
            <w:tcW w:w="1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$8,261</w:t>
            </w:r>
          </w:p>
        </w:tc>
        <w:tc>
          <w:tcPr>
            <w:tcW w:w="1520" w:type="dxa"/>
            <w:vAlign w:val="bottom"/>
            <w:shd w:val="clear" w:color="auto" w:fill="E5F1F9"/>
          </w:tcPr>
          <w:p>
            <w:pPr>
              <w:jc w:val="center"/>
              <w:ind w:left="193"/>
              <w:spacing w:after="0"/>
              <w:rPr>
                <w:sz w:val="20"/>
                <w:szCs w:val="20"/>
                <w:color w:val="auto"/>
              </w:rPr>
            </w:pPr>
            <w:r>
              <w:rPr>
                <w:rFonts w:ascii="Arial" w:cs="Arial" w:eastAsia="Arial" w:hAnsi="Arial"/>
                <w:sz w:val="13"/>
                <w:szCs w:val="13"/>
                <w:color w:val="auto"/>
              </w:rPr>
              <w:t>$1,800</w:t>
            </w:r>
          </w:p>
        </w:tc>
      </w:tr>
      <w:tr>
        <w:trPr>
          <w:trHeight w:val="208"/>
        </w:trPr>
        <w:tc>
          <w:tcPr>
            <w:tcW w:w="3160" w:type="dxa"/>
            <w:vAlign w:val="bottom"/>
            <w:shd w:val="clear" w:color="auto" w:fill="B2D5EE"/>
          </w:tcPr>
          <w:p>
            <w:pPr>
              <w:ind w:left="40"/>
              <w:spacing w:after="0"/>
              <w:rPr>
                <w:sz w:val="20"/>
                <w:szCs w:val="20"/>
                <w:color w:val="auto"/>
              </w:rPr>
            </w:pPr>
            <w:r>
              <w:rPr>
                <w:rFonts w:ascii="Arial" w:cs="Arial" w:eastAsia="Arial" w:hAnsi="Arial"/>
                <w:sz w:val="13"/>
                <w:szCs w:val="13"/>
                <w:color w:val="auto"/>
              </w:rPr>
              <w:t>Ms. Murphy</w:t>
            </w:r>
          </w:p>
        </w:tc>
        <w:tc>
          <w:tcPr>
            <w:tcW w:w="2020" w:type="dxa"/>
            <w:vAlign w:val="bottom"/>
            <w:shd w:val="clear" w:color="auto" w:fill="B2D5EE"/>
          </w:tcPr>
          <w:p>
            <w:pPr>
              <w:jc w:val="center"/>
              <w:ind w:left="113"/>
              <w:spacing w:after="0"/>
              <w:rPr>
                <w:sz w:val="20"/>
                <w:szCs w:val="20"/>
                <w:color w:val="auto"/>
              </w:rPr>
            </w:pPr>
            <w:r>
              <w:rPr>
                <w:rFonts w:ascii="Arial" w:cs="Arial" w:eastAsia="Arial" w:hAnsi="Arial"/>
                <w:sz w:val="13"/>
                <w:szCs w:val="13"/>
                <w:color w:val="auto"/>
              </w:rPr>
              <w:t>$21,000</w:t>
            </w:r>
          </w:p>
        </w:tc>
        <w:tc>
          <w:tcPr>
            <w:tcW w:w="14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$89,816</w:t>
            </w:r>
          </w:p>
        </w:tc>
        <w:tc>
          <w:tcPr>
            <w:tcW w:w="1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$9,977</w:t>
            </w:r>
          </w:p>
        </w:tc>
        <w:tc>
          <w:tcPr>
            <w:tcW w:w="1520" w:type="dxa"/>
            <w:vAlign w:val="bottom"/>
            <w:shd w:val="clear" w:color="auto" w:fill="B2D5EE"/>
          </w:tcPr>
          <w:p>
            <w:pPr>
              <w:jc w:val="center"/>
              <w:ind w:left="193"/>
              <w:spacing w:after="0"/>
              <w:rPr>
                <w:sz w:val="20"/>
                <w:szCs w:val="20"/>
                <w:color w:val="auto"/>
              </w:rPr>
            </w:pPr>
            <w:r>
              <w:rPr>
                <w:rFonts w:ascii="Arial" w:cs="Arial" w:eastAsia="Arial" w:hAnsi="Arial"/>
                <w:sz w:val="13"/>
                <w:szCs w:val="13"/>
                <w:color w:val="auto"/>
              </w:rPr>
              <w:t>$1,694</w:t>
            </w:r>
          </w:p>
        </w:tc>
      </w:tr>
      <w:tr>
        <w:trPr>
          <w:trHeight w:val="203"/>
        </w:trPr>
        <w:tc>
          <w:tcPr>
            <w:tcW w:w="3160" w:type="dxa"/>
            <w:vAlign w:val="bottom"/>
            <w:shd w:val="clear" w:color="auto" w:fill="E5F1F9"/>
          </w:tcPr>
          <w:p>
            <w:pPr>
              <w:ind w:left="40"/>
              <w:spacing w:after="0"/>
              <w:rPr>
                <w:sz w:val="20"/>
                <w:szCs w:val="20"/>
                <w:color w:val="auto"/>
              </w:rPr>
            </w:pPr>
            <w:r>
              <w:rPr>
                <w:rFonts w:ascii="Arial" w:cs="Arial" w:eastAsia="Arial" w:hAnsi="Arial"/>
                <w:sz w:val="13"/>
                <w:szCs w:val="13"/>
                <w:color w:val="auto"/>
              </w:rPr>
              <w:t>Mr. McDonnell</w:t>
            </w:r>
          </w:p>
        </w:tc>
        <w:tc>
          <w:tcPr>
            <w:tcW w:w="2020" w:type="dxa"/>
            <w:vAlign w:val="bottom"/>
            <w:shd w:val="clear" w:color="auto" w:fill="E5F1F9"/>
          </w:tcPr>
          <w:p>
            <w:pPr>
              <w:jc w:val="center"/>
              <w:ind w:left="113"/>
              <w:spacing w:after="0"/>
              <w:rPr>
                <w:sz w:val="20"/>
                <w:szCs w:val="20"/>
                <w:color w:val="auto"/>
              </w:rPr>
            </w:pPr>
            <w:r>
              <w:rPr>
                <w:rFonts w:ascii="Arial" w:cs="Arial" w:eastAsia="Arial" w:hAnsi="Arial"/>
                <w:sz w:val="13"/>
                <w:szCs w:val="13"/>
                <w:color w:val="auto"/>
              </w:rPr>
              <w:t>$21,000</w:t>
            </w:r>
          </w:p>
        </w:tc>
        <w:tc>
          <w:tcPr>
            <w:tcW w:w="14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$13,819</w:t>
            </w:r>
          </w:p>
        </w:tc>
        <w:tc>
          <w:tcPr>
            <w:tcW w:w="1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$7,500</w:t>
            </w:r>
          </w:p>
        </w:tc>
        <w:tc>
          <w:tcPr>
            <w:tcW w:w="1520" w:type="dxa"/>
            <w:vAlign w:val="bottom"/>
            <w:shd w:val="clear" w:color="auto" w:fill="E5F1F9"/>
          </w:tcPr>
          <w:p>
            <w:pPr>
              <w:jc w:val="center"/>
              <w:ind w:left="193"/>
              <w:spacing w:after="0"/>
              <w:rPr>
                <w:sz w:val="20"/>
                <w:szCs w:val="20"/>
                <w:color w:val="auto"/>
              </w:rPr>
            </w:pPr>
            <w:r>
              <w:rPr>
                <w:rFonts w:ascii="Arial" w:cs="Arial" w:eastAsia="Arial" w:hAnsi="Arial"/>
                <w:sz w:val="13"/>
                <w:szCs w:val="13"/>
                <w:color w:val="auto"/>
              </w:rPr>
              <w:t>$1,636</w:t>
            </w:r>
          </w:p>
        </w:tc>
      </w:tr>
    </w:tbl>
    <w:p>
      <w:pPr>
        <w:spacing w:after="0" w:line="112" w:lineRule="exact"/>
        <w:rPr>
          <w:sz w:val="20"/>
          <w:szCs w:val="20"/>
          <w:color w:val="auto"/>
        </w:rPr>
      </w:pPr>
    </w:p>
    <w:p>
      <w:pPr>
        <w:ind w:left="540" w:right="40" w:hanging="424"/>
        <w:spacing w:after="0" w:line="248" w:lineRule="auto"/>
        <w:tabs>
          <w:tab w:leader="none" w:pos="5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reimbursements of expenses relating to tax, financial and estate planning and executive physicals as described under the heading “Executive Physicals, Tax Preparation, Financial and Estate Planning” above. The amount for Dr. Singhal includes the 2025 benefit of $4,700 and reimbursement in 2025 of the 2024 benefit of $3,561. The amount for Ms. Murphy includes the 2025 benefit of $2,477 and reimbursement in 2025 of the 2024 benefit of $7,500.</w:t>
      </w:r>
    </w:p>
    <w:p>
      <w:pPr>
        <w:spacing w:after="0" w:line="1" w:lineRule="exact"/>
        <w:rPr>
          <w:sz w:val="20"/>
          <w:szCs w:val="20"/>
          <w:color w:val="auto"/>
        </w:rPr>
      </w:pPr>
    </w:p>
    <w:p>
      <w:pPr>
        <w:ind w:left="540" w:right="380" w:hanging="424"/>
        <w:spacing w:after="0" w:line="241" w:lineRule="auto"/>
        <w:tabs>
          <w:tab w:leader="none" w:pos="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Ms. Kramer was promoted to the role of Executive Vice President and Chief Financial Officer effective March 1, 2025. Previously, Ms. Kramer served as Biogen’s Senior Vice President and Chief Accounting Officer. Amounts reflect totals received in 2025 for service in the two roles.</w:t>
      </w:r>
    </w:p>
    <w:p>
      <w:pPr>
        <w:ind w:left="540" w:right="140" w:hanging="424"/>
        <w:spacing w:after="0" w:line="252" w:lineRule="auto"/>
        <w:tabs>
          <w:tab w:leader="none" w:pos="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Mr. McDonnell ceased to be our Executive Vice President and Chief Financial Officer and retired on March 1, 2025. Mr. McDonnell’s base salary was prorated for the period of the year during which he was employed by the company. Mr. McDonnell was not eligible to receive a bonus under our 2025 STI program, and, upon his retirement, any unvested equity holdings were forfeited consistent with the 2017 Omnibus Equity Plan and 2024 Omnibus Equity Plan.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Grants of Plan-Based Awards</w:t>
      </w:r>
    </w:p>
    <w:p>
      <w:pPr>
        <w:spacing w:after="0" w:line="108"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The following table shows additional information regarding all grants of plan-based awards made to our NEOs for the year ended December 31, 2025, except Mr. McDonnell who retired from the company on March 1, 2025, and was not eligible to receive a bonus under our 2025 STI program and did not receive grants of PSUs or RSUs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57785</wp:posOffset>
            </wp:positionV>
            <wp:extent cx="1619885" cy="7461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19885" cy="746125"/>
                    </a:xfrm>
                    <a:prstGeom prst="rect">
                      <a:avLst/>
                    </a:prstGeom>
                    <a:noFill/>
                  </pic:spPr>
                </pic:pic>
              </a:graphicData>
            </a:graphic>
          </wp:anchor>
        </w:drawing>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040" w:type="dxa"/>
            <w:vAlign w:val="bottom"/>
            <w:shd w:val="clear" w:color="auto" w:fill="0075C9"/>
          </w:tcPr>
          <w:p>
            <w:pPr>
              <w:spacing w:after="0"/>
              <w:rPr>
                <w:sz w:val="15"/>
                <w:szCs w:val="15"/>
                <w:color w:val="auto"/>
              </w:rPr>
            </w:pPr>
          </w:p>
        </w:tc>
        <w:tc>
          <w:tcPr>
            <w:tcW w:w="100" w:type="dxa"/>
            <w:vAlign w:val="bottom"/>
            <w:shd w:val="clear" w:color="auto" w:fill="0075C9"/>
          </w:tcPr>
          <w:p>
            <w:pPr>
              <w:spacing w:after="0"/>
              <w:rPr>
                <w:sz w:val="15"/>
                <w:szCs w:val="15"/>
                <w:color w:val="auto"/>
              </w:rPr>
            </w:pPr>
          </w:p>
        </w:tc>
        <w:tc>
          <w:tcPr>
            <w:tcW w:w="680" w:type="dxa"/>
            <w:vAlign w:val="bottom"/>
            <w:shd w:val="clear" w:color="auto" w:fill="0075C9"/>
          </w:tcPr>
          <w:p>
            <w:pPr>
              <w:spacing w:after="0"/>
              <w:rPr>
                <w:sz w:val="15"/>
                <w:szCs w:val="15"/>
                <w:color w:val="auto"/>
              </w:rPr>
            </w:pPr>
          </w:p>
        </w:tc>
        <w:tc>
          <w:tcPr>
            <w:tcW w:w="520" w:type="dxa"/>
            <w:vAlign w:val="bottom"/>
            <w:shd w:val="clear" w:color="auto" w:fill="0075C9"/>
          </w:tcPr>
          <w:p>
            <w:pPr>
              <w:spacing w:after="0"/>
              <w:rPr>
                <w:sz w:val="15"/>
                <w:szCs w:val="15"/>
                <w:color w:val="auto"/>
              </w:rPr>
            </w:pPr>
          </w:p>
        </w:tc>
        <w:tc>
          <w:tcPr>
            <w:tcW w:w="700" w:type="dxa"/>
            <w:vAlign w:val="bottom"/>
            <w:shd w:val="clear" w:color="auto" w:fill="0075C9"/>
          </w:tcPr>
          <w:p>
            <w:pPr>
              <w:spacing w:after="0"/>
              <w:rPr>
                <w:sz w:val="15"/>
                <w:szCs w:val="15"/>
                <w:color w:val="auto"/>
              </w:rPr>
            </w:pPr>
          </w:p>
        </w:tc>
        <w:tc>
          <w:tcPr>
            <w:tcW w:w="780" w:type="dxa"/>
            <w:vAlign w:val="bottom"/>
            <w:shd w:val="clear" w:color="auto" w:fill="0075C9"/>
          </w:tcPr>
          <w:p>
            <w:pPr>
              <w:spacing w:after="0"/>
              <w:rPr>
                <w:sz w:val="15"/>
                <w:szCs w:val="15"/>
                <w:color w:val="auto"/>
              </w:rPr>
            </w:pPr>
          </w:p>
        </w:tc>
        <w:tc>
          <w:tcPr>
            <w:tcW w:w="780" w:type="dxa"/>
            <w:vAlign w:val="bottom"/>
            <w:shd w:val="clear" w:color="auto" w:fill="0075C9"/>
          </w:tcPr>
          <w:p>
            <w:pPr>
              <w:spacing w:after="0"/>
              <w:rPr>
                <w:sz w:val="15"/>
                <w:szCs w:val="15"/>
                <w:color w:val="auto"/>
              </w:rPr>
            </w:pPr>
          </w:p>
        </w:tc>
        <w:tc>
          <w:tcPr>
            <w:tcW w:w="700" w:type="dxa"/>
            <w:vAlign w:val="bottom"/>
            <w:shd w:val="clear" w:color="auto" w:fill="0075C9"/>
          </w:tcPr>
          <w:p>
            <w:pPr>
              <w:spacing w:after="0"/>
              <w:rPr>
                <w:sz w:val="15"/>
                <w:szCs w:val="15"/>
                <w:color w:val="auto"/>
              </w:rPr>
            </w:pPr>
          </w:p>
        </w:tc>
        <w:tc>
          <w:tcPr>
            <w:tcW w:w="520" w:type="dxa"/>
            <w:vAlign w:val="bottom"/>
            <w:shd w:val="clear" w:color="auto" w:fill="0075C9"/>
          </w:tcPr>
          <w:p>
            <w:pPr>
              <w:spacing w:after="0"/>
              <w:rPr>
                <w:sz w:val="15"/>
                <w:szCs w:val="15"/>
                <w:color w:val="auto"/>
              </w:rPr>
            </w:pPr>
          </w:p>
        </w:tc>
        <w:tc>
          <w:tcPr>
            <w:tcW w:w="640" w:type="dxa"/>
            <w:vAlign w:val="bottom"/>
            <w:shd w:val="clear" w:color="auto" w:fill="0075C9"/>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FFFFFF"/>
              </w:rPr>
              <w:t>All Other</w:t>
            </w:r>
          </w:p>
        </w:tc>
        <w:tc>
          <w:tcPr>
            <w:tcW w:w="980" w:type="dxa"/>
            <w:vAlign w:val="bottom"/>
          </w:tcPr>
          <w:p>
            <w:pPr>
              <w:jc w:val="center"/>
              <w:spacing w:after="0"/>
              <w:rPr>
                <w:sz w:val="20"/>
                <w:szCs w:val="20"/>
                <w:color w:val="auto"/>
              </w:rPr>
            </w:pPr>
            <w:r>
              <w:rPr>
                <w:rFonts w:ascii="Arial" w:cs="Arial" w:eastAsia="Arial" w:hAnsi="Arial"/>
                <w:sz w:val="13"/>
                <w:szCs w:val="13"/>
                <w:color w:val="FFFFFF"/>
              </w:rPr>
              <w:t>All other option</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0075C9"/>
          </w:tcPr>
          <w:p>
            <w:pPr>
              <w:spacing w:after="0"/>
              <w:rPr>
                <w:sz w:val="12"/>
                <w:szCs w:val="12"/>
                <w:color w:val="auto"/>
              </w:rPr>
            </w:pPr>
          </w:p>
        </w:tc>
        <w:tc>
          <w:tcPr>
            <w:tcW w:w="100" w:type="dxa"/>
            <w:vAlign w:val="bottom"/>
            <w:shd w:val="clear" w:color="auto" w:fill="0075C9"/>
          </w:tcPr>
          <w:p>
            <w:pPr>
              <w:spacing w:after="0"/>
              <w:rPr>
                <w:sz w:val="12"/>
                <w:szCs w:val="12"/>
                <w:color w:val="auto"/>
              </w:rPr>
            </w:pPr>
          </w:p>
        </w:tc>
        <w:tc>
          <w:tcPr>
            <w:tcW w:w="680" w:type="dxa"/>
            <w:vAlign w:val="bottom"/>
            <w:shd w:val="clear" w:color="auto" w:fill="0075C9"/>
          </w:tcPr>
          <w:p>
            <w:pPr>
              <w:spacing w:after="0"/>
              <w:rPr>
                <w:sz w:val="12"/>
                <w:szCs w:val="12"/>
                <w:color w:val="auto"/>
              </w:rPr>
            </w:pPr>
          </w:p>
        </w:tc>
        <w:tc>
          <w:tcPr>
            <w:tcW w:w="520" w:type="dxa"/>
            <w:vAlign w:val="bottom"/>
            <w:shd w:val="clear" w:color="auto" w:fill="0075C9"/>
          </w:tcPr>
          <w:p>
            <w:pPr>
              <w:spacing w:after="0"/>
              <w:rPr>
                <w:sz w:val="12"/>
                <w:szCs w:val="12"/>
                <w:color w:val="auto"/>
              </w:rPr>
            </w:pPr>
          </w:p>
        </w:tc>
        <w:tc>
          <w:tcPr>
            <w:tcW w:w="700" w:type="dxa"/>
            <w:vAlign w:val="bottom"/>
            <w:shd w:val="clear" w:color="auto" w:fill="0075C9"/>
          </w:tcPr>
          <w:p>
            <w:pPr>
              <w:spacing w:after="0"/>
              <w:rPr>
                <w:sz w:val="12"/>
                <w:szCs w:val="12"/>
                <w:color w:val="auto"/>
              </w:rPr>
            </w:pPr>
          </w:p>
        </w:tc>
        <w:tc>
          <w:tcPr>
            <w:tcW w:w="780" w:type="dxa"/>
            <w:vAlign w:val="bottom"/>
            <w:shd w:val="clear" w:color="auto" w:fill="0075C9"/>
          </w:tcPr>
          <w:p>
            <w:pPr>
              <w:spacing w:after="0"/>
              <w:rPr>
                <w:sz w:val="12"/>
                <w:szCs w:val="12"/>
                <w:color w:val="auto"/>
              </w:rPr>
            </w:pPr>
          </w:p>
        </w:tc>
        <w:tc>
          <w:tcPr>
            <w:tcW w:w="780" w:type="dxa"/>
            <w:vAlign w:val="bottom"/>
            <w:shd w:val="clear" w:color="auto" w:fill="0075C9"/>
          </w:tcPr>
          <w:p>
            <w:pPr>
              <w:spacing w:after="0"/>
              <w:rPr>
                <w:sz w:val="12"/>
                <w:szCs w:val="12"/>
                <w:color w:val="auto"/>
              </w:rPr>
            </w:pPr>
          </w:p>
        </w:tc>
        <w:tc>
          <w:tcPr>
            <w:tcW w:w="700" w:type="dxa"/>
            <w:vAlign w:val="bottom"/>
            <w:shd w:val="clear" w:color="auto" w:fill="0075C9"/>
          </w:tcPr>
          <w:p>
            <w:pPr>
              <w:spacing w:after="0"/>
              <w:rPr>
                <w:sz w:val="12"/>
                <w:szCs w:val="12"/>
                <w:color w:val="auto"/>
              </w:rPr>
            </w:pPr>
          </w:p>
        </w:tc>
        <w:tc>
          <w:tcPr>
            <w:tcW w:w="520" w:type="dxa"/>
            <w:vAlign w:val="bottom"/>
            <w:shd w:val="clear" w:color="auto" w:fill="0075C9"/>
          </w:tcPr>
          <w:p>
            <w:pPr>
              <w:spacing w:after="0"/>
              <w:rPr>
                <w:sz w:val="12"/>
                <w:szCs w:val="12"/>
                <w:color w:val="auto"/>
              </w:rPr>
            </w:pPr>
          </w:p>
        </w:tc>
        <w:tc>
          <w:tcPr>
            <w:tcW w:w="640" w:type="dxa"/>
            <w:vAlign w:val="bottom"/>
            <w:shd w:val="clear" w:color="auto" w:fill="0075C9"/>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FFFFFF"/>
              </w:rPr>
              <w:t>Stock</w:t>
            </w:r>
          </w:p>
        </w:tc>
        <w:tc>
          <w:tcPr>
            <w:tcW w:w="980" w:type="dxa"/>
            <w:vAlign w:val="bottom"/>
          </w:tcPr>
          <w:p>
            <w:pPr>
              <w:jc w:val="center"/>
              <w:spacing w:after="0"/>
              <w:rPr>
                <w:sz w:val="20"/>
                <w:szCs w:val="20"/>
                <w:color w:val="auto"/>
              </w:rPr>
            </w:pPr>
            <w:r>
              <w:rPr>
                <w:rFonts w:ascii="Arial" w:cs="Arial" w:eastAsia="Arial" w:hAnsi="Arial"/>
                <w:sz w:val="13"/>
                <w:szCs w:val="13"/>
                <w:color w:val="FFFFFF"/>
              </w:rPr>
              <w:t>awards:</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0075C9"/>
          </w:tcPr>
          <w:p>
            <w:pPr>
              <w:spacing w:after="0"/>
              <w:rPr>
                <w:sz w:val="12"/>
                <w:szCs w:val="12"/>
                <w:color w:val="auto"/>
              </w:rPr>
            </w:pPr>
          </w:p>
        </w:tc>
        <w:tc>
          <w:tcPr>
            <w:tcW w:w="100" w:type="dxa"/>
            <w:vAlign w:val="bottom"/>
            <w:shd w:val="clear" w:color="auto" w:fill="0075C9"/>
          </w:tcPr>
          <w:p>
            <w:pPr>
              <w:spacing w:after="0"/>
              <w:rPr>
                <w:sz w:val="12"/>
                <w:szCs w:val="12"/>
                <w:color w:val="auto"/>
              </w:rPr>
            </w:pPr>
          </w:p>
        </w:tc>
        <w:tc>
          <w:tcPr>
            <w:tcW w:w="680" w:type="dxa"/>
            <w:vAlign w:val="bottom"/>
            <w:shd w:val="clear" w:color="auto" w:fill="0075C9"/>
          </w:tcPr>
          <w:p>
            <w:pPr>
              <w:spacing w:after="0"/>
              <w:rPr>
                <w:sz w:val="12"/>
                <w:szCs w:val="12"/>
                <w:color w:val="auto"/>
              </w:rPr>
            </w:pPr>
          </w:p>
        </w:tc>
        <w:tc>
          <w:tcPr>
            <w:tcW w:w="520" w:type="dxa"/>
            <w:vAlign w:val="bottom"/>
            <w:shd w:val="clear" w:color="auto" w:fill="0075C9"/>
          </w:tcPr>
          <w:p>
            <w:pPr>
              <w:spacing w:after="0"/>
              <w:rPr>
                <w:sz w:val="12"/>
                <w:szCs w:val="12"/>
                <w:color w:val="auto"/>
              </w:rPr>
            </w:pPr>
          </w:p>
        </w:tc>
        <w:tc>
          <w:tcPr>
            <w:tcW w:w="2260" w:type="dxa"/>
            <w:vAlign w:val="bottom"/>
            <w:gridSpan w:val="3"/>
            <w:vMerge w:val="restart"/>
            <w:shd w:val="clear" w:color="auto" w:fill="0075C9"/>
          </w:tcPr>
          <w:p>
            <w:pPr>
              <w:jc w:val="center"/>
              <w:spacing w:after="0"/>
              <w:rPr>
                <w:sz w:val="20"/>
                <w:szCs w:val="20"/>
                <w:color w:val="auto"/>
              </w:rPr>
            </w:pPr>
            <w:r>
              <w:rPr>
                <w:rFonts w:ascii="Arial" w:cs="Arial" w:eastAsia="Arial" w:hAnsi="Arial"/>
                <w:sz w:val="13"/>
                <w:szCs w:val="13"/>
                <w:color w:val="FFFFFF"/>
              </w:rPr>
              <w:t>Estimated Future</w:t>
            </w:r>
          </w:p>
        </w:tc>
        <w:tc>
          <w:tcPr>
            <w:tcW w:w="1860" w:type="dxa"/>
            <w:vAlign w:val="bottom"/>
            <w:gridSpan w:val="3"/>
            <w:vMerge w:val="restart"/>
            <w:shd w:val="clear" w:color="auto" w:fill="0075C9"/>
          </w:tcPr>
          <w:p>
            <w:pPr>
              <w:jc w:val="center"/>
              <w:spacing w:after="0"/>
              <w:rPr>
                <w:sz w:val="20"/>
                <w:szCs w:val="20"/>
                <w:color w:val="auto"/>
              </w:rPr>
            </w:pPr>
            <w:r>
              <w:rPr>
                <w:rFonts w:ascii="Arial" w:cs="Arial" w:eastAsia="Arial" w:hAnsi="Arial"/>
                <w:sz w:val="13"/>
                <w:szCs w:val="13"/>
                <w:color w:val="FFFFFF"/>
              </w:rPr>
              <w:t>Estimated Future Payouts</w:t>
            </w:r>
          </w:p>
        </w:tc>
        <w:tc>
          <w:tcPr>
            <w:tcW w:w="720" w:type="dxa"/>
            <w:vAlign w:val="bottom"/>
          </w:tcPr>
          <w:p>
            <w:pPr>
              <w:jc w:val="center"/>
              <w:spacing w:after="0"/>
              <w:rPr>
                <w:sz w:val="20"/>
                <w:szCs w:val="20"/>
                <w:color w:val="auto"/>
              </w:rPr>
            </w:pPr>
            <w:r>
              <w:rPr>
                <w:rFonts w:ascii="Arial" w:cs="Arial" w:eastAsia="Arial" w:hAnsi="Arial"/>
                <w:sz w:val="13"/>
                <w:szCs w:val="13"/>
                <w:color w:val="FFFFFF"/>
              </w:rPr>
              <w:t>Awards:</w:t>
            </w:r>
          </w:p>
        </w:tc>
        <w:tc>
          <w:tcPr>
            <w:tcW w:w="980" w:type="dxa"/>
            <w:vAlign w:val="bottom"/>
          </w:tcPr>
          <w:p>
            <w:pPr>
              <w:jc w:val="center"/>
              <w:spacing w:after="0"/>
              <w:rPr>
                <w:sz w:val="20"/>
                <w:szCs w:val="20"/>
                <w:color w:val="auto"/>
              </w:rPr>
            </w:pPr>
            <w:r>
              <w:rPr>
                <w:rFonts w:ascii="Arial" w:cs="Arial" w:eastAsia="Arial" w:hAnsi="Arial"/>
                <w:sz w:val="13"/>
                <w:szCs w:val="13"/>
                <w:color w:val="FFFFFF"/>
              </w:rPr>
              <w:t>Number of</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shd w:val="clear" w:color="auto" w:fill="0075C9"/>
          </w:tcPr>
          <w:p>
            <w:pPr>
              <w:spacing w:after="0"/>
              <w:rPr>
                <w:sz w:val="11"/>
                <w:szCs w:val="11"/>
                <w:color w:val="auto"/>
              </w:rPr>
            </w:pPr>
          </w:p>
        </w:tc>
        <w:tc>
          <w:tcPr>
            <w:tcW w:w="100" w:type="dxa"/>
            <w:vAlign w:val="bottom"/>
            <w:shd w:val="clear" w:color="auto" w:fill="0075C9"/>
          </w:tcPr>
          <w:p>
            <w:pPr>
              <w:spacing w:after="0"/>
              <w:rPr>
                <w:sz w:val="11"/>
                <w:szCs w:val="11"/>
                <w:color w:val="auto"/>
              </w:rPr>
            </w:pPr>
          </w:p>
        </w:tc>
        <w:tc>
          <w:tcPr>
            <w:tcW w:w="680" w:type="dxa"/>
            <w:vAlign w:val="bottom"/>
            <w:shd w:val="clear" w:color="auto" w:fill="0075C9"/>
          </w:tcPr>
          <w:p>
            <w:pPr>
              <w:spacing w:after="0"/>
              <w:rPr>
                <w:sz w:val="11"/>
                <w:szCs w:val="11"/>
                <w:color w:val="auto"/>
              </w:rPr>
            </w:pPr>
          </w:p>
        </w:tc>
        <w:tc>
          <w:tcPr>
            <w:tcW w:w="520" w:type="dxa"/>
            <w:vAlign w:val="bottom"/>
            <w:shd w:val="clear" w:color="auto" w:fill="0075C9"/>
          </w:tcPr>
          <w:p>
            <w:pPr>
              <w:spacing w:after="0"/>
              <w:rPr>
                <w:sz w:val="11"/>
                <w:szCs w:val="11"/>
                <w:color w:val="auto"/>
              </w:rPr>
            </w:pPr>
          </w:p>
        </w:tc>
        <w:tc>
          <w:tcPr>
            <w:tcW w:w="2260" w:type="dxa"/>
            <w:vAlign w:val="bottom"/>
            <w:gridSpan w:val="3"/>
            <w:vMerge w:val="continue"/>
            <w:shd w:val="clear" w:color="auto" w:fill="0075C9"/>
          </w:tcPr>
          <w:p>
            <w:pPr>
              <w:spacing w:after="0"/>
              <w:rPr>
                <w:sz w:val="11"/>
                <w:szCs w:val="11"/>
                <w:color w:val="auto"/>
              </w:rPr>
            </w:pPr>
          </w:p>
        </w:tc>
        <w:tc>
          <w:tcPr>
            <w:tcW w:w="1860" w:type="dxa"/>
            <w:vAlign w:val="bottom"/>
            <w:gridSpan w:val="3"/>
            <w:vMerge w:val="continue"/>
            <w:shd w:val="clear" w:color="auto" w:fill="0075C9"/>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3"/>
                <w:szCs w:val="13"/>
                <w:color w:val="FFFFFF"/>
              </w:rPr>
              <w:t>Number</w:t>
            </w:r>
          </w:p>
        </w:tc>
        <w:tc>
          <w:tcPr>
            <w:tcW w:w="980" w:type="dxa"/>
            <w:vAlign w:val="bottom"/>
          </w:tcPr>
          <w:p>
            <w:pPr>
              <w:jc w:val="center"/>
              <w:spacing w:after="0" w:line="134" w:lineRule="exact"/>
              <w:rPr>
                <w:sz w:val="20"/>
                <w:szCs w:val="20"/>
                <w:color w:val="auto"/>
              </w:rPr>
            </w:pPr>
            <w:r>
              <w:rPr>
                <w:rFonts w:ascii="Arial" w:cs="Arial" w:eastAsia="Arial" w:hAnsi="Arial"/>
                <w:sz w:val="13"/>
                <w:szCs w:val="13"/>
                <w:color w:val="FFFFFF"/>
              </w:rPr>
              <w:t>securities</w:t>
            </w:r>
          </w:p>
        </w:tc>
        <w:tc>
          <w:tcPr>
            <w:tcW w:w="860" w:type="dxa"/>
            <w:vAlign w:val="bottom"/>
          </w:tcPr>
          <w:p>
            <w:pPr>
              <w:jc w:val="center"/>
              <w:spacing w:after="0" w:line="134" w:lineRule="exact"/>
              <w:rPr>
                <w:sz w:val="20"/>
                <w:szCs w:val="20"/>
                <w:color w:val="auto"/>
              </w:rPr>
            </w:pPr>
            <w:r>
              <w:rPr>
                <w:rFonts w:ascii="Arial" w:cs="Arial" w:eastAsia="Arial" w:hAnsi="Arial"/>
                <w:sz w:val="13"/>
                <w:szCs w:val="13"/>
                <w:color w:val="FFFFFF"/>
              </w:rPr>
              <w:t>Grant Date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0075C9"/>
          </w:tcPr>
          <w:p>
            <w:pPr>
              <w:spacing w:after="0"/>
              <w:rPr>
                <w:sz w:val="12"/>
                <w:szCs w:val="12"/>
                <w:color w:val="auto"/>
              </w:rPr>
            </w:pPr>
          </w:p>
        </w:tc>
        <w:tc>
          <w:tcPr>
            <w:tcW w:w="100" w:type="dxa"/>
            <w:vAlign w:val="bottom"/>
            <w:shd w:val="clear" w:color="auto" w:fill="0075C9"/>
          </w:tcPr>
          <w:p>
            <w:pPr>
              <w:spacing w:after="0"/>
              <w:rPr>
                <w:sz w:val="12"/>
                <w:szCs w:val="12"/>
                <w:color w:val="auto"/>
              </w:rPr>
            </w:pPr>
          </w:p>
        </w:tc>
        <w:tc>
          <w:tcPr>
            <w:tcW w:w="680" w:type="dxa"/>
            <w:vAlign w:val="bottom"/>
            <w:shd w:val="clear" w:color="auto" w:fill="0075C9"/>
          </w:tcPr>
          <w:p>
            <w:pPr>
              <w:spacing w:after="0"/>
              <w:rPr>
                <w:sz w:val="12"/>
                <w:szCs w:val="12"/>
                <w:color w:val="auto"/>
              </w:rPr>
            </w:pPr>
          </w:p>
        </w:tc>
        <w:tc>
          <w:tcPr>
            <w:tcW w:w="520" w:type="dxa"/>
            <w:vAlign w:val="bottom"/>
            <w:shd w:val="clear" w:color="auto" w:fill="0075C9"/>
          </w:tcPr>
          <w:p>
            <w:pPr>
              <w:spacing w:after="0"/>
              <w:rPr>
                <w:sz w:val="12"/>
                <w:szCs w:val="12"/>
                <w:color w:val="auto"/>
              </w:rPr>
            </w:pPr>
          </w:p>
        </w:tc>
        <w:tc>
          <w:tcPr>
            <w:tcW w:w="2260" w:type="dxa"/>
            <w:vAlign w:val="bottom"/>
            <w:gridSpan w:val="3"/>
            <w:shd w:val="clear" w:color="auto" w:fill="0075C9"/>
          </w:tcPr>
          <w:p>
            <w:pPr>
              <w:jc w:val="center"/>
              <w:spacing w:after="0"/>
              <w:rPr>
                <w:sz w:val="20"/>
                <w:szCs w:val="20"/>
                <w:color w:val="auto"/>
              </w:rPr>
            </w:pPr>
            <w:r>
              <w:rPr>
                <w:rFonts w:ascii="Arial" w:cs="Arial" w:eastAsia="Arial" w:hAnsi="Arial"/>
                <w:sz w:val="13"/>
                <w:szCs w:val="13"/>
                <w:color w:val="FFFFFF"/>
              </w:rPr>
              <w:t>Payouts Under Non-Equity</w:t>
            </w:r>
          </w:p>
        </w:tc>
        <w:tc>
          <w:tcPr>
            <w:tcW w:w="1860" w:type="dxa"/>
            <w:vAlign w:val="bottom"/>
            <w:gridSpan w:val="3"/>
            <w:shd w:val="clear" w:color="auto" w:fill="0075C9"/>
          </w:tcPr>
          <w:p>
            <w:pPr>
              <w:jc w:val="center"/>
              <w:spacing w:after="0"/>
              <w:rPr>
                <w:sz w:val="20"/>
                <w:szCs w:val="20"/>
                <w:color w:val="auto"/>
              </w:rPr>
            </w:pPr>
            <w:r>
              <w:rPr>
                <w:rFonts w:ascii="Arial" w:cs="Arial" w:eastAsia="Arial" w:hAnsi="Arial"/>
                <w:sz w:val="13"/>
                <w:szCs w:val="13"/>
                <w:color w:val="FFFFFF"/>
              </w:rPr>
              <w:t>Under Equity</w:t>
            </w:r>
          </w:p>
        </w:tc>
        <w:tc>
          <w:tcPr>
            <w:tcW w:w="720" w:type="dxa"/>
            <w:vAlign w:val="bottom"/>
          </w:tcPr>
          <w:p>
            <w:pPr>
              <w:jc w:val="center"/>
              <w:spacing w:after="0"/>
              <w:rPr>
                <w:sz w:val="20"/>
                <w:szCs w:val="20"/>
                <w:color w:val="auto"/>
              </w:rPr>
            </w:pPr>
            <w:r>
              <w:rPr>
                <w:rFonts w:ascii="Arial" w:cs="Arial" w:eastAsia="Arial" w:hAnsi="Arial"/>
                <w:sz w:val="13"/>
                <w:szCs w:val="13"/>
                <w:color w:val="FFFFFF"/>
              </w:rPr>
              <w:t>of Shares</w:t>
            </w:r>
          </w:p>
        </w:tc>
        <w:tc>
          <w:tcPr>
            <w:tcW w:w="980" w:type="dxa"/>
            <w:vAlign w:val="bottom"/>
          </w:tcPr>
          <w:p>
            <w:pPr>
              <w:jc w:val="center"/>
              <w:spacing w:after="0"/>
              <w:rPr>
                <w:sz w:val="20"/>
                <w:szCs w:val="20"/>
                <w:color w:val="auto"/>
              </w:rPr>
            </w:pPr>
            <w:r>
              <w:rPr>
                <w:rFonts w:ascii="Arial" w:cs="Arial" w:eastAsia="Arial" w:hAnsi="Arial"/>
                <w:sz w:val="13"/>
                <w:szCs w:val="13"/>
                <w:color w:val="FFFFFF"/>
              </w:rPr>
              <w:t>underlying</w:t>
            </w:r>
          </w:p>
        </w:tc>
        <w:tc>
          <w:tcPr>
            <w:tcW w:w="880" w:type="dxa"/>
            <w:vAlign w:val="bottom"/>
            <w:gridSpan w:val="2"/>
          </w:tcPr>
          <w:p>
            <w:pPr>
              <w:jc w:val="center"/>
              <w:spacing w:after="0"/>
              <w:rPr>
                <w:sz w:val="20"/>
                <w:szCs w:val="20"/>
                <w:color w:val="auto"/>
              </w:rPr>
            </w:pPr>
            <w:r>
              <w:rPr>
                <w:rFonts w:ascii="Arial" w:cs="Arial" w:eastAsia="Arial" w:hAnsi="Arial"/>
                <w:sz w:val="13"/>
                <w:szCs w:val="13"/>
                <w:color w:val="FFFFFF"/>
              </w:rPr>
              <w:t xml:space="preserve">Fair Value of   </w:t>
            </w:r>
          </w:p>
        </w:tc>
        <w:tc>
          <w:tcPr>
            <w:tcW w:w="0" w:type="dxa"/>
            <w:vAlign w:val="bottom"/>
          </w:tcPr>
          <w:p>
            <w:pPr>
              <w:spacing w:after="0"/>
              <w:rPr>
                <w:sz w:val="1"/>
                <w:szCs w:val="1"/>
                <w:color w:val="auto"/>
              </w:rPr>
            </w:pPr>
          </w:p>
        </w:tc>
      </w:tr>
      <w:tr>
        <w:trPr>
          <w:trHeight w:val="163"/>
        </w:trPr>
        <w:tc>
          <w:tcPr>
            <w:tcW w:w="3040" w:type="dxa"/>
            <w:vAlign w:val="bottom"/>
            <w:shd w:val="clear" w:color="auto" w:fill="0075C9"/>
          </w:tcPr>
          <w:p>
            <w:pPr>
              <w:spacing w:after="0"/>
              <w:rPr>
                <w:sz w:val="14"/>
                <w:szCs w:val="14"/>
                <w:color w:val="auto"/>
              </w:rPr>
            </w:pPr>
          </w:p>
        </w:tc>
        <w:tc>
          <w:tcPr>
            <w:tcW w:w="100" w:type="dxa"/>
            <w:vAlign w:val="bottom"/>
            <w:shd w:val="clear" w:color="auto" w:fill="0075C9"/>
          </w:tcPr>
          <w:p>
            <w:pPr>
              <w:spacing w:after="0"/>
              <w:rPr>
                <w:sz w:val="14"/>
                <w:szCs w:val="14"/>
                <w:color w:val="auto"/>
              </w:rPr>
            </w:pPr>
          </w:p>
        </w:tc>
        <w:tc>
          <w:tcPr>
            <w:tcW w:w="680" w:type="dxa"/>
            <w:vAlign w:val="bottom"/>
            <w:shd w:val="clear" w:color="auto" w:fill="0075C9"/>
          </w:tcPr>
          <w:p>
            <w:pPr>
              <w:spacing w:after="0"/>
              <w:rPr>
                <w:sz w:val="14"/>
                <w:szCs w:val="14"/>
                <w:color w:val="auto"/>
              </w:rPr>
            </w:pPr>
          </w:p>
        </w:tc>
        <w:tc>
          <w:tcPr>
            <w:tcW w:w="520" w:type="dxa"/>
            <w:vAlign w:val="bottom"/>
            <w:shd w:val="clear" w:color="auto" w:fill="0075C9"/>
          </w:tcPr>
          <w:p>
            <w:pPr>
              <w:spacing w:after="0"/>
              <w:rPr>
                <w:sz w:val="14"/>
                <w:szCs w:val="14"/>
                <w:color w:val="auto"/>
              </w:rPr>
            </w:pPr>
          </w:p>
        </w:tc>
        <w:tc>
          <w:tcPr>
            <w:tcW w:w="2260" w:type="dxa"/>
            <w:vAlign w:val="bottom"/>
            <w:gridSpan w:val="3"/>
            <w:shd w:val="clear" w:color="auto" w:fill="0075C9"/>
          </w:tcPr>
          <w:p>
            <w:pPr>
              <w:jc w:val="center"/>
              <w:spacing w:after="0"/>
              <w:rPr>
                <w:sz w:val="20"/>
                <w:szCs w:val="20"/>
                <w:color w:val="auto"/>
              </w:rPr>
            </w:pPr>
            <w:r>
              <w:rPr>
                <w:rFonts w:ascii="Arial" w:cs="Arial" w:eastAsia="Arial" w:hAnsi="Arial"/>
                <w:sz w:val="13"/>
                <w:szCs w:val="13"/>
                <w:color w:val="FFFFFF"/>
              </w:rPr>
              <w:t>Incentive Plan Awards</w:t>
            </w:r>
            <w:r>
              <w:rPr>
                <w:rFonts w:ascii="Arial" w:cs="Arial" w:eastAsia="Arial" w:hAnsi="Arial"/>
                <w:sz w:val="6"/>
                <w:szCs w:val="6"/>
                <w:color w:val="FFFFFF"/>
              </w:rPr>
              <w:t>(1)</w:t>
            </w:r>
          </w:p>
        </w:tc>
        <w:tc>
          <w:tcPr>
            <w:tcW w:w="1860" w:type="dxa"/>
            <w:vAlign w:val="bottom"/>
            <w:gridSpan w:val="3"/>
            <w:shd w:val="clear" w:color="auto" w:fill="0075C9"/>
          </w:tcPr>
          <w:p>
            <w:pPr>
              <w:jc w:val="center"/>
              <w:spacing w:after="0"/>
              <w:rPr>
                <w:sz w:val="20"/>
                <w:szCs w:val="20"/>
                <w:color w:val="auto"/>
              </w:rPr>
            </w:pPr>
            <w:r>
              <w:rPr>
                <w:rFonts w:ascii="Arial" w:cs="Arial" w:eastAsia="Arial" w:hAnsi="Arial"/>
                <w:sz w:val="13"/>
                <w:szCs w:val="13"/>
                <w:color w:val="FFFFFF"/>
              </w:rPr>
              <w:t>Incentive Plan Awards (#)</w:t>
            </w:r>
            <w:r>
              <w:rPr>
                <w:rFonts w:ascii="Arial" w:cs="Arial" w:eastAsia="Arial" w:hAnsi="Arial"/>
                <w:sz w:val="6"/>
                <w:szCs w:val="6"/>
                <w:color w:val="FFFFFF"/>
              </w:rPr>
              <w:t>(1)</w:t>
            </w:r>
          </w:p>
        </w:tc>
        <w:tc>
          <w:tcPr>
            <w:tcW w:w="720" w:type="dxa"/>
            <w:vAlign w:val="bottom"/>
          </w:tcPr>
          <w:p>
            <w:pPr>
              <w:jc w:val="center"/>
              <w:spacing w:after="0"/>
              <w:rPr>
                <w:sz w:val="20"/>
                <w:szCs w:val="20"/>
                <w:color w:val="auto"/>
              </w:rPr>
            </w:pPr>
            <w:r>
              <w:rPr>
                <w:rFonts w:ascii="Arial" w:cs="Arial" w:eastAsia="Arial" w:hAnsi="Arial"/>
                <w:sz w:val="13"/>
                <w:szCs w:val="13"/>
                <w:color w:val="FFFFFF"/>
              </w:rPr>
              <w:t>or Units</w:t>
            </w:r>
          </w:p>
        </w:tc>
        <w:tc>
          <w:tcPr>
            <w:tcW w:w="980" w:type="dxa"/>
            <w:vAlign w:val="bottom"/>
          </w:tcPr>
          <w:p>
            <w:pPr>
              <w:jc w:val="center"/>
              <w:spacing w:after="0"/>
              <w:rPr>
                <w:sz w:val="20"/>
                <w:szCs w:val="20"/>
                <w:color w:val="auto"/>
              </w:rPr>
            </w:pPr>
            <w:r>
              <w:rPr>
                <w:rFonts w:ascii="Arial" w:cs="Arial" w:eastAsia="Arial" w:hAnsi="Arial"/>
                <w:sz w:val="13"/>
                <w:szCs w:val="13"/>
                <w:color w:val="FFFFFF"/>
              </w:rPr>
              <w:t>options</w:t>
            </w:r>
          </w:p>
        </w:tc>
        <w:tc>
          <w:tcPr>
            <w:tcW w:w="880" w:type="dxa"/>
            <w:vAlign w:val="bottom"/>
            <w:gridSpan w:val="2"/>
          </w:tcPr>
          <w:p>
            <w:pPr>
              <w:jc w:val="center"/>
              <w:ind w:right="20"/>
              <w:spacing w:after="0"/>
              <w:rPr>
                <w:sz w:val="20"/>
                <w:szCs w:val="20"/>
                <w:color w:val="auto"/>
              </w:rPr>
            </w:pPr>
            <w:r>
              <w:rPr>
                <w:rFonts w:ascii="Arial" w:cs="Arial" w:eastAsia="Arial" w:hAnsi="Arial"/>
                <w:sz w:val="13"/>
                <w:szCs w:val="13"/>
                <w:color w:val="FFFFFF"/>
              </w:rPr>
              <w:t>Stock</w:t>
            </w:r>
          </w:p>
        </w:tc>
        <w:tc>
          <w:tcPr>
            <w:tcW w:w="0" w:type="dxa"/>
            <w:vAlign w:val="bottom"/>
          </w:tcPr>
          <w:p>
            <w:pPr>
              <w:spacing w:after="0"/>
              <w:rPr>
                <w:sz w:val="1"/>
                <w:szCs w:val="1"/>
                <w:color w:val="auto"/>
              </w:rPr>
            </w:pPr>
          </w:p>
        </w:tc>
      </w:tr>
      <w:tr>
        <w:trPr>
          <w:trHeight w:val="203"/>
        </w:trPr>
        <w:tc>
          <w:tcPr>
            <w:tcW w:w="3040" w:type="dxa"/>
            <w:vAlign w:val="bottom"/>
            <w:shd w:val="clear" w:color="auto" w:fill="0075C9"/>
          </w:tcPr>
          <w:p>
            <w:pPr>
              <w:spacing w:after="0"/>
              <w:rPr>
                <w:sz w:val="20"/>
                <w:szCs w:val="20"/>
                <w:color w:val="auto"/>
              </w:rPr>
            </w:pPr>
            <w:r>
              <w:rPr>
                <w:rFonts w:ascii="Arial" w:cs="Arial" w:eastAsia="Arial" w:hAnsi="Arial"/>
                <w:sz w:val="13"/>
                <w:szCs w:val="13"/>
                <w:color w:val="FFFFFF"/>
              </w:rPr>
              <w:t> Name</w:t>
            </w:r>
          </w:p>
        </w:tc>
        <w:tc>
          <w:tcPr>
            <w:tcW w:w="100" w:type="dxa"/>
            <w:vAlign w:val="bottom"/>
            <w:shd w:val="clear" w:color="auto" w:fill="0075C9"/>
          </w:tcPr>
          <w:p>
            <w:pPr>
              <w:spacing w:after="0"/>
              <w:rPr>
                <w:sz w:val="17"/>
                <w:szCs w:val="17"/>
                <w:color w:val="auto"/>
              </w:rPr>
            </w:pPr>
          </w:p>
        </w:tc>
        <w:tc>
          <w:tcPr>
            <w:tcW w:w="68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Grant Date</w:t>
            </w:r>
          </w:p>
        </w:tc>
        <w:tc>
          <w:tcPr>
            <w:tcW w:w="520" w:type="dxa"/>
            <w:vAlign w:val="bottom"/>
            <w:shd w:val="clear" w:color="auto" w:fill="0075C9"/>
          </w:tcPr>
          <w:p>
            <w:pPr>
              <w:spacing w:after="0"/>
              <w:rPr>
                <w:sz w:val="17"/>
                <w:szCs w:val="17"/>
                <w:color w:val="auto"/>
              </w:rPr>
            </w:pPr>
          </w:p>
        </w:tc>
        <w:tc>
          <w:tcPr>
            <w:tcW w:w="70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Threshold</w:t>
            </w:r>
          </w:p>
        </w:tc>
        <w:tc>
          <w:tcPr>
            <w:tcW w:w="78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Target</w:t>
            </w:r>
          </w:p>
        </w:tc>
        <w:tc>
          <w:tcPr>
            <w:tcW w:w="78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Maximum</w:t>
            </w:r>
          </w:p>
        </w:tc>
        <w:tc>
          <w:tcPr>
            <w:tcW w:w="70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Threshold</w:t>
            </w:r>
          </w:p>
        </w:tc>
        <w:tc>
          <w:tcPr>
            <w:tcW w:w="5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Target</w:t>
            </w:r>
          </w:p>
        </w:tc>
        <w:tc>
          <w:tcPr>
            <w:tcW w:w="64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Maximum</w:t>
            </w:r>
          </w:p>
        </w:tc>
        <w:tc>
          <w:tcPr>
            <w:tcW w:w="720" w:type="dxa"/>
            <w:vAlign w:val="bottom"/>
          </w:tcPr>
          <w:p>
            <w:pPr>
              <w:jc w:val="center"/>
              <w:spacing w:after="0"/>
              <w:rPr>
                <w:sz w:val="20"/>
                <w:szCs w:val="20"/>
                <w:color w:val="auto"/>
              </w:rPr>
            </w:pPr>
            <w:r>
              <w:rPr>
                <w:rFonts w:ascii="Arial" w:cs="Arial" w:eastAsia="Arial" w:hAnsi="Arial"/>
                <w:sz w:val="13"/>
                <w:szCs w:val="13"/>
                <w:color w:val="FFFFFF"/>
              </w:rPr>
              <w:t>(#)</w:t>
            </w:r>
          </w:p>
        </w:tc>
        <w:tc>
          <w:tcPr>
            <w:tcW w:w="980" w:type="dxa"/>
            <w:vAlign w:val="bottom"/>
          </w:tcPr>
          <w:p>
            <w:pPr>
              <w:jc w:val="center"/>
              <w:spacing w:after="0"/>
              <w:rPr>
                <w:sz w:val="20"/>
                <w:szCs w:val="20"/>
                <w:color w:val="auto"/>
              </w:rPr>
            </w:pPr>
            <w:r>
              <w:rPr>
                <w:rFonts w:ascii="Arial" w:cs="Arial" w:eastAsia="Arial" w:hAnsi="Arial"/>
                <w:sz w:val="13"/>
                <w:szCs w:val="13"/>
                <w:color w:val="FFFFFF"/>
              </w:rPr>
              <w:t>(#)</w:t>
            </w:r>
          </w:p>
        </w:tc>
        <w:tc>
          <w:tcPr>
            <w:tcW w:w="880" w:type="dxa"/>
            <w:vAlign w:val="bottom"/>
            <w:gridSpan w:val="2"/>
          </w:tcPr>
          <w:p>
            <w:pPr>
              <w:jc w:val="center"/>
              <w:ind w:right="20"/>
              <w:spacing w:after="0"/>
              <w:rPr>
                <w:sz w:val="20"/>
                <w:szCs w:val="20"/>
                <w:color w:val="auto"/>
              </w:rPr>
            </w:pPr>
            <w:r>
              <w:rPr>
                <w:rFonts w:ascii="Arial" w:cs="Arial" w:eastAsia="Arial" w:hAnsi="Arial"/>
                <w:sz w:val="13"/>
                <w:szCs w:val="13"/>
                <w:color w:val="FFFFFF"/>
              </w:rPr>
              <w:t>Awards</w:t>
            </w:r>
            <w:r>
              <w:rPr>
                <w:rFonts w:ascii="Arial" w:cs="Arial" w:eastAsia="Arial" w:hAnsi="Arial"/>
                <w:sz w:val="6"/>
                <w:szCs w:val="6"/>
                <w:color w:val="FFFFFF"/>
              </w:rPr>
              <w:t>(2)</w:t>
            </w:r>
          </w:p>
        </w:tc>
        <w:tc>
          <w:tcPr>
            <w:tcW w:w="0" w:type="dxa"/>
            <w:vAlign w:val="bottom"/>
          </w:tcPr>
          <w:p>
            <w:pPr>
              <w:spacing w:after="0"/>
              <w:rPr>
                <w:sz w:val="1"/>
                <w:szCs w:val="1"/>
                <w:color w:val="auto"/>
              </w:rPr>
            </w:pPr>
          </w:p>
        </w:tc>
      </w:tr>
      <w:tr>
        <w:trPr>
          <w:trHeight w:val="53"/>
        </w:trPr>
        <w:tc>
          <w:tcPr>
            <w:tcW w:w="3040" w:type="dxa"/>
            <w:vAlign w:val="bottom"/>
            <w:vMerge w:val="restart"/>
            <w:shd w:val="clear" w:color="auto" w:fill="0075C9"/>
          </w:tcPr>
          <w:p>
            <w:pPr>
              <w:ind w:left="1440"/>
              <w:spacing w:after="0"/>
              <w:rPr>
                <w:sz w:val="20"/>
                <w:szCs w:val="20"/>
                <w:color w:val="auto"/>
              </w:rPr>
            </w:pPr>
            <w:r>
              <w:rPr>
                <w:rFonts w:ascii="Arial" w:cs="Arial" w:eastAsia="Arial" w:hAnsi="Arial"/>
                <w:sz w:val="13"/>
                <w:szCs w:val="13"/>
                <w:color w:val="FFFFFF"/>
              </w:rPr>
              <w:t>(a)</w:t>
            </w:r>
          </w:p>
        </w:tc>
        <w:tc>
          <w:tcPr>
            <w:tcW w:w="100" w:type="dxa"/>
            <w:vAlign w:val="bottom"/>
            <w:shd w:val="clear" w:color="auto" w:fill="0075C9"/>
          </w:tcPr>
          <w:p>
            <w:pPr>
              <w:spacing w:after="0"/>
              <w:rPr>
                <w:sz w:val="4"/>
                <w:szCs w:val="4"/>
                <w:color w:val="auto"/>
              </w:rPr>
            </w:pPr>
          </w:p>
        </w:tc>
        <w:tc>
          <w:tcPr>
            <w:tcW w:w="680" w:type="dxa"/>
            <w:vAlign w:val="bottom"/>
            <w:vMerge w:val="restart"/>
            <w:shd w:val="clear" w:color="auto" w:fill="0075C9"/>
          </w:tcPr>
          <w:p>
            <w:pPr>
              <w:jc w:val="center"/>
              <w:spacing w:after="0"/>
              <w:rPr>
                <w:sz w:val="20"/>
                <w:szCs w:val="20"/>
                <w:color w:val="auto"/>
              </w:rPr>
            </w:pPr>
            <w:r>
              <w:rPr>
                <w:rFonts w:ascii="Arial" w:cs="Arial" w:eastAsia="Arial" w:hAnsi="Arial"/>
                <w:sz w:val="13"/>
                <w:szCs w:val="13"/>
                <w:color w:val="FFFFFF"/>
              </w:rPr>
              <w:t>(b)</w:t>
            </w:r>
          </w:p>
        </w:tc>
        <w:tc>
          <w:tcPr>
            <w:tcW w:w="520" w:type="dxa"/>
            <w:vAlign w:val="bottom"/>
            <w:vMerge w:val="restart"/>
            <w:shd w:val="clear" w:color="auto" w:fill="0075C9"/>
          </w:tcPr>
          <w:p>
            <w:pPr>
              <w:jc w:val="center"/>
              <w:spacing w:after="0"/>
              <w:rPr>
                <w:sz w:val="20"/>
                <w:szCs w:val="20"/>
                <w:color w:val="auto"/>
              </w:rPr>
            </w:pPr>
            <w:r>
              <w:rPr>
                <w:rFonts w:ascii="Arial" w:cs="Arial" w:eastAsia="Arial" w:hAnsi="Arial"/>
                <w:sz w:val="13"/>
                <w:szCs w:val="13"/>
                <w:color w:val="FFFFFF"/>
                <w:w w:val="99"/>
              </w:rPr>
              <w:t>Notes</w:t>
            </w:r>
          </w:p>
        </w:tc>
        <w:tc>
          <w:tcPr>
            <w:tcW w:w="700" w:type="dxa"/>
            <w:vAlign w:val="bottom"/>
            <w:vMerge w:val="restart"/>
            <w:shd w:val="clear" w:color="auto" w:fill="0075C9"/>
          </w:tcPr>
          <w:p>
            <w:pPr>
              <w:jc w:val="center"/>
              <w:spacing w:after="0"/>
              <w:rPr>
                <w:sz w:val="20"/>
                <w:szCs w:val="20"/>
                <w:color w:val="auto"/>
              </w:rPr>
            </w:pPr>
            <w:r>
              <w:rPr>
                <w:rFonts w:ascii="Arial" w:cs="Arial" w:eastAsia="Arial" w:hAnsi="Arial"/>
                <w:sz w:val="13"/>
                <w:szCs w:val="13"/>
                <w:color w:val="FFFFFF"/>
              </w:rPr>
              <w:t>(c)</w:t>
            </w:r>
          </w:p>
        </w:tc>
        <w:tc>
          <w:tcPr>
            <w:tcW w:w="780" w:type="dxa"/>
            <w:vAlign w:val="bottom"/>
            <w:vMerge w:val="restart"/>
            <w:shd w:val="clear" w:color="auto" w:fill="0075C9"/>
          </w:tcPr>
          <w:p>
            <w:pPr>
              <w:jc w:val="center"/>
              <w:spacing w:after="0"/>
              <w:rPr>
                <w:sz w:val="20"/>
                <w:szCs w:val="20"/>
                <w:color w:val="auto"/>
              </w:rPr>
            </w:pPr>
            <w:r>
              <w:rPr>
                <w:rFonts w:ascii="Arial" w:cs="Arial" w:eastAsia="Arial" w:hAnsi="Arial"/>
                <w:sz w:val="13"/>
                <w:szCs w:val="13"/>
                <w:color w:val="FFFFFF"/>
              </w:rPr>
              <w:t>(d)</w:t>
            </w:r>
          </w:p>
        </w:tc>
        <w:tc>
          <w:tcPr>
            <w:tcW w:w="780" w:type="dxa"/>
            <w:vAlign w:val="bottom"/>
            <w:vMerge w:val="restart"/>
            <w:shd w:val="clear" w:color="auto" w:fill="0075C9"/>
          </w:tcPr>
          <w:p>
            <w:pPr>
              <w:jc w:val="center"/>
              <w:spacing w:after="0"/>
              <w:rPr>
                <w:sz w:val="20"/>
                <w:szCs w:val="20"/>
                <w:color w:val="auto"/>
              </w:rPr>
            </w:pPr>
            <w:r>
              <w:rPr>
                <w:rFonts w:ascii="Arial" w:cs="Arial" w:eastAsia="Arial" w:hAnsi="Arial"/>
                <w:sz w:val="13"/>
                <w:szCs w:val="13"/>
                <w:color w:val="FFFFFF"/>
              </w:rPr>
              <w:t>(e)</w:t>
            </w:r>
          </w:p>
        </w:tc>
        <w:tc>
          <w:tcPr>
            <w:tcW w:w="700" w:type="dxa"/>
            <w:vAlign w:val="bottom"/>
            <w:vMerge w:val="restart"/>
            <w:shd w:val="clear" w:color="auto" w:fill="0075C9"/>
          </w:tcPr>
          <w:p>
            <w:pPr>
              <w:jc w:val="center"/>
              <w:spacing w:after="0"/>
              <w:rPr>
                <w:sz w:val="20"/>
                <w:szCs w:val="20"/>
                <w:color w:val="auto"/>
              </w:rPr>
            </w:pPr>
            <w:r>
              <w:rPr>
                <w:rFonts w:ascii="Arial" w:cs="Arial" w:eastAsia="Arial" w:hAnsi="Arial"/>
                <w:sz w:val="13"/>
                <w:szCs w:val="13"/>
                <w:color w:val="FFFFFF"/>
                <w:w w:val="97"/>
              </w:rPr>
              <w:t>(f)</w:t>
            </w:r>
          </w:p>
        </w:tc>
        <w:tc>
          <w:tcPr>
            <w:tcW w:w="520" w:type="dxa"/>
            <w:vAlign w:val="bottom"/>
            <w:vMerge w:val="restart"/>
            <w:shd w:val="clear" w:color="auto" w:fill="0075C9"/>
          </w:tcPr>
          <w:p>
            <w:pPr>
              <w:jc w:val="center"/>
              <w:spacing w:after="0"/>
              <w:rPr>
                <w:sz w:val="20"/>
                <w:szCs w:val="20"/>
                <w:color w:val="auto"/>
              </w:rPr>
            </w:pPr>
            <w:r>
              <w:rPr>
                <w:rFonts w:ascii="Arial" w:cs="Arial" w:eastAsia="Arial" w:hAnsi="Arial"/>
                <w:sz w:val="13"/>
                <w:szCs w:val="13"/>
                <w:color w:val="FFFFFF"/>
              </w:rPr>
              <w:t>(g)</w:t>
            </w:r>
          </w:p>
        </w:tc>
        <w:tc>
          <w:tcPr>
            <w:tcW w:w="640" w:type="dxa"/>
            <w:vAlign w:val="bottom"/>
            <w:vMerge w:val="restart"/>
            <w:shd w:val="clear" w:color="auto" w:fill="0075C9"/>
          </w:tcPr>
          <w:p>
            <w:pPr>
              <w:jc w:val="center"/>
              <w:spacing w:after="0"/>
              <w:rPr>
                <w:sz w:val="20"/>
                <w:szCs w:val="20"/>
                <w:color w:val="auto"/>
              </w:rPr>
            </w:pPr>
            <w:r>
              <w:rPr>
                <w:rFonts w:ascii="Arial" w:cs="Arial" w:eastAsia="Arial" w:hAnsi="Arial"/>
                <w:sz w:val="13"/>
                <w:szCs w:val="13"/>
                <w:color w:val="FFFFFF"/>
              </w:rPr>
              <w:t>(h)</w:t>
            </w: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040" w:type="dxa"/>
            <w:vAlign w:val="bottom"/>
            <w:vMerge w:val="continue"/>
            <w:shd w:val="clear" w:color="auto" w:fill="0075C9"/>
          </w:tcPr>
          <w:p>
            <w:pPr>
              <w:spacing w:after="0"/>
              <w:rPr>
                <w:sz w:val="15"/>
                <w:szCs w:val="15"/>
                <w:color w:val="auto"/>
              </w:rPr>
            </w:pPr>
          </w:p>
        </w:tc>
        <w:tc>
          <w:tcPr>
            <w:tcW w:w="100" w:type="dxa"/>
            <w:vAlign w:val="bottom"/>
            <w:shd w:val="clear" w:color="auto" w:fill="0075C9"/>
          </w:tcPr>
          <w:p>
            <w:pPr>
              <w:spacing w:after="0"/>
              <w:rPr>
                <w:sz w:val="15"/>
                <w:szCs w:val="15"/>
                <w:color w:val="auto"/>
              </w:rPr>
            </w:pPr>
          </w:p>
        </w:tc>
        <w:tc>
          <w:tcPr>
            <w:tcW w:w="680" w:type="dxa"/>
            <w:vAlign w:val="bottom"/>
            <w:vMerge w:val="continue"/>
            <w:shd w:val="clear" w:color="auto" w:fill="0075C9"/>
          </w:tcPr>
          <w:p>
            <w:pPr>
              <w:spacing w:after="0"/>
              <w:rPr>
                <w:sz w:val="15"/>
                <w:szCs w:val="15"/>
                <w:color w:val="auto"/>
              </w:rPr>
            </w:pPr>
          </w:p>
        </w:tc>
        <w:tc>
          <w:tcPr>
            <w:tcW w:w="520" w:type="dxa"/>
            <w:vAlign w:val="bottom"/>
            <w:vMerge w:val="continue"/>
            <w:shd w:val="clear" w:color="auto" w:fill="0075C9"/>
          </w:tcPr>
          <w:p>
            <w:pPr>
              <w:spacing w:after="0"/>
              <w:rPr>
                <w:sz w:val="15"/>
                <w:szCs w:val="15"/>
                <w:color w:val="auto"/>
              </w:rPr>
            </w:pPr>
          </w:p>
        </w:tc>
        <w:tc>
          <w:tcPr>
            <w:tcW w:w="700" w:type="dxa"/>
            <w:vAlign w:val="bottom"/>
            <w:vMerge w:val="continue"/>
            <w:shd w:val="clear" w:color="auto" w:fill="0075C9"/>
          </w:tcPr>
          <w:p>
            <w:pPr>
              <w:spacing w:after="0"/>
              <w:rPr>
                <w:sz w:val="15"/>
                <w:szCs w:val="15"/>
                <w:color w:val="auto"/>
              </w:rPr>
            </w:pPr>
          </w:p>
        </w:tc>
        <w:tc>
          <w:tcPr>
            <w:tcW w:w="780" w:type="dxa"/>
            <w:vAlign w:val="bottom"/>
            <w:vMerge w:val="continue"/>
            <w:shd w:val="clear" w:color="auto" w:fill="0075C9"/>
          </w:tcPr>
          <w:p>
            <w:pPr>
              <w:spacing w:after="0"/>
              <w:rPr>
                <w:sz w:val="15"/>
                <w:szCs w:val="15"/>
                <w:color w:val="auto"/>
              </w:rPr>
            </w:pPr>
          </w:p>
        </w:tc>
        <w:tc>
          <w:tcPr>
            <w:tcW w:w="780" w:type="dxa"/>
            <w:vAlign w:val="bottom"/>
            <w:vMerge w:val="continue"/>
            <w:shd w:val="clear" w:color="auto" w:fill="0075C9"/>
          </w:tcPr>
          <w:p>
            <w:pPr>
              <w:spacing w:after="0"/>
              <w:rPr>
                <w:sz w:val="15"/>
                <w:szCs w:val="15"/>
                <w:color w:val="auto"/>
              </w:rPr>
            </w:pPr>
          </w:p>
        </w:tc>
        <w:tc>
          <w:tcPr>
            <w:tcW w:w="700" w:type="dxa"/>
            <w:vAlign w:val="bottom"/>
            <w:vMerge w:val="continue"/>
            <w:shd w:val="clear" w:color="auto" w:fill="0075C9"/>
          </w:tcPr>
          <w:p>
            <w:pPr>
              <w:spacing w:after="0"/>
              <w:rPr>
                <w:sz w:val="15"/>
                <w:szCs w:val="15"/>
                <w:color w:val="auto"/>
              </w:rPr>
            </w:pPr>
          </w:p>
        </w:tc>
        <w:tc>
          <w:tcPr>
            <w:tcW w:w="520" w:type="dxa"/>
            <w:vAlign w:val="bottom"/>
            <w:vMerge w:val="continue"/>
            <w:shd w:val="clear" w:color="auto" w:fill="0075C9"/>
          </w:tcPr>
          <w:p>
            <w:pPr>
              <w:spacing w:after="0"/>
              <w:rPr>
                <w:sz w:val="15"/>
                <w:szCs w:val="15"/>
                <w:color w:val="auto"/>
              </w:rPr>
            </w:pPr>
          </w:p>
        </w:tc>
        <w:tc>
          <w:tcPr>
            <w:tcW w:w="640" w:type="dxa"/>
            <w:vAlign w:val="bottom"/>
            <w:vMerge w:val="continue"/>
            <w:shd w:val="clear" w:color="auto" w:fill="0075C9"/>
          </w:tcPr>
          <w:p>
            <w:pPr>
              <w:spacing w:after="0"/>
              <w:rPr>
                <w:sz w:val="15"/>
                <w:szCs w:val="15"/>
                <w:color w:val="auto"/>
              </w:rPr>
            </w:pPr>
          </w:p>
        </w:tc>
        <w:tc>
          <w:tcPr>
            <w:tcW w:w="72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(i)</w:t>
            </w:r>
          </w:p>
        </w:tc>
        <w:tc>
          <w:tcPr>
            <w:tcW w:w="98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(j)</w:t>
            </w:r>
          </w:p>
        </w:tc>
        <w:tc>
          <w:tcPr>
            <w:tcW w:w="86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E5F1F9"/>
          </w:tcPr>
          <w:p>
            <w:pPr>
              <w:ind w:left="40"/>
              <w:spacing w:after="0"/>
              <w:rPr>
                <w:sz w:val="20"/>
                <w:szCs w:val="20"/>
                <w:color w:val="auto"/>
              </w:rPr>
            </w:pPr>
            <w:r>
              <w:rPr>
                <w:rFonts w:ascii="Arial" w:cs="Arial" w:eastAsia="Arial" w:hAnsi="Arial"/>
                <w:sz w:val="13"/>
                <w:szCs w:val="13"/>
                <w:b w:val="1"/>
                <w:bCs w:val="1"/>
                <w:color w:val="auto"/>
              </w:rPr>
              <w:t>Christopher A. Viehbacher</w:t>
            </w:r>
          </w:p>
        </w:tc>
        <w:tc>
          <w:tcPr>
            <w:tcW w:w="780" w:type="dxa"/>
            <w:vAlign w:val="bottom"/>
            <w:gridSpan w:val="2"/>
            <w:shd w:val="clear" w:color="auto" w:fill="E5F1F9"/>
          </w:tcPr>
          <w:p>
            <w:pPr>
              <w:jc w:val="center"/>
              <w:ind w:left="33"/>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(3)</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$628,125</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$2,512,500</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$5,653,125</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6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E5F1F9"/>
          </w:tcPr>
          <w:p>
            <w:pPr>
              <w:spacing w:after="0"/>
              <w:rPr>
                <w:sz w:val="18"/>
                <w:szCs w:val="18"/>
                <w:color w:val="auto"/>
              </w:rPr>
            </w:pPr>
          </w:p>
        </w:tc>
        <w:tc>
          <w:tcPr>
            <w:tcW w:w="100" w:type="dxa"/>
            <w:vAlign w:val="bottom"/>
            <w:shd w:val="clear" w:color="auto" w:fill="E5F1F9"/>
          </w:tcPr>
          <w:p>
            <w:pPr>
              <w:spacing w:after="0"/>
              <w:rPr>
                <w:sz w:val="18"/>
                <w:szCs w:val="18"/>
                <w:color w:val="auto"/>
              </w:rPr>
            </w:pPr>
          </w:p>
        </w:tc>
        <w:tc>
          <w:tcPr>
            <w:tcW w:w="6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(4)</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8,693</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34,770</w:t>
            </w:r>
          </w:p>
        </w:tc>
        <w:tc>
          <w:tcPr>
            <w:tcW w:w="6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69,540</w:t>
            </w:r>
          </w:p>
        </w:tc>
        <w:tc>
          <w:tcPr>
            <w:tcW w:w="7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$6,818,397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E5F1F9"/>
          </w:tcPr>
          <w:p>
            <w:pPr>
              <w:spacing w:after="0"/>
              <w:rPr>
                <w:sz w:val="18"/>
                <w:szCs w:val="18"/>
                <w:color w:val="auto"/>
              </w:rPr>
            </w:pPr>
          </w:p>
        </w:tc>
        <w:tc>
          <w:tcPr>
            <w:tcW w:w="100" w:type="dxa"/>
            <w:vAlign w:val="bottom"/>
            <w:shd w:val="clear" w:color="auto" w:fill="E5F1F9"/>
          </w:tcPr>
          <w:p>
            <w:pPr>
              <w:spacing w:after="0"/>
              <w:rPr>
                <w:sz w:val="18"/>
                <w:szCs w:val="18"/>
                <w:color w:val="auto"/>
              </w:rPr>
            </w:pPr>
          </w:p>
        </w:tc>
        <w:tc>
          <w:tcPr>
            <w:tcW w:w="6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(5)</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17,385</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34,770</w:t>
            </w:r>
          </w:p>
        </w:tc>
        <w:tc>
          <w:tcPr>
            <w:tcW w:w="6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69,540</w:t>
            </w:r>
          </w:p>
        </w:tc>
        <w:tc>
          <w:tcPr>
            <w:tcW w:w="7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$4,950,205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40" w:type="dxa"/>
            <w:vAlign w:val="bottom"/>
            <w:tcBorders>
              <w:bottom w:val="single" w:sz="8" w:color="E5F1F9"/>
            </w:tcBorders>
            <w:shd w:val="clear" w:color="auto" w:fill="E5F1F9"/>
          </w:tcPr>
          <w:p>
            <w:pPr>
              <w:spacing w:after="0"/>
              <w:rPr>
                <w:sz w:val="21"/>
                <w:szCs w:val="21"/>
                <w:color w:val="auto"/>
              </w:rPr>
            </w:pPr>
          </w:p>
        </w:tc>
        <w:tc>
          <w:tcPr>
            <w:tcW w:w="100" w:type="dxa"/>
            <w:vAlign w:val="bottom"/>
            <w:tcBorders>
              <w:bottom w:val="single" w:sz="8" w:color="E5F1F9"/>
            </w:tcBorders>
            <w:shd w:val="clear" w:color="auto" w:fill="E5F1F9"/>
          </w:tcPr>
          <w:p>
            <w:pPr>
              <w:spacing w:after="0"/>
              <w:rPr>
                <w:sz w:val="21"/>
                <w:szCs w:val="21"/>
                <w:color w:val="auto"/>
              </w:rPr>
            </w:pPr>
          </w:p>
        </w:tc>
        <w:tc>
          <w:tcPr>
            <w:tcW w:w="6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(6)</w:t>
            </w:r>
          </w:p>
        </w:tc>
        <w:tc>
          <w:tcPr>
            <w:tcW w:w="7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46,360</w:t>
            </w:r>
          </w:p>
        </w:tc>
        <w:tc>
          <w:tcPr>
            <w:tcW w:w="9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$6,600,273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040" w:type="dxa"/>
            <w:vAlign w:val="bottom"/>
            <w:tcBorders>
              <w:top w:val="single" w:sz="8" w:color="auto"/>
            </w:tcBorders>
            <w:shd w:val="clear" w:color="auto" w:fill="B2D5EE"/>
          </w:tcPr>
          <w:p>
            <w:pPr>
              <w:ind w:left="40"/>
              <w:spacing w:after="0"/>
              <w:rPr>
                <w:sz w:val="20"/>
                <w:szCs w:val="20"/>
                <w:color w:val="auto"/>
              </w:rPr>
            </w:pPr>
            <w:r>
              <w:rPr>
                <w:rFonts w:ascii="Arial" w:cs="Arial" w:eastAsia="Arial" w:hAnsi="Arial"/>
                <w:sz w:val="13"/>
                <w:szCs w:val="13"/>
                <w:b w:val="1"/>
                <w:bCs w:val="1"/>
                <w:color w:val="auto"/>
              </w:rPr>
              <w:t>Robin C. Kramer</w:t>
            </w:r>
          </w:p>
        </w:tc>
        <w:tc>
          <w:tcPr>
            <w:tcW w:w="780" w:type="dxa"/>
            <w:vAlign w:val="bottom"/>
            <w:tcBorders>
              <w:top w:val="single" w:sz="8" w:color="auto"/>
            </w:tcBorders>
            <w:gridSpan w:val="2"/>
            <w:shd w:val="clear" w:color="auto" w:fill="B2D5EE"/>
          </w:tcPr>
          <w:p>
            <w:pPr>
              <w:jc w:val="center"/>
              <w:ind w:left="33"/>
              <w:spacing w:after="0"/>
              <w:rPr>
                <w:sz w:val="20"/>
                <w:szCs w:val="20"/>
                <w:color w:val="auto"/>
              </w:rPr>
            </w:pPr>
            <w:r>
              <w:rPr>
                <w:rFonts w:ascii="Arial" w:cs="Arial" w:eastAsia="Arial" w:hAnsi="Arial"/>
                <w:sz w:val="13"/>
                <w:szCs w:val="13"/>
                <w:color w:val="auto"/>
              </w:rPr>
              <w:t>02/06/2025</w:t>
            </w:r>
          </w:p>
        </w:tc>
        <w:tc>
          <w:tcPr>
            <w:tcW w:w="52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(3)</w:t>
            </w:r>
          </w:p>
        </w:tc>
        <w:tc>
          <w:tcPr>
            <w:tcW w:w="70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$141,062</w:t>
            </w:r>
          </w:p>
        </w:tc>
        <w:tc>
          <w:tcPr>
            <w:tcW w:w="78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$564,247</w:t>
            </w:r>
          </w:p>
        </w:tc>
        <w:tc>
          <w:tcPr>
            <w:tcW w:w="78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$1,269,555</w:t>
            </w:r>
          </w:p>
        </w:tc>
        <w:tc>
          <w:tcPr>
            <w:tcW w:w="70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B2D5EE"/>
          </w:tcPr>
          <w:p>
            <w:pPr>
              <w:spacing w:after="0"/>
              <w:rPr>
                <w:sz w:val="18"/>
                <w:szCs w:val="18"/>
                <w:color w:val="auto"/>
              </w:rPr>
            </w:pPr>
          </w:p>
        </w:tc>
        <w:tc>
          <w:tcPr>
            <w:tcW w:w="100" w:type="dxa"/>
            <w:vAlign w:val="bottom"/>
            <w:shd w:val="clear" w:color="auto" w:fill="B2D5EE"/>
          </w:tcPr>
          <w:p>
            <w:pPr>
              <w:spacing w:after="0"/>
              <w:rPr>
                <w:sz w:val="18"/>
                <w:szCs w:val="18"/>
                <w:color w:val="auto"/>
              </w:rPr>
            </w:pPr>
          </w:p>
        </w:tc>
        <w:tc>
          <w:tcPr>
            <w:tcW w:w="6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(4)</w:t>
            </w:r>
          </w:p>
        </w:tc>
        <w:tc>
          <w:tcPr>
            <w:tcW w:w="7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1,975</w:t>
            </w:r>
          </w:p>
        </w:tc>
        <w:tc>
          <w:tcPr>
            <w:tcW w:w="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7,900</w:t>
            </w:r>
          </w:p>
        </w:tc>
        <w:tc>
          <w:tcPr>
            <w:tcW w:w="6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15,800</w:t>
            </w:r>
          </w:p>
        </w:tc>
        <w:tc>
          <w:tcPr>
            <w:tcW w:w="7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$1,549,190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B2D5EE"/>
          </w:tcPr>
          <w:p>
            <w:pPr>
              <w:spacing w:after="0"/>
              <w:rPr>
                <w:sz w:val="18"/>
                <w:szCs w:val="18"/>
                <w:color w:val="auto"/>
              </w:rPr>
            </w:pPr>
          </w:p>
        </w:tc>
        <w:tc>
          <w:tcPr>
            <w:tcW w:w="100" w:type="dxa"/>
            <w:vAlign w:val="bottom"/>
            <w:shd w:val="clear" w:color="auto" w:fill="B2D5EE"/>
          </w:tcPr>
          <w:p>
            <w:pPr>
              <w:spacing w:after="0"/>
              <w:rPr>
                <w:sz w:val="18"/>
                <w:szCs w:val="18"/>
                <w:color w:val="auto"/>
              </w:rPr>
            </w:pPr>
          </w:p>
        </w:tc>
        <w:tc>
          <w:tcPr>
            <w:tcW w:w="6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(5)</w:t>
            </w:r>
          </w:p>
        </w:tc>
        <w:tc>
          <w:tcPr>
            <w:tcW w:w="7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3,950</w:t>
            </w:r>
          </w:p>
        </w:tc>
        <w:tc>
          <w:tcPr>
            <w:tcW w:w="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7,900</w:t>
            </w:r>
          </w:p>
        </w:tc>
        <w:tc>
          <w:tcPr>
            <w:tcW w:w="6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15,800</w:t>
            </w:r>
          </w:p>
        </w:tc>
        <w:tc>
          <w:tcPr>
            <w:tcW w:w="7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$1,124,723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40" w:type="dxa"/>
            <w:vAlign w:val="bottom"/>
            <w:tcBorders>
              <w:bottom w:val="single" w:sz="8" w:color="B2D5EE"/>
            </w:tcBorders>
            <w:shd w:val="clear" w:color="auto" w:fill="B2D5EE"/>
          </w:tcPr>
          <w:p>
            <w:pPr>
              <w:spacing w:after="0"/>
              <w:rPr>
                <w:sz w:val="21"/>
                <w:szCs w:val="21"/>
                <w:color w:val="auto"/>
              </w:rPr>
            </w:pPr>
          </w:p>
        </w:tc>
        <w:tc>
          <w:tcPr>
            <w:tcW w:w="100" w:type="dxa"/>
            <w:vAlign w:val="bottom"/>
            <w:tcBorders>
              <w:bottom w:val="single" w:sz="8" w:color="B2D5EE"/>
            </w:tcBorders>
            <w:shd w:val="clear" w:color="auto" w:fill="B2D5EE"/>
          </w:tcPr>
          <w:p>
            <w:pPr>
              <w:spacing w:after="0"/>
              <w:rPr>
                <w:sz w:val="21"/>
                <w:szCs w:val="21"/>
                <w:color w:val="auto"/>
              </w:rPr>
            </w:pPr>
          </w:p>
        </w:tc>
        <w:tc>
          <w:tcPr>
            <w:tcW w:w="6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(6)</w:t>
            </w:r>
          </w:p>
        </w:tc>
        <w:tc>
          <w:tcPr>
            <w:tcW w:w="7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10,535</w:t>
            </w:r>
          </w:p>
        </w:tc>
        <w:tc>
          <w:tcPr>
            <w:tcW w:w="9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$1,499,868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040" w:type="dxa"/>
            <w:vAlign w:val="bottom"/>
            <w:tcBorders>
              <w:top w:val="single" w:sz="8" w:color="auto"/>
            </w:tcBorders>
            <w:shd w:val="clear" w:color="auto" w:fill="E5F1F9"/>
          </w:tcPr>
          <w:p>
            <w:pPr>
              <w:ind w:left="40"/>
              <w:spacing w:after="0"/>
              <w:rPr>
                <w:sz w:val="20"/>
                <w:szCs w:val="20"/>
                <w:color w:val="auto"/>
              </w:rPr>
            </w:pPr>
            <w:r>
              <w:rPr>
                <w:rFonts w:ascii="Arial" w:cs="Arial" w:eastAsia="Arial" w:hAnsi="Arial"/>
                <w:sz w:val="13"/>
                <w:szCs w:val="13"/>
                <w:b w:val="1"/>
                <w:bCs w:val="1"/>
                <w:color w:val="auto"/>
              </w:rPr>
              <w:t>Susan H. Alexander</w:t>
            </w:r>
          </w:p>
        </w:tc>
        <w:tc>
          <w:tcPr>
            <w:tcW w:w="780" w:type="dxa"/>
            <w:vAlign w:val="bottom"/>
            <w:tcBorders>
              <w:top w:val="single" w:sz="8" w:color="auto"/>
            </w:tcBorders>
            <w:gridSpan w:val="2"/>
            <w:shd w:val="clear" w:color="auto" w:fill="E5F1F9"/>
          </w:tcPr>
          <w:p>
            <w:pPr>
              <w:jc w:val="center"/>
              <w:ind w:left="33"/>
              <w:spacing w:after="0"/>
              <w:rPr>
                <w:sz w:val="20"/>
                <w:szCs w:val="20"/>
                <w:color w:val="auto"/>
              </w:rPr>
            </w:pPr>
            <w:r>
              <w:rPr>
                <w:rFonts w:ascii="Arial" w:cs="Arial" w:eastAsia="Arial" w:hAnsi="Arial"/>
                <w:sz w:val="13"/>
                <w:szCs w:val="13"/>
                <w:color w:val="auto"/>
              </w:rPr>
              <w:t>02/06/2025</w:t>
            </w:r>
          </w:p>
        </w:tc>
        <w:tc>
          <w:tcPr>
            <w:tcW w:w="52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(3)</w:t>
            </w:r>
          </w:p>
        </w:tc>
        <w:tc>
          <w:tcPr>
            <w:tcW w:w="70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$199,141</w:t>
            </w:r>
          </w:p>
        </w:tc>
        <w:tc>
          <w:tcPr>
            <w:tcW w:w="78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$796,565</w:t>
            </w:r>
          </w:p>
        </w:tc>
        <w:tc>
          <w:tcPr>
            <w:tcW w:w="78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$1,792,271</w:t>
            </w:r>
          </w:p>
        </w:tc>
        <w:tc>
          <w:tcPr>
            <w:tcW w:w="70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E5F1F9"/>
          </w:tcPr>
          <w:p>
            <w:pPr>
              <w:spacing w:after="0"/>
              <w:rPr>
                <w:sz w:val="18"/>
                <w:szCs w:val="18"/>
                <w:color w:val="auto"/>
              </w:rPr>
            </w:pPr>
          </w:p>
        </w:tc>
        <w:tc>
          <w:tcPr>
            <w:tcW w:w="100" w:type="dxa"/>
            <w:vAlign w:val="bottom"/>
            <w:shd w:val="clear" w:color="auto" w:fill="E5F1F9"/>
          </w:tcPr>
          <w:p>
            <w:pPr>
              <w:spacing w:after="0"/>
              <w:rPr>
                <w:sz w:val="18"/>
                <w:szCs w:val="18"/>
                <w:color w:val="auto"/>
              </w:rPr>
            </w:pPr>
          </w:p>
        </w:tc>
        <w:tc>
          <w:tcPr>
            <w:tcW w:w="6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(4)</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2,766</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11,065</w:t>
            </w:r>
          </w:p>
        </w:tc>
        <w:tc>
          <w:tcPr>
            <w:tcW w:w="6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22,130</w:t>
            </w:r>
          </w:p>
        </w:tc>
        <w:tc>
          <w:tcPr>
            <w:tcW w:w="7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$2,169,847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E5F1F9"/>
          </w:tcPr>
          <w:p>
            <w:pPr>
              <w:spacing w:after="0"/>
              <w:rPr>
                <w:sz w:val="18"/>
                <w:szCs w:val="18"/>
                <w:color w:val="auto"/>
              </w:rPr>
            </w:pPr>
          </w:p>
        </w:tc>
        <w:tc>
          <w:tcPr>
            <w:tcW w:w="100" w:type="dxa"/>
            <w:vAlign w:val="bottom"/>
            <w:shd w:val="clear" w:color="auto" w:fill="E5F1F9"/>
          </w:tcPr>
          <w:p>
            <w:pPr>
              <w:spacing w:after="0"/>
              <w:rPr>
                <w:sz w:val="18"/>
                <w:szCs w:val="18"/>
                <w:color w:val="auto"/>
              </w:rPr>
            </w:pPr>
          </w:p>
        </w:tc>
        <w:tc>
          <w:tcPr>
            <w:tcW w:w="6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(5)</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5,533</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11,065</w:t>
            </w:r>
          </w:p>
        </w:tc>
        <w:tc>
          <w:tcPr>
            <w:tcW w:w="6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22,130</w:t>
            </w:r>
          </w:p>
        </w:tc>
        <w:tc>
          <w:tcPr>
            <w:tcW w:w="7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$1,575,324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40" w:type="dxa"/>
            <w:vAlign w:val="bottom"/>
            <w:tcBorders>
              <w:bottom w:val="single" w:sz="8" w:color="E5F1F9"/>
            </w:tcBorders>
            <w:shd w:val="clear" w:color="auto" w:fill="E5F1F9"/>
          </w:tcPr>
          <w:p>
            <w:pPr>
              <w:spacing w:after="0"/>
              <w:rPr>
                <w:sz w:val="21"/>
                <w:szCs w:val="21"/>
                <w:color w:val="auto"/>
              </w:rPr>
            </w:pPr>
          </w:p>
        </w:tc>
        <w:tc>
          <w:tcPr>
            <w:tcW w:w="100" w:type="dxa"/>
            <w:vAlign w:val="bottom"/>
            <w:tcBorders>
              <w:bottom w:val="single" w:sz="8" w:color="E5F1F9"/>
            </w:tcBorders>
            <w:shd w:val="clear" w:color="auto" w:fill="E5F1F9"/>
          </w:tcPr>
          <w:p>
            <w:pPr>
              <w:spacing w:after="0"/>
              <w:rPr>
                <w:sz w:val="21"/>
                <w:szCs w:val="21"/>
                <w:color w:val="auto"/>
              </w:rPr>
            </w:pPr>
          </w:p>
        </w:tc>
        <w:tc>
          <w:tcPr>
            <w:tcW w:w="6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(6)</w:t>
            </w:r>
          </w:p>
        </w:tc>
        <w:tc>
          <w:tcPr>
            <w:tcW w:w="7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14,750</w:t>
            </w:r>
          </w:p>
        </w:tc>
        <w:tc>
          <w:tcPr>
            <w:tcW w:w="9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$2,099,958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040" w:type="dxa"/>
            <w:vAlign w:val="bottom"/>
            <w:tcBorders>
              <w:top w:val="single" w:sz="8" w:color="auto"/>
            </w:tcBorders>
            <w:shd w:val="clear" w:color="auto" w:fill="B2D5EE"/>
          </w:tcPr>
          <w:p>
            <w:pPr>
              <w:ind w:left="40"/>
              <w:spacing w:after="0"/>
              <w:rPr>
                <w:sz w:val="20"/>
                <w:szCs w:val="20"/>
                <w:color w:val="auto"/>
              </w:rPr>
            </w:pPr>
            <w:r>
              <w:rPr>
                <w:rFonts w:ascii="Arial" w:cs="Arial" w:eastAsia="Arial" w:hAnsi="Arial"/>
                <w:sz w:val="13"/>
                <w:szCs w:val="13"/>
                <w:b w:val="1"/>
                <w:bCs w:val="1"/>
                <w:color w:val="auto"/>
              </w:rPr>
              <w:t>Priya A. Singhal</w:t>
            </w:r>
          </w:p>
        </w:tc>
        <w:tc>
          <w:tcPr>
            <w:tcW w:w="780" w:type="dxa"/>
            <w:vAlign w:val="bottom"/>
            <w:tcBorders>
              <w:top w:val="single" w:sz="8" w:color="auto"/>
            </w:tcBorders>
            <w:gridSpan w:val="2"/>
            <w:shd w:val="clear" w:color="auto" w:fill="B2D5EE"/>
          </w:tcPr>
          <w:p>
            <w:pPr>
              <w:jc w:val="center"/>
              <w:ind w:left="33"/>
              <w:spacing w:after="0"/>
              <w:rPr>
                <w:sz w:val="20"/>
                <w:szCs w:val="20"/>
                <w:color w:val="auto"/>
              </w:rPr>
            </w:pPr>
            <w:r>
              <w:rPr>
                <w:rFonts w:ascii="Arial" w:cs="Arial" w:eastAsia="Arial" w:hAnsi="Arial"/>
                <w:sz w:val="13"/>
                <w:szCs w:val="13"/>
                <w:color w:val="auto"/>
              </w:rPr>
              <w:t>02/06/2025</w:t>
            </w:r>
          </w:p>
        </w:tc>
        <w:tc>
          <w:tcPr>
            <w:tcW w:w="52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(3)</w:t>
            </w:r>
          </w:p>
        </w:tc>
        <w:tc>
          <w:tcPr>
            <w:tcW w:w="70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$170,156</w:t>
            </w:r>
          </w:p>
        </w:tc>
        <w:tc>
          <w:tcPr>
            <w:tcW w:w="78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$680,625</w:t>
            </w:r>
          </w:p>
        </w:tc>
        <w:tc>
          <w:tcPr>
            <w:tcW w:w="78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$1,531,406</w:t>
            </w:r>
          </w:p>
        </w:tc>
        <w:tc>
          <w:tcPr>
            <w:tcW w:w="70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top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B2D5EE"/>
          </w:tcPr>
          <w:p>
            <w:pPr>
              <w:spacing w:after="0"/>
              <w:rPr>
                <w:sz w:val="18"/>
                <w:szCs w:val="18"/>
                <w:color w:val="auto"/>
              </w:rPr>
            </w:pPr>
          </w:p>
        </w:tc>
        <w:tc>
          <w:tcPr>
            <w:tcW w:w="100" w:type="dxa"/>
            <w:vAlign w:val="bottom"/>
            <w:shd w:val="clear" w:color="auto" w:fill="B2D5EE"/>
          </w:tcPr>
          <w:p>
            <w:pPr>
              <w:spacing w:after="0"/>
              <w:rPr>
                <w:sz w:val="18"/>
                <w:szCs w:val="18"/>
                <w:color w:val="auto"/>
              </w:rPr>
            </w:pPr>
          </w:p>
        </w:tc>
        <w:tc>
          <w:tcPr>
            <w:tcW w:w="6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(4)</w:t>
            </w:r>
          </w:p>
        </w:tc>
        <w:tc>
          <w:tcPr>
            <w:tcW w:w="7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2,634</w:t>
            </w:r>
          </w:p>
        </w:tc>
        <w:tc>
          <w:tcPr>
            <w:tcW w:w="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10,535</w:t>
            </w:r>
          </w:p>
        </w:tc>
        <w:tc>
          <w:tcPr>
            <w:tcW w:w="6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21,070</w:t>
            </w:r>
          </w:p>
        </w:tc>
        <w:tc>
          <w:tcPr>
            <w:tcW w:w="7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$2,065,914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B2D5EE"/>
          </w:tcPr>
          <w:p>
            <w:pPr>
              <w:spacing w:after="0"/>
              <w:rPr>
                <w:sz w:val="18"/>
                <w:szCs w:val="18"/>
                <w:color w:val="auto"/>
              </w:rPr>
            </w:pPr>
          </w:p>
        </w:tc>
        <w:tc>
          <w:tcPr>
            <w:tcW w:w="100" w:type="dxa"/>
            <w:vAlign w:val="bottom"/>
            <w:shd w:val="clear" w:color="auto" w:fill="B2D5EE"/>
          </w:tcPr>
          <w:p>
            <w:pPr>
              <w:spacing w:after="0"/>
              <w:rPr>
                <w:sz w:val="18"/>
                <w:szCs w:val="18"/>
                <w:color w:val="auto"/>
              </w:rPr>
            </w:pPr>
          </w:p>
        </w:tc>
        <w:tc>
          <w:tcPr>
            <w:tcW w:w="6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(5)</w:t>
            </w:r>
          </w:p>
        </w:tc>
        <w:tc>
          <w:tcPr>
            <w:tcW w:w="7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5,268</w:t>
            </w:r>
          </w:p>
        </w:tc>
        <w:tc>
          <w:tcPr>
            <w:tcW w:w="5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10,535</w:t>
            </w:r>
          </w:p>
        </w:tc>
        <w:tc>
          <w:tcPr>
            <w:tcW w:w="6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21,070</w:t>
            </w:r>
          </w:p>
        </w:tc>
        <w:tc>
          <w:tcPr>
            <w:tcW w:w="72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$1,499,868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40" w:type="dxa"/>
            <w:vAlign w:val="bottom"/>
            <w:tcBorders>
              <w:bottom w:val="single" w:sz="8" w:color="B2D5EE"/>
            </w:tcBorders>
            <w:shd w:val="clear" w:color="auto" w:fill="B2D5EE"/>
          </w:tcPr>
          <w:p>
            <w:pPr>
              <w:spacing w:after="0"/>
              <w:rPr>
                <w:sz w:val="21"/>
                <w:szCs w:val="21"/>
                <w:color w:val="auto"/>
              </w:rPr>
            </w:pPr>
          </w:p>
        </w:tc>
        <w:tc>
          <w:tcPr>
            <w:tcW w:w="100" w:type="dxa"/>
            <w:vAlign w:val="bottom"/>
            <w:tcBorders>
              <w:bottom w:val="single" w:sz="8" w:color="B2D5EE"/>
            </w:tcBorders>
            <w:shd w:val="clear" w:color="auto" w:fill="B2D5EE"/>
          </w:tcPr>
          <w:p>
            <w:pPr>
              <w:spacing w:after="0"/>
              <w:rPr>
                <w:sz w:val="21"/>
                <w:szCs w:val="21"/>
                <w:color w:val="auto"/>
              </w:rPr>
            </w:pPr>
          </w:p>
        </w:tc>
        <w:tc>
          <w:tcPr>
            <w:tcW w:w="6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(6)</w:t>
            </w:r>
          </w:p>
        </w:tc>
        <w:tc>
          <w:tcPr>
            <w:tcW w:w="7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14,050</w:t>
            </w:r>
          </w:p>
        </w:tc>
        <w:tc>
          <w:tcPr>
            <w:tcW w:w="9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$2,000,299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040" w:type="dxa"/>
            <w:vAlign w:val="bottom"/>
            <w:tcBorders>
              <w:top w:val="single" w:sz="8" w:color="auto"/>
            </w:tcBorders>
            <w:shd w:val="clear" w:color="auto" w:fill="E5F1F9"/>
          </w:tcPr>
          <w:p>
            <w:pPr>
              <w:ind w:left="40"/>
              <w:spacing w:after="0"/>
              <w:rPr>
                <w:sz w:val="20"/>
                <w:szCs w:val="20"/>
                <w:color w:val="auto"/>
              </w:rPr>
            </w:pPr>
            <w:r>
              <w:rPr>
                <w:rFonts w:ascii="Arial" w:cs="Arial" w:eastAsia="Arial" w:hAnsi="Arial"/>
                <w:sz w:val="13"/>
                <w:szCs w:val="13"/>
                <w:b w:val="1"/>
                <w:bCs w:val="1"/>
                <w:color w:val="auto"/>
              </w:rPr>
              <w:t>Nicole C. Murphy</w:t>
            </w:r>
          </w:p>
        </w:tc>
        <w:tc>
          <w:tcPr>
            <w:tcW w:w="780" w:type="dxa"/>
            <w:vAlign w:val="bottom"/>
            <w:tcBorders>
              <w:top w:val="single" w:sz="8" w:color="auto"/>
            </w:tcBorders>
            <w:gridSpan w:val="2"/>
            <w:shd w:val="clear" w:color="auto" w:fill="E5F1F9"/>
          </w:tcPr>
          <w:p>
            <w:pPr>
              <w:jc w:val="center"/>
              <w:ind w:left="33"/>
              <w:spacing w:after="0"/>
              <w:rPr>
                <w:sz w:val="20"/>
                <w:szCs w:val="20"/>
                <w:color w:val="auto"/>
              </w:rPr>
            </w:pPr>
            <w:r>
              <w:rPr>
                <w:rFonts w:ascii="Arial" w:cs="Arial" w:eastAsia="Arial" w:hAnsi="Arial"/>
                <w:sz w:val="13"/>
                <w:szCs w:val="13"/>
                <w:color w:val="auto"/>
              </w:rPr>
              <w:t>02/06/2025</w:t>
            </w:r>
          </w:p>
        </w:tc>
        <w:tc>
          <w:tcPr>
            <w:tcW w:w="52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(3)</w:t>
            </w:r>
          </w:p>
        </w:tc>
        <w:tc>
          <w:tcPr>
            <w:tcW w:w="70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$167,379</w:t>
            </w:r>
          </w:p>
        </w:tc>
        <w:tc>
          <w:tcPr>
            <w:tcW w:w="78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$669,516</w:t>
            </w:r>
          </w:p>
        </w:tc>
        <w:tc>
          <w:tcPr>
            <w:tcW w:w="78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$1,506,411</w:t>
            </w:r>
          </w:p>
        </w:tc>
        <w:tc>
          <w:tcPr>
            <w:tcW w:w="70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top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E5F1F9"/>
          </w:tcPr>
          <w:p>
            <w:pPr>
              <w:spacing w:after="0"/>
              <w:rPr>
                <w:sz w:val="18"/>
                <w:szCs w:val="18"/>
                <w:color w:val="auto"/>
              </w:rPr>
            </w:pPr>
          </w:p>
        </w:tc>
        <w:tc>
          <w:tcPr>
            <w:tcW w:w="100" w:type="dxa"/>
            <w:vAlign w:val="bottom"/>
            <w:shd w:val="clear" w:color="auto" w:fill="E5F1F9"/>
          </w:tcPr>
          <w:p>
            <w:pPr>
              <w:spacing w:after="0"/>
              <w:rPr>
                <w:sz w:val="18"/>
                <w:szCs w:val="18"/>
                <w:color w:val="auto"/>
              </w:rPr>
            </w:pPr>
          </w:p>
        </w:tc>
        <w:tc>
          <w:tcPr>
            <w:tcW w:w="6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(4)</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2,634</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10,535</w:t>
            </w:r>
          </w:p>
        </w:tc>
        <w:tc>
          <w:tcPr>
            <w:tcW w:w="6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21,070</w:t>
            </w:r>
          </w:p>
        </w:tc>
        <w:tc>
          <w:tcPr>
            <w:tcW w:w="7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$2,065,914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E5F1F9"/>
          </w:tcPr>
          <w:p>
            <w:pPr>
              <w:spacing w:after="0"/>
              <w:rPr>
                <w:sz w:val="18"/>
                <w:szCs w:val="18"/>
                <w:color w:val="auto"/>
              </w:rPr>
            </w:pPr>
          </w:p>
        </w:tc>
        <w:tc>
          <w:tcPr>
            <w:tcW w:w="100" w:type="dxa"/>
            <w:vAlign w:val="bottom"/>
            <w:shd w:val="clear" w:color="auto" w:fill="E5F1F9"/>
          </w:tcPr>
          <w:p>
            <w:pPr>
              <w:spacing w:after="0"/>
              <w:rPr>
                <w:sz w:val="18"/>
                <w:szCs w:val="18"/>
                <w:color w:val="auto"/>
              </w:rPr>
            </w:pPr>
          </w:p>
        </w:tc>
        <w:tc>
          <w:tcPr>
            <w:tcW w:w="6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(5)</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5,268</w:t>
            </w:r>
          </w:p>
        </w:tc>
        <w:tc>
          <w:tcPr>
            <w:tcW w:w="5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10,535</w:t>
            </w:r>
          </w:p>
        </w:tc>
        <w:tc>
          <w:tcPr>
            <w:tcW w:w="6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21,070</w:t>
            </w:r>
          </w:p>
        </w:tc>
        <w:tc>
          <w:tcPr>
            <w:tcW w:w="72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$1,499,868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tcBorders>
              <w:bottom w:val="single" w:sz="8" w:color="E5F1F9"/>
            </w:tcBorders>
            <w:shd w:val="clear" w:color="auto" w:fill="E5F1F9"/>
          </w:tcPr>
          <w:p>
            <w:pPr>
              <w:spacing w:after="0"/>
              <w:rPr>
                <w:sz w:val="19"/>
                <w:szCs w:val="19"/>
                <w:color w:val="auto"/>
              </w:rPr>
            </w:pPr>
          </w:p>
        </w:tc>
        <w:tc>
          <w:tcPr>
            <w:tcW w:w="100" w:type="dxa"/>
            <w:vAlign w:val="bottom"/>
            <w:tcBorders>
              <w:bottom w:val="single" w:sz="8" w:color="E5F1F9"/>
            </w:tcBorders>
            <w:shd w:val="clear" w:color="auto" w:fill="E5F1F9"/>
          </w:tcPr>
          <w:p>
            <w:pPr>
              <w:spacing w:after="0"/>
              <w:rPr>
                <w:sz w:val="19"/>
                <w:szCs w:val="19"/>
                <w:color w:val="auto"/>
              </w:rPr>
            </w:pPr>
          </w:p>
        </w:tc>
        <w:tc>
          <w:tcPr>
            <w:tcW w:w="6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02/06/2025</w:t>
            </w:r>
          </w:p>
        </w:tc>
        <w:tc>
          <w:tcPr>
            <w:tcW w:w="5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(6)</w:t>
            </w:r>
          </w:p>
        </w:tc>
        <w:tc>
          <w:tcPr>
            <w:tcW w:w="7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14,050</w:t>
            </w:r>
          </w:p>
        </w:tc>
        <w:tc>
          <w:tcPr>
            <w:tcW w:w="9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$2,000,299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-3068320</wp:posOffset>
            </wp:positionV>
            <wp:extent cx="2588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Notes to the 2025 Grants of Plan-Based Awards Table</w:t>
      </w:r>
    </w:p>
    <w:p>
      <w:pPr>
        <w:spacing w:after="0" w:line="70"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Reflects the potential future payouts of awards granted in 2025 under our 2025 STI program and our LTI program as of the respective grant dates.</w:t>
      </w:r>
    </w:p>
    <w:p>
      <w:pPr>
        <w:spacing w:after="0" w:line="15" w:lineRule="exact"/>
        <w:rPr>
          <w:rFonts w:ascii="Arial" w:cs="Arial" w:eastAsia="Arial" w:hAnsi="Arial"/>
          <w:sz w:val="14"/>
          <w:szCs w:val="14"/>
          <w:color w:val="auto"/>
        </w:rPr>
      </w:pPr>
    </w:p>
    <w:p>
      <w:pPr>
        <w:ind w:left="540" w:right="60" w:hanging="424"/>
        <w:spacing w:after="0" w:line="264" w:lineRule="auto"/>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the grant date fair value of PSUs and RSUs, as applicable, computed in accordance with ASC 718, excluding the effect of estimated forfeitures. The grant date fair value for rTSR PSU awards is determined as of the date of grant using a lattice model with a Monte Carlo</w:t>
      </w:r>
    </w:p>
    <w:p>
      <w:pPr>
        <w:spacing w:after="0" w:line="11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-53-</w:t>
      </w:r>
    </w:p>
    <w:p>
      <w:pPr>
        <w:sectPr>
          <w:pgSz w:w="11900" w:h="16838" w:orient="portrait"/>
          <w:cols w:equalWidth="0" w:num="1">
            <w:col w:w="11160"/>
          </w:cols>
          <w:pgMar w:left="320" w:top="482" w:right="4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320"/>
        <w:spacing w:after="0"/>
        <w:rPr>
          <w:sz w:val="20"/>
          <w:szCs w:val="20"/>
          <w:color w:val="auto"/>
        </w:rPr>
      </w:pPr>
      <w:r>
        <w:rPr>
          <w:rFonts w:ascii="Arial" w:cs="Arial" w:eastAsia="Arial" w:hAnsi="Arial"/>
          <w:sz w:val="19"/>
          <w:szCs w:val="19"/>
          <w:color w:val="0075C9"/>
        </w:rPr>
        <w:t>Executive Compensation Tables</w:t>
      </w:r>
    </w:p>
    <w:p>
      <w:pPr>
        <w:spacing w:after="0" w:line="158" w:lineRule="exact"/>
        <w:rPr>
          <w:sz w:val="20"/>
          <w:szCs w:val="20"/>
          <w:color w:val="auto"/>
        </w:rPr>
      </w:pPr>
    </w:p>
    <w:p>
      <w:pPr>
        <w:ind w:left="540" w:right="100"/>
        <w:spacing w:after="0" w:line="246" w:lineRule="auto"/>
        <w:rPr>
          <w:sz w:val="20"/>
          <w:szCs w:val="20"/>
          <w:color w:val="auto"/>
        </w:rPr>
      </w:pPr>
      <w:r>
        <w:rPr>
          <w:rFonts w:ascii="Arial" w:cs="Arial" w:eastAsia="Arial" w:hAnsi="Arial"/>
          <w:sz w:val="14"/>
          <w:szCs w:val="14"/>
          <w:color w:val="auto"/>
        </w:rPr>
        <w:t>simulation based on the probable outcome of applicable performance conditions. In addition, the grant date fair value for EPS CAGR PSUs and RSUs is determined as of the date of grant using the closing price of our common stock on the grant date. The assumptions used to calculate the grant date fair value of stock awards are included in footnote 16 of our 2025 Annual Report on Form 10-K. The maximum payouts for these awards are included in the footnotes following the Summary Compensation Table above.</w:t>
      </w:r>
    </w:p>
    <w:p>
      <w:pPr>
        <w:spacing w:after="0" w:line="2" w:lineRule="exact"/>
        <w:rPr>
          <w:sz w:val="20"/>
          <w:szCs w:val="20"/>
          <w:color w:val="auto"/>
        </w:rPr>
      </w:pPr>
    </w:p>
    <w:p>
      <w:pPr>
        <w:ind w:left="540" w:right="100" w:hanging="424"/>
        <w:spacing w:after="0" w:line="241"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These amounts relate to our 2025 STI program. The amounts shown in column (d) represent the 2025 target payout amount based on the target percentage applied to each NEO’s base salary as of December 31, 2025. For 2025, the bonus targets were 150% of base salary for Mr. Viehbacher, 80% of base salary for Ms. Kramer and Ms. Alexander and 75% of base salary for Ms. Murphy and Dr. Singhal. For Ms. Kramer, the amounts reported are based on a prorated bonus target for 2025 based on the March 1, 2025, promotion date. The amounts in column (c), (d) and (e) represent a payment if the Company Multiplier and the Individual Multiplier were each 50%, 100% and 150%, respectively. Actual amounts paid to each NEO under our 2025 STI program are included in the “Non-Equity Incentive Plan Compensation” column of the Summary Compensation Table above.</w:t>
      </w:r>
    </w:p>
    <w:p>
      <w:pPr>
        <w:spacing w:after="0" w:line="2" w:lineRule="exact"/>
        <w:rPr>
          <w:rFonts w:ascii="Arial" w:cs="Arial" w:eastAsia="Arial" w:hAnsi="Arial"/>
          <w:sz w:val="14"/>
          <w:szCs w:val="14"/>
          <w:color w:val="auto"/>
        </w:rPr>
      </w:pPr>
    </w:p>
    <w:p>
      <w:pPr>
        <w:ind w:left="540" w:right="60" w:hanging="424"/>
        <w:spacing w:after="0" w:line="241"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These amounts relate to the annual grant of rTSR PSUs. The rTSR PSUs are earned based on three-year cumulative rTSR performance after the end of a three-year performance period (1/1/25-12/31/27) and vest on the third anniversary of the date of grant. The number and value shown in columns (g) and (k), respectively, assume target performance results. For additional information on the rTSR PSU awards, please see “Long-Term Incentives” on page 43.</w:t>
      </w:r>
    </w:p>
    <w:p>
      <w:pPr>
        <w:spacing w:after="0" w:line="1" w:lineRule="exact"/>
        <w:rPr>
          <w:rFonts w:ascii="Arial" w:cs="Arial" w:eastAsia="Arial" w:hAnsi="Arial"/>
          <w:sz w:val="14"/>
          <w:szCs w:val="14"/>
          <w:color w:val="auto"/>
        </w:rPr>
      </w:pPr>
    </w:p>
    <w:p>
      <w:pPr>
        <w:ind w:left="540" w:right="200" w:hanging="424"/>
        <w:spacing w:after="0" w:line="241"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These amounts relate to the annual grant of EPS CAGR PSUs. The EPS CAGR PSUs are earned based on three-year compound annual growth EPS performance after the end of a three-year performance period (1/1/25-12/31/27) and vest on the third anniversary of the date of grant. The number and value shown in columns</w:t>
      </w:r>
    </w:p>
    <w:p>
      <w:pPr>
        <w:ind w:left="540"/>
        <w:spacing w:after="0"/>
        <w:rPr>
          <w:rFonts w:ascii="Arial" w:cs="Arial" w:eastAsia="Arial" w:hAnsi="Arial"/>
          <w:sz w:val="14"/>
          <w:szCs w:val="14"/>
          <w:color w:val="auto"/>
        </w:rPr>
      </w:pPr>
      <w:r>
        <w:rPr>
          <w:rFonts w:ascii="Arial" w:cs="Arial" w:eastAsia="Arial" w:hAnsi="Arial"/>
          <w:sz w:val="14"/>
          <w:szCs w:val="14"/>
          <w:color w:val="auto"/>
        </w:rPr>
        <w:t>(g) and (k), respectively, assume target performance results. For additional information on the EPS CAGR PSU awards, please see “Long-Term Incentives” on</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page 43.</w:t>
      </w:r>
    </w:p>
    <w:p>
      <w:pPr>
        <w:spacing w:after="0" w:line="1" w:lineRule="exact"/>
        <w:rPr>
          <w:sz w:val="20"/>
          <w:szCs w:val="20"/>
          <w:color w:val="auto"/>
        </w:rPr>
      </w:pPr>
    </w:p>
    <w:p>
      <w:pPr>
        <w:ind w:left="540" w:right="220" w:hanging="424"/>
        <w:spacing w:after="0" w:line="264" w:lineRule="auto"/>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These amounts relate to the annual grant of RSUs. The RSU awards will be eligible to vest in approximately equal annual installments on the first, second and third anniversaries of the grant date.</w:t>
      </w:r>
    </w:p>
    <w:p>
      <w:pPr>
        <w:spacing w:after="0" w:line="11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-54-</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320"/>
        <w:spacing w:after="0"/>
        <w:rPr>
          <w:sz w:val="20"/>
          <w:szCs w:val="20"/>
          <w:color w:val="auto"/>
        </w:rPr>
      </w:pPr>
      <w:r>
        <w:rPr>
          <w:rFonts w:ascii="Arial" w:cs="Arial" w:eastAsia="Arial" w:hAnsi="Arial"/>
          <w:sz w:val="19"/>
          <w:szCs w:val="19"/>
          <w:color w:val="0075C9"/>
        </w:rPr>
        <w:t>Executive Compensation Tables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Outstanding Equity Awards at 2025 Fiscal Year-End</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equity awards that were outstanding as of December 31, 2025, for each of our NEOs.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820" w:type="dxa"/>
            <w:vAlign w:val="bottom"/>
            <w:shd w:val="clear" w:color="auto" w:fill="0075C9"/>
          </w:tcPr>
          <w:p>
            <w:pPr>
              <w:spacing w:after="0"/>
              <w:rPr>
                <w:sz w:val="16"/>
                <w:szCs w:val="16"/>
                <w:color w:val="auto"/>
              </w:rPr>
            </w:pPr>
          </w:p>
        </w:tc>
        <w:tc>
          <w:tcPr>
            <w:tcW w:w="720" w:type="dxa"/>
            <w:vAlign w:val="bottom"/>
            <w:shd w:val="clear" w:color="auto" w:fill="0075C9"/>
          </w:tcPr>
          <w:p>
            <w:pPr>
              <w:spacing w:after="0"/>
              <w:rPr>
                <w:sz w:val="16"/>
                <w:szCs w:val="16"/>
                <w:color w:val="auto"/>
              </w:rPr>
            </w:pPr>
          </w:p>
        </w:tc>
        <w:tc>
          <w:tcPr>
            <w:tcW w:w="500" w:type="dxa"/>
            <w:vAlign w:val="bottom"/>
            <w:shd w:val="clear" w:color="auto" w:fill="0075C9"/>
          </w:tcPr>
          <w:p>
            <w:pPr>
              <w:spacing w:after="0"/>
              <w:rPr>
                <w:sz w:val="16"/>
                <w:szCs w:val="16"/>
                <w:color w:val="auto"/>
              </w:rPr>
            </w:pPr>
          </w:p>
        </w:tc>
        <w:tc>
          <w:tcPr>
            <w:tcW w:w="950" w:type="dxa"/>
            <w:vAlign w:val="bottom"/>
            <w:shd w:val="clear" w:color="auto" w:fill="0075C9"/>
          </w:tcPr>
          <w:p>
            <w:pPr>
              <w:spacing w:after="0"/>
              <w:rPr>
                <w:sz w:val="16"/>
                <w:szCs w:val="16"/>
                <w:color w:val="auto"/>
              </w:rPr>
            </w:pPr>
          </w:p>
        </w:tc>
        <w:tc>
          <w:tcPr>
            <w:tcW w:w="1630" w:type="dxa"/>
            <w:vAlign w:val="bottom"/>
            <w:gridSpan w:val="2"/>
            <w:shd w:val="clear" w:color="auto" w:fill="0075C9"/>
          </w:tcPr>
          <w:p>
            <w:pPr>
              <w:ind w:left="330"/>
              <w:spacing w:after="0"/>
              <w:rPr>
                <w:sz w:val="20"/>
                <w:szCs w:val="20"/>
                <w:color w:val="auto"/>
              </w:rPr>
            </w:pPr>
            <w:r>
              <w:rPr>
                <w:rFonts w:ascii="Arial" w:cs="Arial" w:eastAsia="Arial" w:hAnsi="Arial"/>
                <w:sz w:val="13"/>
                <w:szCs w:val="13"/>
                <w:color w:val="FFFFFF"/>
              </w:rPr>
              <w:t>Option Awards</w:t>
            </w:r>
          </w:p>
        </w:tc>
        <w:tc>
          <w:tcPr>
            <w:tcW w:w="740" w:type="dxa"/>
            <w:vAlign w:val="bottom"/>
            <w:shd w:val="clear" w:color="auto" w:fill="0075C9"/>
          </w:tcPr>
          <w:p>
            <w:pPr>
              <w:spacing w:after="0"/>
              <w:rPr>
                <w:sz w:val="16"/>
                <w:szCs w:val="16"/>
                <w:color w:val="auto"/>
              </w:rPr>
            </w:pPr>
          </w:p>
        </w:tc>
        <w:tc>
          <w:tcPr>
            <w:tcW w:w="780" w:type="dxa"/>
            <w:vAlign w:val="bottom"/>
            <w:shd w:val="clear" w:color="auto" w:fill="0075C9"/>
          </w:tcPr>
          <w:p>
            <w:pPr>
              <w:spacing w:after="0"/>
              <w:rPr>
                <w:sz w:val="16"/>
                <w:szCs w:val="16"/>
                <w:color w:val="auto"/>
              </w:rPr>
            </w:pPr>
          </w:p>
        </w:tc>
        <w:tc>
          <w:tcPr>
            <w:tcW w:w="1800" w:type="dxa"/>
            <w:vAlign w:val="bottom"/>
            <w:gridSpan w:val="2"/>
            <w:shd w:val="clear" w:color="auto" w:fill="0075C9"/>
          </w:tcPr>
          <w:p>
            <w:pPr>
              <w:ind w:left="700"/>
              <w:spacing w:after="0"/>
              <w:rPr>
                <w:sz w:val="20"/>
                <w:szCs w:val="20"/>
                <w:color w:val="auto"/>
              </w:rPr>
            </w:pPr>
            <w:r>
              <w:rPr>
                <w:rFonts w:ascii="Arial" w:cs="Arial" w:eastAsia="Arial" w:hAnsi="Arial"/>
                <w:sz w:val="13"/>
                <w:szCs w:val="13"/>
                <w:color w:val="FFFFFF"/>
              </w:rPr>
              <w:t>Stock Awards</w:t>
            </w:r>
          </w:p>
        </w:tc>
        <w:tc>
          <w:tcPr>
            <w:tcW w:w="1080" w:type="dxa"/>
            <w:vAlign w:val="bottom"/>
            <w:shd w:val="clear" w:color="auto" w:fill="0075C9"/>
          </w:tcPr>
          <w:p>
            <w:pPr>
              <w:spacing w:after="0"/>
              <w:rPr>
                <w:sz w:val="16"/>
                <w:szCs w:val="16"/>
                <w:color w:val="auto"/>
              </w:rPr>
            </w:pPr>
          </w:p>
        </w:tc>
      </w:tr>
      <w:tr>
        <w:trPr>
          <w:trHeight w:val="149"/>
        </w:trPr>
        <w:tc>
          <w:tcPr>
            <w:tcW w:w="2820" w:type="dxa"/>
            <w:vAlign w:val="bottom"/>
            <w:shd w:val="clear" w:color="auto" w:fill="0075C9"/>
          </w:tcPr>
          <w:p>
            <w:pPr>
              <w:spacing w:after="0"/>
              <w:rPr>
                <w:sz w:val="12"/>
                <w:szCs w:val="12"/>
                <w:color w:val="auto"/>
              </w:rPr>
            </w:pPr>
          </w:p>
        </w:tc>
        <w:tc>
          <w:tcPr>
            <w:tcW w:w="720" w:type="dxa"/>
            <w:vAlign w:val="bottom"/>
            <w:shd w:val="clear" w:color="auto" w:fill="0075C9"/>
          </w:tcPr>
          <w:p>
            <w:pPr>
              <w:spacing w:after="0"/>
              <w:rPr>
                <w:sz w:val="12"/>
                <w:szCs w:val="12"/>
                <w:color w:val="auto"/>
              </w:rPr>
            </w:pPr>
          </w:p>
        </w:tc>
        <w:tc>
          <w:tcPr>
            <w:tcW w:w="500" w:type="dxa"/>
            <w:vAlign w:val="bottom"/>
            <w:shd w:val="clear" w:color="auto" w:fill="0075C9"/>
          </w:tcPr>
          <w:p>
            <w:pPr>
              <w:spacing w:after="0"/>
              <w:rPr>
                <w:sz w:val="12"/>
                <w:szCs w:val="12"/>
                <w:color w:val="auto"/>
              </w:rPr>
            </w:pPr>
          </w:p>
        </w:tc>
        <w:tc>
          <w:tcPr>
            <w:tcW w:w="950" w:type="dxa"/>
            <w:vAlign w:val="bottom"/>
            <w:shd w:val="clear" w:color="auto" w:fill="0075C9"/>
          </w:tcPr>
          <w:p>
            <w:pPr>
              <w:spacing w:after="0"/>
              <w:rPr>
                <w:sz w:val="12"/>
                <w:szCs w:val="12"/>
                <w:color w:val="auto"/>
              </w:rPr>
            </w:pPr>
          </w:p>
        </w:tc>
        <w:tc>
          <w:tcPr>
            <w:tcW w:w="970" w:type="dxa"/>
            <w:vAlign w:val="bottom"/>
            <w:shd w:val="clear" w:color="auto" w:fill="0075C9"/>
          </w:tcPr>
          <w:p>
            <w:pPr>
              <w:spacing w:after="0"/>
              <w:rPr>
                <w:sz w:val="12"/>
                <w:szCs w:val="12"/>
                <w:color w:val="auto"/>
              </w:rPr>
            </w:pPr>
          </w:p>
        </w:tc>
        <w:tc>
          <w:tcPr>
            <w:tcW w:w="660" w:type="dxa"/>
            <w:vAlign w:val="bottom"/>
            <w:shd w:val="clear" w:color="auto" w:fill="0075C9"/>
          </w:tcPr>
          <w:p>
            <w:pPr>
              <w:spacing w:after="0"/>
              <w:rPr>
                <w:sz w:val="12"/>
                <w:szCs w:val="12"/>
                <w:color w:val="auto"/>
              </w:rPr>
            </w:pPr>
          </w:p>
        </w:tc>
        <w:tc>
          <w:tcPr>
            <w:tcW w:w="740" w:type="dxa"/>
            <w:vAlign w:val="bottom"/>
            <w:shd w:val="clear" w:color="auto" w:fill="0075C9"/>
          </w:tcPr>
          <w:p>
            <w:pPr>
              <w:spacing w:after="0"/>
              <w:rPr>
                <w:sz w:val="12"/>
                <w:szCs w:val="12"/>
                <w:color w:val="auto"/>
              </w:rPr>
            </w:pPr>
          </w:p>
        </w:tc>
        <w:tc>
          <w:tcPr>
            <w:tcW w:w="780" w:type="dxa"/>
            <w:vAlign w:val="bottom"/>
            <w:shd w:val="clear" w:color="auto" w:fill="0075C9"/>
          </w:tcPr>
          <w:p>
            <w:pPr>
              <w:spacing w:after="0"/>
              <w:rPr>
                <w:sz w:val="12"/>
                <w:szCs w:val="12"/>
                <w:color w:val="auto"/>
              </w:rPr>
            </w:pPr>
          </w:p>
        </w:tc>
        <w:tc>
          <w:tcPr>
            <w:tcW w:w="920" w:type="dxa"/>
            <w:vAlign w:val="bottom"/>
            <w:shd w:val="clear" w:color="auto" w:fill="0075C9"/>
          </w:tcPr>
          <w:p>
            <w:pPr>
              <w:spacing w:after="0"/>
              <w:rPr>
                <w:sz w:val="12"/>
                <w:szCs w:val="12"/>
                <w:color w:val="auto"/>
              </w:rPr>
            </w:pPr>
          </w:p>
        </w:tc>
        <w:tc>
          <w:tcPr>
            <w:tcW w:w="1960" w:type="dxa"/>
            <w:vAlign w:val="bottom"/>
            <w:gridSpan w:val="2"/>
            <w:shd w:val="clear" w:color="auto" w:fill="0075C9"/>
          </w:tcPr>
          <w:p>
            <w:pPr>
              <w:ind w:left="220"/>
              <w:spacing w:after="0"/>
              <w:rPr>
                <w:sz w:val="20"/>
                <w:szCs w:val="20"/>
                <w:color w:val="auto"/>
              </w:rPr>
            </w:pPr>
            <w:r>
              <w:rPr>
                <w:rFonts w:ascii="Arial" w:cs="Arial" w:eastAsia="Arial" w:hAnsi="Arial"/>
                <w:sz w:val="13"/>
                <w:szCs w:val="13"/>
                <w:color w:val="FFFFFF"/>
              </w:rPr>
              <w:t> Equity Incentive Plan Awards</w:t>
            </w:r>
          </w:p>
        </w:tc>
      </w:tr>
      <w:tr>
        <w:trPr>
          <w:trHeight w:val="131"/>
        </w:trPr>
        <w:tc>
          <w:tcPr>
            <w:tcW w:w="2820" w:type="dxa"/>
            <w:vAlign w:val="bottom"/>
            <w:shd w:val="clear" w:color="auto" w:fill="0075C9"/>
          </w:tcPr>
          <w:p>
            <w:pPr>
              <w:spacing w:after="0"/>
              <w:rPr>
                <w:sz w:val="11"/>
                <w:szCs w:val="11"/>
                <w:color w:val="auto"/>
              </w:rPr>
            </w:pPr>
          </w:p>
        </w:tc>
        <w:tc>
          <w:tcPr>
            <w:tcW w:w="720" w:type="dxa"/>
            <w:vAlign w:val="bottom"/>
            <w:shd w:val="clear" w:color="auto" w:fill="0075C9"/>
          </w:tcPr>
          <w:p>
            <w:pPr>
              <w:spacing w:after="0"/>
              <w:rPr>
                <w:sz w:val="11"/>
                <w:szCs w:val="11"/>
                <w:color w:val="auto"/>
              </w:rPr>
            </w:pPr>
          </w:p>
        </w:tc>
        <w:tc>
          <w:tcPr>
            <w:tcW w:w="500" w:type="dxa"/>
            <w:vAlign w:val="bottom"/>
            <w:shd w:val="clear" w:color="auto" w:fill="0075C9"/>
          </w:tcPr>
          <w:p>
            <w:pPr>
              <w:spacing w:after="0"/>
              <w:rPr>
                <w:sz w:val="11"/>
                <w:szCs w:val="11"/>
                <w:color w:val="auto"/>
              </w:rPr>
            </w:pPr>
          </w:p>
        </w:tc>
        <w:tc>
          <w:tcPr>
            <w:tcW w:w="950" w:type="dxa"/>
            <w:vAlign w:val="bottom"/>
            <w:shd w:val="clear" w:color="auto" w:fill="0075C9"/>
          </w:tcPr>
          <w:p>
            <w:pPr>
              <w:jc w:val="center"/>
              <w:ind w:left="27"/>
              <w:spacing w:after="0" w:line="131" w:lineRule="exact"/>
              <w:rPr>
                <w:sz w:val="20"/>
                <w:szCs w:val="20"/>
                <w:color w:val="auto"/>
              </w:rPr>
            </w:pPr>
            <w:r>
              <w:rPr>
                <w:rFonts w:ascii="Arial" w:cs="Arial" w:eastAsia="Arial" w:hAnsi="Arial"/>
                <w:sz w:val="13"/>
                <w:szCs w:val="13"/>
                <w:color w:val="FFFFFF"/>
                <w:w w:val="98"/>
              </w:rPr>
              <w:t>Number of</w:t>
            </w:r>
          </w:p>
        </w:tc>
        <w:tc>
          <w:tcPr>
            <w:tcW w:w="970" w:type="dxa"/>
            <w:vAlign w:val="bottom"/>
            <w:shd w:val="clear" w:color="auto" w:fill="0075C9"/>
          </w:tcPr>
          <w:p>
            <w:pPr>
              <w:jc w:val="center"/>
              <w:spacing w:after="0" w:line="131" w:lineRule="exact"/>
              <w:rPr>
                <w:sz w:val="20"/>
                <w:szCs w:val="20"/>
                <w:color w:val="auto"/>
              </w:rPr>
            </w:pPr>
            <w:r>
              <w:rPr>
                <w:rFonts w:ascii="Arial" w:cs="Arial" w:eastAsia="Arial" w:hAnsi="Arial"/>
                <w:sz w:val="13"/>
                <w:szCs w:val="13"/>
                <w:color w:val="FFFFFF"/>
                <w:w w:val="98"/>
              </w:rPr>
              <w:t>Number of</w:t>
            </w:r>
          </w:p>
        </w:tc>
        <w:tc>
          <w:tcPr>
            <w:tcW w:w="660" w:type="dxa"/>
            <w:vAlign w:val="bottom"/>
            <w:shd w:val="clear" w:color="auto" w:fill="0075C9"/>
          </w:tcPr>
          <w:p>
            <w:pPr>
              <w:spacing w:after="0"/>
              <w:rPr>
                <w:sz w:val="11"/>
                <w:szCs w:val="11"/>
                <w:color w:val="auto"/>
              </w:rPr>
            </w:pPr>
          </w:p>
        </w:tc>
        <w:tc>
          <w:tcPr>
            <w:tcW w:w="740" w:type="dxa"/>
            <w:vAlign w:val="bottom"/>
            <w:shd w:val="clear" w:color="auto" w:fill="0075C9"/>
          </w:tcPr>
          <w:p>
            <w:pPr>
              <w:spacing w:after="0"/>
              <w:rPr>
                <w:sz w:val="11"/>
                <w:szCs w:val="11"/>
                <w:color w:val="auto"/>
              </w:rPr>
            </w:pPr>
          </w:p>
        </w:tc>
        <w:tc>
          <w:tcPr>
            <w:tcW w:w="780" w:type="dxa"/>
            <w:vAlign w:val="bottom"/>
            <w:shd w:val="clear" w:color="auto" w:fill="0075C9"/>
          </w:tcPr>
          <w:p>
            <w:pPr>
              <w:jc w:val="center"/>
              <w:spacing w:after="0" w:line="131" w:lineRule="exact"/>
              <w:rPr>
                <w:sz w:val="20"/>
                <w:szCs w:val="20"/>
                <w:color w:val="auto"/>
              </w:rPr>
            </w:pPr>
            <w:r>
              <w:rPr>
                <w:rFonts w:ascii="Arial" w:cs="Arial" w:eastAsia="Arial" w:hAnsi="Arial"/>
                <w:sz w:val="13"/>
                <w:szCs w:val="13"/>
                <w:color w:val="FFFFFF"/>
                <w:w w:val="95"/>
              </w:rPr>
              <w:t>Number of</w:t>
            </w:r>
          </w:p>
        </w:tc>
        <w:tc>
          <w:tcPr>
            <w:tcW w:w="920" w:type="dxa"/>
            <w:vAlign w:val="bottom"/>
            <w:shd w:val="clear" w:color="auto" w:fill="0075C9"/>
          </w:tcPr>
          <w:p>
            <w:pPr>
              <w:spacing w:after="0"/>
              <w:rPr>
                <w:sz w:val="11"/>
                <w:szCs w:val="11"/>
                <w:color w:val="auto"/>
              </w:rPr>
            </w:pPr>
          </w:p>
        </w:tc>
        <w:tc>
          <w:tcPr>
            <w:tcW w:w="880" w:type="dxa"/>
            <w:vAlign w:val="bottom"/>
            <w:shd w:val="clear" w:color="auto" w:fill="0075C9"/>
          </w:tcPr>
          <w:p>
            <w:pPr>
              <w:jc w:val="center"/>
              <w:ind w:left="97"/>
              <w:spacing w:after="0" w:line="131" w:lineRule="exact"/>
              <w:rPr>
                <w:sz w:val="20"/>
                <w:szCs w:val="20"/>
                <w:color w:val="auto"/>
              </w:rPr>
            </w:pPr>
            <w:r>
              <w:rPr>
                <w:rFonts w:ascii="Arial" w:cs="Arial" w:eastAsia="Arial" w:hAnsi="Arial"/>
                <w:sz w:val="13"/>
                <w:szCs w:val="13"/>
                <w:color w:val="FFFFFF"/>
                <w:w w:val="98"/>
              </w:rPr>
              <w:t>Number of</w:t>
            </w:r>
          </w:p>
        </w:tc>
        <w:tc>
          <w:tcPr>
            <w:tcW w:w="1080" w:type="dxa"/>
            <w:vAlign w:val="bottom"/>
            <w:shd w:val="clear" w:color="auto" w:fill="0075C9"/>
          </w:tcPr>
          <w:p>
            <w:pPr>
              <w:jc w:val="center"/>
              <w:ind w:left="97"/>
              <w:spacing w:after="0" w:line="131" w:lineRule="exact"/>
              <w:rPr>
                <w:sz w:val="20"/>
                <w:szCs w:val="20"/>
                <w:color w:val="auto"/>
              </w:rPr>
            </w:pPr>
            <w:r>
              <w:rPr>
                <w:rFonts w:ascii="Arial" w:cs="Arial" w:eastAsia="Arial" w:hAnsi="Arial"/>
                <w:sz w:val="13"/>
                <w:szCs w:val="13"/>
                <w:color w:val="FFFFFF"/>
                <w:w w:val="93"/>
              </w:rPr>
              <w:t>Market Value</w:t>
            </w:r>
          </w:p>
        </w:tc>
      </w:tr>
      <w:tr>
        <w:trPr>
          <w:trHeight w:val="135"/>
        </w:trPr>
        <w:tc>
          <w:tcPr>
            <w:tcW w:w="2820" w:type="dxa"/>
            <w:vAlign w:val="bottom"/>
            <w:shd w:val="clear" w:color="auto" w:fill="0075C9"/>
          </w:tcPr>
          <w:p>
            <w:pPr>
              <w:spacing w:after="0"/>
              <w:rPr>
                <w:sz w:val="11"/>
                <w:szCs w:val="11"/>
                <w:color w:val="auto"/>
              </w:rPr>
            </w:pPr>
          </w:p>
        </w:tc>
        <w:tc>
          <w:tcPr>
            <w:tcW w:w="720" w:type="dxa"/>
            <w:vAlign w:val="bottom"/>
            <w:shd w:val="clear" w:color="auto" w:fill="0075C9"/>
          </w:tcPr>
          <w:p>
            <w:pPr>
              <w:spacing w:after="0"/>
              <w:rPr>
                <w:sz w:val="11"/>
                <w:szCs w:val="11"/>
                <w:color w:val="auto"/>
              </w:rPr>
            </w:pPr>
          </w:p>
        </w:tc>
        <w:tc>
          <w:tcPr>
            <w:tcW w:w="500" w:type="dxa"/>
            <w:vAlign w:val="bottom"/>
            <w:shd w:val="clear" w:color="auto" w:fill="0075C9"/>
          </w:tcPr>
          <w:p>
            <w:pPr>
              <w:spacing w:after="0"/>
              <w:rPr>
                <w:sz w:val="11"/>
                <w:szCs w:val="11"/>
                <w:color w:val="auto"/>
              </w:rPr>
            </w:pPr>
          </w:p>
        </w:tc>
        <w:tc>
          <w:tcPr>
            <w:tcW w:w="950" w:type="dxa"/>
            <w:vAlign w:val="bottom"/>
            <w:shd w:val="clear" w:color="auto" w:fill="0075C9"/>
          </w:tcPr>
          <w:p>
            <w:pPr>
              <w:jc w:val="center"/>
              <w:ind w:left="27"/>
              <w:spacing w:after="0" w:line="135" w:lineRule="exact"/>
              <w:rPr>
                <w:sz w:val="20"/>
                <w:szCs w:val="20"/>
                <w:color w:val="auto"/>
              </w:rPr>
            </w:pPr>
            <w:r>
              <w:rPr>
                <w:rFonts w:ascii="Arial" w:cs="Arial" w:eastAsia="Arial" w:hAnsi="Arial"/>
                <w:sz w:val="13"/>
                <w:szCs w:val="13"/>
                <w:color w:val="FFFFFF"/>
                <w:w w:val="98"/>
              </w:rPr>
              <w:t>Securities</w:t>
            </w:r>
          </w:p>
        </w:tc>
        <w:tc>
          <w:tcPr>
            <w:tcW w:w="97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8"/>
              </w:rPr>
              <w:t>Securities</w:t>
            </w:r>
          </w:p>
        </w:tc>
        <w:tc>
          <w:tcPr>
            <w:tcW w:w="660" w:type="dxa"/>
            <w:vAlign w:val="bottom"/>
            <w:shd w:val="clear" w:color="auto" w:fill="0075C9"/>
          </w:tcPr>
          <w:p>
            <w:pPr>
              <w:spacing w:after="0"/>
              <w:rPr>
                <w:sz w:val="11"/>
                <w:szCs w:val="11"/>
                <w:color w:val="auto"/>
              </w:rPr>
            </w:pPr>
          </w:p>
        </w:tc>
        <w:tc>
          <w:tcPr>
            <w:tcW w:w="740" w:type="dxa"/>
            <w:vAlign w:val="bottom"/>
            <w:shd w:val="clear" w:color="auto" w:fill="0075C9"/>
          </w:tcPr>
          <w:p>
            <w:pPr>
              <w:spacing w:after="0"/>
              <w:rPr>
                <w:sz w:val="11"/>
                <w:szCs w:val="11"/>
                <w:color w:val="auto"/>
              </w:rPr>
            </w:pPr>
          </w:p>
        </w:tc>
        <w:tc>
          <w:tcPr>
            <w:tcW w:w="7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5"/>
              </w:rPr>
              <w:t>Shares or</w:t>
            </w:r>
          </w:p>
        </w:tc>
        <w:tc>
          <w:tcPr>
            <w:tcW w:w="920" w:type="dxa"/>
            <w:vAlign w:val="bottom"/>
            <w:shd w:val="clear" w:color="auto" w:fill="0075C9"/>
          </w:tcPr>
          <w:p>
            <w:pPr>
              <w:jc w:val="center"/>
              <w:ind w:left="17"/>
              <w:spacing w:after="0" w:line="135" w:lineRule="exact"/>
              <w:rPr>
                <w:sz w:val="20"/>
                <w:szCs w:val="20"/>
                <w:color w:val="auto"/>
              </w:rPr>
            </w:pPr>
            <w:r>
              <w:rPr>
                <w:rFonts w:ascii="Arial" w:cs="Arial" w:eastAsia="Arial" w:hAnsi="Arial"/>
                <w:sz w:val="13"/>
                <w:szCs w:val="13"/>
                <w:color w:val="FFFFFF"/>
                <w:w w:val="93"/>
              </w:rPr>
              <w:t>Market Value</w:t>
            </w:r>
          </w:p>
        </w:tc>
        <w:tc>
          <w:tcPr>
            <w:tcW w:w="880" w:type="dxa"/>
            <w:vAlign w:val="bottom"/>
            <w:shd w:val="clear" w:color="auto" w:fill="0075C9"/>
          </w:tcPr>
          <w:p>
            <w:pPr>
              <w:jc w:val="center"/>
              <w:ind w:left="97"/>
              <w:spacing w:after="0" w:line="135" w:lineRule="exact"/>
              <w:rPr>
                <w:sz w:val="20"/>
                <w:szCs w:val="20"/>
                <w:color w:val="auto"/>
              </w:rPr>
            </w:pPr>
            <w:r>
              <w:rPr>
                <w:rFonts w:ascii="Arial" w:cs="Arial" w:eastAsia="Arial" w:hAnsi="Arial"/>
                <w:sz w:val="13"/>
                <w:szCs w:val="13"/>
                <w:color w:val="FFFFFF"/>
                <w:w w:val="98"/>
              </w:rPr>
              <w:t>Unearned</w:t>
            </w:r>
          </w:p>
        </w:tc>
        <w:tc>
          <w:tcPr>
            <w:tcW w:w="1080" w:type="dxa"/>
            <w:vAlign w:val="bottom"/>
            <w:shd w:val="clear" w:color="auto" w:fill="0075C9"/>
          </w:tcPr>
          <w:p>
            <w:pPr>
              <w:jc w:val="center"/>
              <w:ind w:left="97"/>
              <w:spacing w:after="0" w:line="135" w:lineRule="exact"/>
              <w:rPr>
                <w:sz w:val="20"/>
                <w:szCs w:val="20"/>
                <w:color w:val="auto"/>
              </w:rPr>
            </w:pPr>
            <w:r>
              <w:rPr>
                <w:rFonts w:ascii="Arial" w:cs="Arial" w:eastAsia="Arial" w:hAnsi="Arial"/>
                <w:sz w:val="13"/>
                <w:szCs w:val="13"/>
                <w:color w:val="FFFFFF"/>
                <w:w w:val="94"/>
              </w:rPr>
              <w:t>of Unearned</w:t>
            </w:r>
          </w:p>
        </w:tc>
      </w:tr>
      <w:tr>
        <w:trPr>
          <w:trHeight w:val="135"/>
        </w:trPr>
        <w:tc>
          <w:tcPr>
            <w:tcW w:w="2820" w:type="dxa"/>
            <w:vAlign w:val="bottom"/>
            <w:shd w:val="clear" w:color="auto" w:fill="0075C9"/>
          </w:tcPr>
          <w:p>
            <w:pPr>
              <w:spacing w:after="0"/>
              <w:rPr>
                <w:sz w:val="11"/>
                <w:szCs w:val="11"/>
                <w:color w:val="auto"/>
              </w:rPr>
            </w:pPr>
          </w:p>
        </w:tc>
        <w:tc>
          <w:tcPr>
            <w:tcW w:w="720" w:type="dxa"/>
            <w:vAlign w:val="bottom"/>
            <w:shd w:val="clear" w:color="auto" w:fill="0075C9"/>
          </w:tcPr>
          <w:p>
            <w:pPr>
              <w:spacing w:after="0"/>
              <w:rPr>
                <w:sz w:val="11"/>
                <w:szCs w:val="11"/>
                <w:color w:val="auto"/>
              </w:rPr>
            </w:pPr>
          </w:p>
        </w:tc>
        <w:tc>
          <w:tcPr>
            <w:tcW w:w="500" w:type="dxa"/>
            <w:vAlign w:val="bottom"/>
            <w:shd w:val="clear" w:color="auto" w:fill="0075C9"/>
          </w:tcPr>
          <w:p>
            <w:pPr>
              <w:spacing w:after="0"/>
              <w:rPr>
                <w:sz w:val="11"/>
                <w:szCs w:val="11"/>
                <w:color w:val="auto"/>
              </w:rPr>
            </w:pPr>
          </w:p>
        </w:tc>
        <w:tc>
          <w:tcPr>
            <w:tcW w:w="950" w:type="dxa"/>
            <w:vAlign w:val="bottom"/>
            <w:shd w:val="clear" w:color="auto" w:fill="0075C9"/>
          </w:tcPr>
          <w:p>
            <w:pPr>
              <w:jc w:val="center"/>
              <w:ind w:left="27"/>
              <w:spacing w:after="0" w:line="135" w:lineRule="exact"/>
              <w:rPr>
                <w:sz w:val="20"/>
                <w:szCs w:val="20"/>
                <w:color w:val="auto"/>
              </w:rPr>
            </w:pPr>
            <w:r>
              <w:rPr>
                <w:rFonts w:ascii="Arial" w:cs="Arial" w:eastAsia="Arial" w:hAnsi="Arial"/>
                <w:sz w:val="13"/>
                <w:szCs w:val="13"/>
                <w:color w:val="FFFFFF"/>
                <w:w w:val="96"/>
              </w:rPr>
              <w:t>Underlying</w:t>
            </w:r>
          </w:p>
        </w:tc>
        <w:tc>
          <w:tcPr>
            <w:tcW w:w="97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6"/>
              </w:rPr>
              <w:t>Underlying</w:t>
            </w:r>
          </w:p>
        </w:tc>
        <w:tc>
          <w:tcPr>
            <w:tcW w:w="660" w:type="dxa"/>
            <w:vAlign w:val="bottom"/>
            <w:shd w:val="clear" w:color="auto" w:fill="0075C9"/>
          </w:tcPr>
          <w:p>
            <w:pPr>
              <w:spacing w:after="0"/>
              <w:rPr>
                <w:sz w:val="11"/>
                <w:szCs w:val="11"/>
                <w:color w:val="auto"/>
              </w:rPr>
            </w:pPr>
          </w:p>
        </w:tc>
        <w:tc>
          <w:tcPr>
            <w:tcW w:w="740" w:type="dxa"/>
            <w:vAlign w:val="bottom"/>
            <w:shd w:val="clear" w:color="auto" w:fill="0075C9"/>
          </w:tcPr>
          <w:p>
            <w:pPr>
              <w:spacing w:after="0"/>
              <w:rPr>
                <w:sz w:val="11"/>
                <w:szCs w:val="11"/>
                <w:color w:val="auto"/>
              </w:rPr>
            </w:pPr>
          </w:p>
        </w:tc>
        <w:tc>
          <w:tcPr>
            <w:tcW w:w="7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5"/>
              </w:rPr>
              <w:t>Units of</w:t>
            </w:r>
          </w:p>
        </w:tc>
        <w:tc>
          <w:tcPr>
            <w:tcW w:w="920" w:type="dxa"/>
            <w:vAlign w:val="bottom"/>
            <w:shd w:val="clear" w:color="auto" w:fill="0075C9"/>
          </w:tcPr>
          <w:p>
            <w:pPr>
              <w:jc w:val="center"/>
              <w:ind w:left="17"/>
              <w:spacing w:after="0" w:line="135" w:lineRule="exact"/>
              <w:rPr>
                <w:sz w:val="20"/>
                <w:szCs w:val="20"/>
                <w:color w:val="auto"/>
              </w:rPr>
            </w:pPr>
            <w:r>
              <w:rPr>
                <w:rFonts w:ascii="Arial" w:cs="Arial" w:eastAsia="Arial" w:hAnsi="Arial"/>
                <w:sz w:val="13"/>
                <w:szCs w:val="13"/>
                <w:color w:val="FFFFFF"/>
                <w:w w:val="95"/>
              </w:rPr>
              <w:t>of Shares or</w:t>
            </w:r>
          </w:p>
        </w:tc>
        <w:tc>
          <w:tcPr>
            <w:tcW w:w="880" w:type="dxa"/>
            <w:vAlign w:val="bottom"/>
            <w:shd w:val="clear" w:color="auto" w:fill="0075C9"/>
          </w:tcPr>
          <w:p>
            <w:pPr>
              <w:jc w:val="center"/>
              <w:ind w:left="97"/>
              <w:spacing w:after="0" w:line="135" w:lineRule="exact"/>
              <w:rPr>
                <w:sz w:val="20"/>
                <w:szCs w:val="20"/>
                <w:color w:val="auto"/>
              </w:rPr>
            </w:pPr>
            <w:r>
              <w:rPr>
                <w:rFonts w:ascii="Arial" w:cs="Arial" w:eastAsia="Arial" w:hAnsi="Arial"/>
                <w:sz w:val="13"/>
                <w:szCs w:val="13"/>
                <w:color w:val="FFFFFF"/>
                <w:w w:val="99"/>
              </w:rPr>
              <w:t>Shares or</w:t>
            </w:r>
          </w:p>
        </w:tc>
        <w:tc>
          <w:tcPr>
            <w:tcW w:w="1080" w:type="dxa"/>
            <w:vAlign w:val="bottom"/>
            <w:shd w:val="clear" w:color="auto" w:fill="0075C9"/>
          </w:tcPr>
          <w:p>
            <w:pPr>
              <w:jc w:val="center"/>
              <w:ind w:left="97"/>
              <w:spacing w:after="0" w:line="135" w:lineRule="exact"/>
              <w:rPr>
                <w:sz w:val="20"/>
                <w:szCs w:val="20"/>
                <w:color w:val="auto"/>
              </w:rPr>
            </w:pPr>
            <w:r>
              <w:rPr>
                <w:rFonts w:ascii="Arial" w:cs="Arial" w:eastAsia="Arial" w:hAnsi="Arial"/>
                <w:sz w:val="13"/>
                <w:szCs w:val="13"/>
                <w:color w:val="FFFFFF"/>
                <w:w w:val="99"/>
              </w:rPr>
              <w:t>Shares or</w:t>
            </w:r>
          </w:p>
        </w:tc>
      </w:tr>
      <w:tr>
        <w:trPr>
          <w:trHeight w:val="135"/>
        </w:trPr>
        <w:tc>
          <w:tcPr>
            <w:tcW w:w="2820" w:type="dxa"/>
            <w:vAlign w:val="bottom"/>
            <w:shd w:val="clear" w:color="auto" w:fill="0075C9"/>
          </w:tcPr>
          <w:p>
            <w:pPr>
              <w:spacing w:after="0"/>
              <w:rPr>
                <w:sz w:val="11"/>
                <w:szCs w:val="11"/>
                <w:color w:val="auto"/>
              </w:rPr>
            </w:pPr>
          </w:p>
        </w:tc>
        <w:tc>
          <w:tcPr>
            <w:tcW w:w="720" w:type="dxa"/>
            <w:vAlign w:val="bottom"/>
            <w:shd w:val="clear" w:color="auto" w:fill="0075C9"/>
          </w:tcPr>
          <w:p>
            <w:pPr>
              <w:spacing w:after="0"/>
              <w:rPr>
                <w:sz w:val="11"/>
                <w:szCs w:val="11"/>
                <w:color w:val="auto"/>
              </w:rPr>
            </w:pPr>
          </w:p>
        </w:tc>
        <w:tc>
          <w:tcPr>
            <w:tcW w:w="500" w:type="dxa"/>
            <w:vAlign w:val="bottom"/>
            <w:shd w:val="clear" w:color="auto" w:fill="0075C9"/>
          </w:tcPr>
          <w:p>
            <w:pPr>
              <w:spacing w:after="0"/>
              <w:rPr>
                <w:sz w:val="11"/>
                <w:szCs w:val="11"/>
                <w:color w:val="auto"/>
              </w:rPr>
            </w:pPr>
          </w:p>
        </w:tc>
        <w:tc>
          <w:tcPr>
            <w:tcW w:w="950" w:type="dxa"/>
            <w:vAlign w:val="bottom"/>
            <w:shd w:val="clear" w:color="auto" w:fill="0075C9"/>
          </w:tcPr>
          <w:p>
            <w:pPr>
              <w:jc w:val="center"/>
              <w:ind w:left="7"/>
              <w:spacing w:after="0" w:line="135" w:lineRule="exact"/>
              <w:rPr>
                <w:sz w:val="20"/>
                <w:szCs w:val="20"/>
                <w:color w:val="auto"/>
              </w:rPr>
            </w:pPr>
            <w:r>
              <w:rPr>
                <w:rFonts w:ascii="Arial" w:cs="Arial" w:eastAsia="Arial" w:hAnsi="Arial"/>
                <w:sz w:val="13"/>
                <w:szCs w:val="13"/>
                <w:color w:val="FFFFFF"/>
                <w:w w:val="96"/>
              </w:rPr>
              <w:t>Unexercised</w:t>
            </w:r>
          </w:p>
        </w:tc>
        <w:tc>
          <w:tcPr>
            <w:tcW w:w="97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6"/>
              </w:rPr>
              <w:t>Unexercised</w:t>
            </w:r>
          </w:p>
        </w:tc>
        <w:tc>
          <w:tcPr>
            <w:tcW w:w="6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9"/>
              </w:rPr>
              <w:t>Option</w:t>
            </w:r>
          </w:p>
        </w:tc>
        <w:tc>
          <w:tcPr>
            <w:tcW w:w="74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9"/>
              </w:rPr>
              <w:t>Option</w:t>
            </w:r>
          </w:p>
        </w:tc>
        <w:tc>
          <w:tcPr>
            <w:tcW w:w="7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6"/>
              </w:rPr>
              <w:t>Stock That</w:t>
            </w:r>
          </w:p>
        </w:tc>
        <w:tc>
          <w:tcPr>
            <w:tcW w:w="920" w:type="dxa"/>
            <w:vAlign w:val="bottom"/>
            <w:shd w:val="clear" w:color="auto" w:fill="0075C9"/>
          </w:tcPr>
          <w:p>
            <w:pPr>
              <w:jc w:val="center"/>
              <w:ind w:left="37"/>
              <w:spacing w:after="0" w:line="135" w:lineRule="exact"/>
              <w:rPr>
                <w:sz w:val="20"/>
                <w:szCs w:val="20"/>
                <w:color w:val="auto"/>
              </w:rPr>
            </w:pPr>
            <w:r>
              <w:rPr>
                <w:rFonts w:ascii="Arial" w:cs="Arial" w:eastAsia="Arial" w:hAnsi="Arial"/>
                <w:sz w:val="13"/>
                <w:szCs w:val="13"/>
                <w:color w:val="FFFFFF"/>
                <w:w w:val="97"/>
              </w:rPr>
              <w:t>Units of Stock</w:t>
            </w:r>
          </w:p>
        </w:tc>
        <w:tc>
          <w:tcPr>
            <w:tcW w:w="880" w:type="dxa"/>
            <w:vAlign w:val="bottom"/>
            <w:shd w:val="clear" w:color="auto" w:fill="0075C9"/>
          </w:tcPr>
          <w:p>
            <w:pPr>
              <w:jc w:val="center"/>
              <w:ind w:left="97"/>
              <w:spacing w:after="0" w:line="135" w:lineRule="exact"/>
              <w:rPr>
                <w:sz w:val="20"/>
                <w:szCs w:val="20"/>
                <w:color w:val="auto"/>
              </w:rPr>
            </w:pPr>
            <w:r>
              <w:rPr>
                <w:rFonts w:ascii="Arial" w:cs="Arial" w:eastAsia="Arial" w:hAnsi="Arial"/>
                <w:sz w:val="13"/>
                <w:szCs w:val="13"/>
                <w:color w:val="FFFFFF"/>
                <w:w w:val="94"/>
              </w:rPr>
              <w:t>Units That</w:t>
            </w:r>
          </w:p>
        </w:tc>
        <w:tc>
          <w:tcPr>
            <w:tcW w:w="1080" w:type="dxa"/>
            <w:vAlign w:val="bottom"/>
            <w:shd w:val="clear" w:color="auto" w:fill="0075C9"/>
          </w:tcPr>
          <w:p>
            <w:pPr>
              <w:jc w:val="center"/>
              <w:ind w:left="97"/>
              <w:spacing w:after="0" w:line="135" w:lineRule="exact"/>
              <w:rPr>
                <w:sz w:val="20"/>
                <w:szCs w:val="20"/>
                <w:color w:val="auto"/>
              </w:rPr>
            </w:pPr>
            <w:r>
              <w:rPr>
                <w:rFonts w:ascii="Arial" w:cs="Arial" w:eastAsia="Arial" w:hAnsi="Arial"/>
                <w:sz w:val="13"/>
                <w:szCs w:val="13"/>
                <w:color w:val="FFFFFF"/>
                <w:w w:val="94"/>
              </w:rPr>
              <w:t>Units That</w:t>
            </w:r>
          </w:p>
        </w:tc>
      </w:tr>
      <w:tr>
        <w:trPr>
          <w:trHeight w:val="139"/>
        </w:trPr>
        <w:tc>
          <w:tcPr>
            <w:tcW w:w="2820" w:type="dxa"/>
            <w:vAlign w:val="bottom"/>
            <w:shd w:val="clear" w:color="auto" w:fill="0075C9"/>
          </w:tcPr>
          <w:p>
            <w:pPr>
              <w:spacing w:after="0"/>
              <w:rPr>
                <w:sz w:val="12"/>
                <w:szCs w:val="12"/>
                <w:color w:val="auto"/>
              </w:rPr>
            </w:pPr>
          </w:p>
        </w:tc>
        <w:tc>
          <w:tcPr>
            <w:tcW w:w="720" w:type="dxa"/>
            <w:vAlign w:val="bottom"/>
            <w:shd w:val="clear" w:color="auto" w:fill="0075C9"/>
          </w:tcPr>
          <w:p>
            <w:pPr>
              <w:jc w:val="center"/>
              <w:ind w:left="97"/>
              <w:spacing w:after="0" w:line="139" w:lineRule="exact"/>
              <w:rPr>
                <w:sz w:val="20"/>
                <w:szCs w:val="20"/>
                <w:color w:val="auto"/>
              </w:rPr>
            </w:pPr>
            <w:r>
              <w:rPr>
                <w:rFonts w:ascii="Arial" w:cs="Arial" w:eastAsia="Arial" w:hAnsi="Arial"/>
                <w:sz w:val="13"/>
                <w:szCs w:val="13"/>
                <w:color w:val="FFFFFF"/>
                <w:w w:val="98"/>
              </w:rPr>
              <w:t>Grant</w:t>
            </w:r>
          </w:p>
        </w:tc>
        <w:tc>
          <w:tcPr>
            <w:tcW w:w="500" w:type="dxa"/>
            <w:vAlign w:val="bottom"/>
            <w:shd w:val="clear" w:color="auto" w:fill="0075C9"/>
          </w:tcPr>
          <w:p>
            <w:pPr>
              <w:spacing w:after="0"/>
              <w:rPr>
                <w:sz w:val="12"/>
                <w:szCs w:val="12"/>
                <w:color w:val="auto"/>
              </w:rPr>
            </w:pPr>
          </w:p>
        </w:tc>
        <w:tc>
          <w:tcPr>
            <w:tcW w:w="950" w:type="dxa"/>
            <w:vAlign w:val="bottom"/>
            <w:shd w:val="clear" w:color="auto" w:fill="0075C9"/>
          </w:tcPr>
          <w:p>
            <w:pPr>
              <w:jc w:val="center"/>
              <w:ind w:left="27"/>
              <w:spacing w:after="0" w:line="139" w:lineRule="exact"/>
              <w:rPr>
                <w:sz w:val="20"/>
                <w:szCs w:val="20"/>
                <w:color w:val="auto"/>
              </w:rPr>
            </w:pPr>
            <w:r>
              <w:rPr>
                <w:rFonts w:ascii="Arial" w:cs="Arial" w:eastAsia="Arial" w:hAnsi="Arial"/>
                <w:sz w:val="13"/>
                <w:szCs w:val="13"/>
                <w:color w:val="FFFFFF"/>
                <w:w w:val="98"/>
              </w:rPr>
              <w:t>Options</w:t>
            </w:r>
          </w:p>
        </w:tc>
        <w:tc>
          <w:tcPr>
            <w:tcW w:w="970" w:type="dxa"/>
            <w:vAlign w:val="bottom"/>
            <w:shd w:val="clear" w:color="auto" w:fill="0075C9"/>
          </w:tcPr>
          <w:p>
            <w:pPr>
              <w:jc w:val="center"/>
              <w:spacing w:after="0" w:line="139" w:lineRule="exact"/>
              <w:rPr>
                <w:sz w:val="20"/>
                <w:szCs w:val="20"/>
                <w:color w:val="auto"/>
              </w:rPr>
            </w:pPr>
            <w:r>
              <w:rPr>
                <w:rFonts w:ascii="Arial" w:cs="Arial" w:eastAsia="Arial" w:hAnsi="Arial"/>
                <w:sz w:val="13"/>
                <w:szCs w:val="13"/>
                <w:color w:val="FFFFFF"/>
                <w:w w:val="98"/>
              </w:rPr>
              <w:t>Options</w:t>
            </w:r>
          </w:p>
        </w:tc>
        <w:tc>
          <w:tcPr>
            <w:tcW w:w="660" w:type="dxa"/>
            <w:vAlign w:val="bottom"/>
            <w:shd w:val="clear" w:color="auto" w:fill="0075C9"/>
          </w:tcPr>
          <w:p>
            <w:pPr>
              <w:jc w:val="center"/>
              <w:spacing w:after="0" w:line="139" w:lineRule="exact"/>
              <w:rPr>
                <w:sz w:val="20"/>
                <w:szCs w:val="20"/>
                <w:color w:val="auto"/>
              </w:rPr>
            </w:pPr>
            <w:r>
              <w:rPr>
                <w:rFonts w:ascii="Arial" w:cs="Arial" w:eastAsia="Arial" w:hAnsi="Arial"/>
                <w:sz w:val="13"/>
                <w:szCs w:val="13"/>
                <w:color w:val="FFFFFF"/>
                <w:w w:val="96"/>
              </w:rPr>
              <w:t>Exercise</w:t>
            </w:r>
          </w:p>
        </w:tc>
        <w:tc>
          <w:tcPr>
            <w:tcW w:w="740" w:type="dxa"/>
            <w:vAlign w:val="bottom"/>
            <w:shd w:val="clear" w:color="auto" w:fill="0075C9"/>
          </w:tcPr>
          <w:p>
            <w:pPr>
              <w:jc w:val="center"/>
              <w:spacing w:after="0" w:line="139" w:lineRule="exact"/>
              <w:rPr>
                <w:sz w:val="20"/>
                <w:szCs w:val="20"/>
                <w:color w:val="auto"/>
              </w:rPr>
            </w:pPr>
            <w:r>
              <w:rPr>
                <w:rFonts w:ascii="Arial" w:cs="Arial" w:eastAsia="Arial" w:hAnsi="Arial"/>
                <w:sz w:val="13"/>
                <w:szCs w:val="13"/>
                <w:color w:val="FFFFFF"/>
                <w:w w:val="96"/>
              </w:rPr>
              <w:t>Expiration</w:t>
            </w:r>
          </w:p>
        </w:tc>
        <w:tc>
          <w:tcPr>
            <w:tcW w:w="780" w:type="dxa"/>
            <w:vAlign w:val="bottom"/>
            <w:shd w:val="clear" w:color="auto" w:fill="0075C9"/>
          </w:tcPr>
          <w:p>
            <w:pPr>
              <w:jc w:val="center"/>
              <w:spacing w:after="0" w:line="139" w:lineRule="exact"/>
              <w:rPr>
                <w:sz w:val="20"/>
                <w:szCs w:val="20"/>
                <w:color w:val="auto"/>
              </w:rPr>
            </w:pPr>
            <w:r>
              <w:rPr>
                <w:rFonts w:ascii="Arial" w:cs="Arial" w:eastAsia="Arial" w:hAnsi="Arial"/>
                <w:sz w:val="13"/>
                <w:szCs w:val="13"/>
                <w:color w:val="FFFFFF"/>
                <w:w w:val="99"/>
              </w:rPr>
              <w:t>Have Not</w:t>
            </w:r>
          </w:p>
        </w:tc>
        <w:tc>
          <w:tcPr>
            <w:tcW w:w="920" w:type="dxa"/>
            <w:vAlign w:val="bottom"/>
            <w:shd w:val="clear" w:color="auto" w:fill="0075C9"/>
          </w:tcPr>
          <w:p>
            <w:pPr>
              <w:jc w:val="center"/>
              <w:ind w:left="17"/>
              <w:spacing w:after="0" w:line="139" w:lineRule="exact"/>
              <w:rPr>
                <w:sz w:val="20"/>
                <w:szCs w:val="20"/>
                <w:color w:val="auto"/>
              </w:rPr>
            </w:pPr>
            <w:r>
              <w:rPr>
                <w:rFonts w:ascii="Arial" w:cs="Arial" w:eastAsia="Arial" w:hAnsi="Arial"/>
                <w:sz w:val="13"/>
                <w:szCs w:val="13"/>
                <w:color w:val="FFFFFF"/>
                <w:w w:val="95"/>
              </w:rPr>
              <w:t>That Have Not</w:t>
            </w:r>
          </w:p>
        </w:tc>
        <w:tc>
          <w:tcPr>
            <w:tcW w:w="880" w:type="dxa"/>
            <w:vAlign w:val="bottom"/>
            <w:shd w:val="clear" w:color="auto" w:fill="0075C9"/>
          </w:tcPr>
          <w:p>
            <w:pPr>
              <w:jc w:val="center"/>
              <w:ind w:left="97"/>
              <w:spacing w:after="0" w:line="139" w:lineRule="exact"/>
              <w:rPr>
                <w:sz w:val="20"/>
                <w:szCs w:val="20"/>
                <w:color w:val="auto"/>
              </w:rPr>
            </w:pPr>
            <w:r>
              <w:rPr>
                <w:rFonts w:ascii="Arial" w:cs="Arial" w:eastAsia="Arial" w:hAnsi="Arial"/>
                <w:sz w:val="13"/>
                <w:szCs w:val="13"/>
                <w:color w:val="FFFFFF"/>
                <w:w w:val="95"/>
              </w:rPr>
              <w:t>Have Not</w:t>
            </w:r>
          </w:p>
        </w:tc>
        <w:tc>
          <w:tcPr>
            <w:tcW w:w="1080" w:type="dxa"/>
            <w:vAlign w:val="bottom"/>
            <w:shd w:val="clear" w:color="auto" w:fill="0075C9"/>
          </w:tcPr>
          <w:p>
            <w:pPr>
              <w:jc w:val="center"/>
              <w:ind w:left="97"/>
              <w:spacing w:after="0" w:line="139" w:lineRule="exact"/>
              <w:rPr>
                <w:sz w:val="20"/>
                <w:szCs w:val="20"/>
                <w:color w:val="auto"/>
              </w:rPr>
            </w:pPr>
            <w:r>
              <w:rPr>
                <w:rFonts w:ascii="Arial" w:cs="Arial" w:eastAsia="Arial" w:hAnsi="Arial"/>
                <w:sz w:val="13"/>
                <w:szCs w:val="13"/>
                <w:color w:val="FFFFFF"/>
                <w:w w:val="95"/>
              </w:rPr>
              <w:t>Have Not</w:t>
            </w:r>
          </w:p>
        </w:tc>
      </w:tr>
      <w:tr>
        <w:trPr>
          <w:trHeight w:val="144"/>
        </w:trPr>
        <w:tc>
          <w:tcPr>
            <w:tcW w:w="2820" w:type="dxa"/>
            <w:vAlign w:val="bottom"/>
            <w:shd w:val="clear" w:color="auto" w:fill="0075C9"/>
          </w:tcPr>
          <w:p>
            <w:pPr>
              <w:ind w:left="1240"/>
              <w:spacing w:after="0" w:line="144" w:lineRule="exact"/>
              <w:rPr>
                <w:sz w:val="20"/>
                <w:szCs w:val="20"/>
                <w:color w:val="auto"/>
              </w:rPr>
            </w:pPr>
            <w:r>
              <w:rPr>
                <w:rFonts w:ascii="Arial" w:cs="Arial" w:eastAsia="Arial" w:hAnsi="Arial"/>
                <w:sz w:val="13"/>
                <w:szCs w:val="13"/>
                <w:color w:val="FFFFFF"/>
              </w:rPr>
              <w:t>Name</w:t>
            </w:r>
          </w:p>
        </w:tc>
        <w:tc>
          <w:tcPr>
            <w:tcW w:w="720" w:type="dxa"/>
            <w:vAlign w:val="bottom"/>
            <w:shd w:val="clear" w:color="auto" w:fill="0075C9"/>
          </w:tcPr>
          <w:p>
            <w:pPr>
              <w:jc w:val="center"/>
              <w:ind w:left="97"/>
              <w:spacing w:after="0" w:line="144" w:lineRule="exact"/>
              <w:rPr>
                <w:sz w:val="20"/>
                <w:szCs w:val="20"/>
                <w:color w:val="auto"/>
              </w:rPr>
            </w:pPr>
            <w:r>
              <w:rPr>
                <w:rFonts w:ascii="Arial" w:cs="Arial" w:eastAsia="Arial" w:hAnsi="Arial"/>
                <w:sz w:val="13"/>
                <w:szCs w:val="13"/>
                <w:color w:val="FFFFFF"/>
              </w:rPr>
              <w:t>Date</w:t>
            </w:r>
          </w:p>
        </w:tc>
        <w:tc>
          <w:tcPr>
            <w:tcW w:w="500" w:type="dxa"/>
            <w:vAlign w:val="bottom"/>
            <w:shd w:val="clear" w:color="auto" w:fill="0075C9"/>
          </w:tcPr>
          <w:p>
            <w:pPr>
              <w:spacing w:after="0"/>
              <w:rPr>
                <w:sz w:val="12"/>
                <w:szCs w:val="12"/>
                <w:color w:val="auto"/>
              </w:rPr>
            </w:pPr>
          </w:p>
        </w:tc>
        <w:tc>
          <w:tcPr>
            <w:tcW w:w="950" w:type="dxa"/>
            <w:vAlign w:val="bottom"/>
            <w:shd w:val="clear" w:color="auto" w:fill="0075C9"/>
          </w:tcPr>
          <w:p>
            <w:pPr>
              <w:jc w:val="center"/>
              <w:ind w:left="27"/>
              <w:spacing w:after="0" w:line="144" w:lineRule="exact"/>
              <w:rPr>
                <w:sz w:val="20"/>
                <w:szCs w:val="20"/>
                <w:color w:val="auto"/>
              </w:rPr>
            </w:pPr>
            <w:r>
              <w:rPr>
                <w:rFonts w:ascii="Arial" w:cs="Arial" w:eastAsia="Arial" w:hAnsi="Arial"/>
                <w:sz w:val="13"/>
                <w:szCs w:val="13"/>
                <w:color w:val="FFFFFF"/>
                <w:w w:val="95"/>
              </w:rPr>
              <w:t>Exercisable</w:t>
            </w:r>
          </w:p>
        </w:tc>
        <w:tc>
          <w:tcPr>
            <w:tcW w:w="970" w:type="dxa"/>
            <w:vAlign w:val="bottom"/>
            <w:shd w:val="clear" w:color="auto" w:fill="0075C9"/>
          </w:tcPr>
          <w:p>
            <w:pPr>
              <w:jc w:val="center"/>
              <w:spacing w:after="0" w:line="144" w:lineRule="exact"/>
              <w:rPr>
                <w:sz w:val="20"/>
                <w:szCs w:val="20"/>
                <w:color w:val="auto"/>
              </w:rPr>
            </w:pPr>
            <w:r>
              <w:rPr>
                <w:rFonts w:ascii="Arial" w:cs="Arial" w:eastAsia="Arial" w:hAnsi="Arial"/>
                <w:sz w:val="13"/>
                <w:szCs w:val="13"/>
                <w:color w:val="FFFFFF"/>
                <w:w w:val="97"/>
              </w:rPr>
              <w:t>Unexercisable</w:t>
            </w:r>
          </w:p>
        </w:tc>
        <w:tc>
          <w:tcPr>
            <w:tcW w:w="660" w:type="dxa"/>
            <w:vAlign w:val="bottom"/>
            <w:shd w:val="clear" w:color="auto" w:fill="0075C9"/>
          </w:tcPr>
          <w:p>
            <w:pPr>
              <w:jc w:val="center"/>
              <w:spacing w:after="0" w:line="144" w:lineRule="exact"/>
              <w:rPr>
                <w:sz w:val="20"/>
                <w:szCs w:val="20"/>
                <w:color w:val="auto"/>
              </w:rPr>
            </w:pPr>
            <w:r>
              <w:rPr>
                <w:rFonts w:ascii="Arial" w:cs="Arial" w:eastAsia="Arial" w:hAnsi="Arial"/>
                <w:sz w:val="13"/>
                <w:szCs w:val="13"/>
                <w:color w:val="FFFFFF"/>
              </w:rPr>
              <w:t>Price</w:t>
            </w:r>
          </w:p>
        </w:tc>
        <w:tc>
          <w:tcPr>
            <w:tcW w:w="740" w:type="dxa"/>
            <w:vAlign w:val="bottom"/>
            <w:shd w:val="clear" w:color="auto" w:fill="0075C9"/>
          </w:tcPr>
          <w:p>
            <w:pPr>
              <w:jc w:val="center"/>
              <w:spacing w:after="0" w:line="144" w:lineRule="exact"/>
              <w:rPr>
                <w:sz w:val="20"/>
                <w:szCs w:val="20"/>
                <w:color w:val="auto"/>
              </w:rPr>
            </w:pPr>
            <w:r>
              <w:rPr>
                <w:rFonts w:ascii="Arial" w:cs="Arial" w:eastAsia="Arial" w:hAnsi="Arial"/>
                <w:sz w:val="13"/>
                <w:szCs w:val="13"/>
                <w:color w:val="FFFFFF"/>
                <w:w w:val="94"/>
              </w:rPr>
              <w:t>Date</w:t>
            </w:r>
          </w:p>
        </w:tc>
        <w:tc>
          <w:tcPr>
            <w:tcW w:w="780" w:type="dxa"/>
            <w:vAlign w:val="bottom"/>
            <w:shd w:val="clear" w:color="auto" w:fill="0075C9"/>
          </w:tcPr>
          <w:p>
            <w:pPr>
              <w:jc w:val="center"/>
              <w:spacing w:after="0" w:line="144" w:lineRule="exact"/>
              <w:rPr>
                <w:sz w:val="20"/>
                <w:szCs w:val="20"/>
                <w:color w:val="auto"/>
              </w:rPr>
            </w:pPr>
            <w:r>
              <w:rPr>
                <w:rFonts w:ascii="Arial" w:cs="Arial" w:eastAsia="Arial" w:hAnsi="Arial"/>
                <w:sz w:val="13"/>
                <w:szCs w:val="13"/>
                <w:color w:val="FFFFFF"/>
                <w:w w:val="93"/>
              </w:rPr>
              <w:t>Vested</w:t>
            </w:r>
          </w:p>
        </w:tc>
        <w:tc>
          <w:tcPr>
            <w:tcW w:w="920" w:type="dxa"/>
            <w:vAlign w:val="bottom"/>
            <w:shd w:val="clear" w:color="auto" w:fill="0075C9"/>
          </w:tcPr>
          <w:p>
            <w:pPr>
              <w:jc w:val="center"/>
              <w:ind w:left="37"/>
              <w:spacing w:after="0" w:line="144" w:lineRule="exact"/>
              <w:rPr>
                <w:sz w:val="20"/>
                <w:szCs w:val="20"/>
                <w:color w:val="auto"/>
              </w:rPr>
            </w:pPr>
            <w:r>
              <w:rPr>
                <w:rFonts w:ascii="Arial" w:cs="Arial" w:eastAsia="Arial" w:hAnsi="Arial"/>
                <w:sz w:val="13"/>
                <w:szCs w:val="13"/>
                <w:color w:val="FFFFFF"/>
                <w:w w:val="96"/>
              </w:rPr>
              <w:t>Vested</w:t>
            </w:r>
            <w:r>
              <w:rPr>
                <w:rFonts w:ascii="Arial" w:cs="Arial" w:eastAsia="Arial" w:hAnsi="Arial"/>
                <w:sz w:val="6"/>
                <w:szCs w:val="6"/>
                <w:color w:val="FFFFFF"/>
                <w:w w:val="96"/>
              </w:rPr>
              <w:t>(1)</w:t>
            </w:r>
          </w:p>
        </w:tc>
        <w:tc>
          <w:tcPr>
            <w:tcW w:w="880" w:type="dxa"/>
            <w:vAlign w:val="bottom"/>
            <w:shd w:val="clear" w:color="auto" w:fill="0075C9"/>
          </w:tcPr>
          <w:p>
            <w:pPr>
              <w:jc w:val="center"/>
              <w:ind w:left="97"/>
              <w:spacing w:after="0" w:line="144" w:lineRule="exact"/>
              <w:rPr>
                <w:sz w:val="20"/>
                <w:szCs w:val="20"/>
                <w:color w:val="auto"/>
              </w:rPr>
            </w:pPr>
            <w:r>
              <w:rPr>
                <w:rFonts w:ascii="Arial" w:cs="Arial" w:eastAsia="Arial" w:hAnsi="Arial"/>
                <w:sz w:val="13"/>
                <w:szCs w:val="13"/>
                <w:color w:val="FFFFFF"/>
                <w:w w:val="98"/>
              </w:rPr>
              <w:t>Vested</w:t>
            </w:r>
          </w:p>
        </w:tc>
        <w:tc>
          <w:tcPr>
            <w:tcW w:w="1080" w:type="dxa"/>
            <w:vAlign w:val="bottom"/>
            <w:shd w:val="clear" w:color="auto" w:fill="0075C9"/>
          </w:tcPr>
          <w:p>
            <w:pPr>
              <w:jc w:val="center"/>
              <w:ind w:left="97"/>
              <w:spacing w:after="0" w:line="144" w:lineRule="exact"/>
              <w:rPr>
                <w:sz w:val="20"/>
                <w:szCs w:val="20"/>
                <w:color w:val="auto"/>
              </w:rPr>
            </w:pPr>
            <w:r>
              <w:rPr>
                <w:rFonts w:ascii="Arial" w:cs="Arial" w:eastAsia="Arial" w:hAnsi="Arial"/>
                <w:sz w:val="13"/>
                <w:szCs w:val="13"/>
                <w:color w:val="FFFFFF"/>
                <w:w w:val="91"/>
              </w:rPr>
              <w:t>Vested</w:t>
            </w:r>
            <w:r>
              <w:rPr>
                <w:rFonts w:ascii="Arial" w:cs="Arial" w:eastAsia="Arial" w:hAnsi="Arial"/>
                <w:sz w:val="6"/>
                <w:szCs w:val="6"/>
                <w:color w:val="FFFFFF"/>
                <w:w w:val="91"/>
              </w:rPr>
              <w:t>(1)</w:t>
            </w:r>
          </w:p>
        </w:tc>
      </w:tr>
      <w:tr>
        <w:trPr>
          <w:trHeight w:val="180"/>
        </w:trPr>
        <w:tc>
          <w:tcPr>
            <w:tcW w:w="2820" w:type="dxa"/>
            <w:vAlign w:val="bottom"/>
            <w:shd w:val="clear" w:color="auto" w:fill="0075C9"/>
          </w:tcPr>
          <w:p>
            <w:pPr>
              <w:ind w:left="1320"/>
              <w:spacing w:after="0"/>
              <w:rPr>
                <w:sz w:val="20"/>
                <w:szCs w:val="20"/>
                <w:color w:val="auto"/>
              </w:rPr>
            </w:pPr>
            <w:r>
              <w:rPr>
                <w:rFonts w:ascii="Arial" w:cs="Arial" w:eastAsia="Arial" w:hAnsi="Arial"/>
                <w:sz w:val="13"/>
                <w:szCs w:val="13"/>
                <w:color w:val="FFFFFF"/>
              </w:rPr>
              <w:t>(a)</w:t>
            </w:r>
          </w:p>
        </w:tc>
        <w:tc>
          <w:tcPr>
            <w:tcW w:w="720" w:type="dxa"/>
            <w:vAlign w:val="bottom"/>
            <w:shd w:val="clear" w:color="auto" w:fill="0075C9"/>
          </w:tcPr>
          <w:p>
            <w:pPr>
              <w:jc w:val="center"/>
              <w:ind w:left="97"/>
              <w:spacing w:after="0"/>
              <w:rPr>
                <w:sz w:val="20"/>
                <w:szCs w:val="20"/>
                <w:color w:val="auto"/>
              </w:rPr>
            </w:pPr>
            <w:r>
              <w:rPr>
                <w:rFonts w:ascii="Arial" w:cs="Arial" w:eastAsia="Arial" w:hAnsi="Arial"/>
                <w:sz w:val="13"/>
                <w:szCs w:val="13"/>
                <w:color w:val="FFFFFF"/>
              </w:rPr>
              <w:t>(b)</w:t>
            </w:r>
          </w:p>
        </w:tc>
        <w:tc>
          <w:tcPr>
            <w:tcW w:w="500" w:type="dxa"/>
            <w:vAlign w:val="bottom"/>
            <w:shd w:val="clear" w:color="auto" w:fill="0075C9"/>
          </w:tcPr>
          <w:p>
            <w:pPr>
              <w:ind w:left="180"/>
              <w:spacing w:after="0"/>
              <w:rPr>
                <w:sz w:val="20"/>
                <w:szCs w:val="20"/>
                <w:color w:val="auto"/>
              </w:rPr>
            </w:pPr>
            <w:r>
              <w:rPr>
                <w:rFonts w:ascii="Arial" w:cs="Arial" w:eastAsia="Arial" w:hAnsi="Arial"/>
                <w:sz w:val="13"/>
                <w:szCs w:val="13"/>
                <w:color w:val="FFFFFF"/>
                <w:w w:val="88"/>
              </w:rPr>
              <w:t>Notes</w:t>
            </w:r>
          </w:p>
        </w:tc>
        <w:tc>
          <w:tcPr>
            <w:tcW w:w="950" w:type="dxa"/>
            <w:vAlign w:val="bottom"/>
            <w:shd w:val="clear" w:color="auto" w:fill="0075C9"/>
          </w:tcPr>
          <w:p>
            <w:pPr>
              <w:jc w:val="center"/>
              <w:ind w:left="27"/>
              <w:spacing w:after="0"/>
              <w:rPr>
                <w:sz w:val="20"/>
                <w:szCs w:val="20"/>
                <w:color w:val="auto"/>
              </w:rPr>
            </w:pPr>
            <w:r>
              <w:rPr>
                <w:rFonts w:ascii="Arial" w:cs="Arial" w:eastAsia="Arial" w:hAnsi="Arial"/>
                <w:sz w:val="13"/>
                <w:szCs w:val="13"/>
                <w:color w:val="FFFFFF"/>
              </w:rPr>
              <w:t>(c)</w:t>
            </w:r>
          </w:p>
        </w:tc>
        <w:tc>
          <w:tcPr>
            <w:tcW w:w="970" w:type="dxa"/>
            <w:vAlign w:val="bottom"/>
            <w:shd w:val="clear" w:color="auto" w:fill="0075C9"/>
          </w:tcPr>
          <w:p>
            <w:pPr>
              <w:jc w:val="center"/>
              <w:spacing w:after="0"/>
              <w:rPr>
                <w:sz w:val="20"/>
                <w:szCs w:val="20"/>
                <w:color w:val="auto"/>
              </w:rPr>
            </w:pPr>
            <w:r>
              <w:rPr>
                <w:rFonts w:ascii="Arial" w:cs="Arial" w:eastAsia="Arial" w:hAnsi="Arial"/>
                <w:sz w:val="13"/>
                <w:szCs w:val="13"/>
                <w:color w:val="FFFFFF"/>
              </w:rPr>
              <w:t>(d)</w:t>
            </w:r>
          </w:p>
        </w:tc>
        <w:tc>
          <w:tcPr>
            <w:tcW w:w="66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87"/>
              </w:rPr>
              <w:t>(e)</w:t>
            </w:r>
          </w:p>
        </w:tc>
        <w:tc>
          <w:tcPr>
            <w:tcW w:w="74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7"/>
              </w:rPr>
              <w:t>(f)</w:t>
            </w:r>
          </w:p>
        </w:tc>
        <w:tc>
          <w:tcPr>
            <w:tcW w:w="78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87"/>
              </w:rPr>
              <w:t>(g)</w:t>
            </w:r>
          </w:p>
        </w:tc>
        <w:tc>
          <w:tcPr>
            <w:tcW w:w="920" w:type="dxa"/>
            <w:vAlign w:val="bottom"/>
            <w:shd w:val="clear" w:color="auto" w:fill="0075C9"/>
          </w:tcPr>
          <w:p>
            <w:pPr>
              <w:jc w:val="center"/>
              <w:ind w:left="17"/>
              <w:spacing w:after="0"/>
              <w:rPr>
                <w:sz w:val="20"/>
                <w:szCs w:val="20"/>
                <w:color w:val="auto"/>
              </w:rPr>
            </w:pPr>
            <w:r>
              <w:rPr>
                <w:rFonts w:ascii="Arial" w:cs="Arial" w:eastAsia="Arial" w:hAnsi="Arial"/>
                <w:sz w:val="13"/>
                <w:szCs w:val="13"/>
                <w:color w:val="FFFFFF"/>
              </w:rPr>
              <w:t>(h)</w:t>
            </w:r>
          </w:p>
        </w:tc>
        <w:tc>
          <w:tcPr>
            <w:tcW w:w="880" w:type="dxa"/>
            <w:vAlign w:val="bottom"/>
            <w:shd w:val="clear" w:color="auto" w:fill="0075C9"/>
          </w:tcPr>
          <w:p>
            <w:pPr>
              <w:jc w:val="center"/>
              <w:ind w:left="97"/>
              <w:spacing w:after="0"/>
              <w:rPr>
                <w:sz w:val="20"/>
                <w:szCs w:val="20"/>
                <w:color w:val="auto"/>
              </w:rPr>
            </w:pPr>
            <w:r>
              <w:rPr>
                <w:rFonts w:ascii="Arial" w:cs="Arial" w:eastAsia="Arial" w:hAnsi="Arial"/>
                <w:sz w:val="13"/>
                <w:szCs w:val="13"/>
                <w:color w:val="FFFFFF"/>
              </w:rPr>
              <w:t>(i)</w:t>
            </w:r>
          </w:p>
        </w:tc>
        <w:tc>
          <w:tcPr>
            <w:tcW w:w="1080" w:type="dxa"/>
            <w:vAlign w:val="bottom"/>
            <w:shd w:val="clear" w:color="auto" w:fill="0075C9"/>
          </w:tcPr>
          <w:p>
            <w:pPr>
              <w:jc w:val="center"/>
              <w:ind w:left="97"/>
              <w:spacing w:after="0"/>
              <w:rPr>
                <w:sz w:val="20"/>
                <w:szCs w:val="20"/>
                <w:color w:val="auto"/>
              </w:rPr>
            </w:pPr>
            <w:r>
              <w:rPr>
                <w:rFonts w:ascii="Arial" w:cs="Arial" w:eastAsia="Arial" w:hAnsi="Arial"/>
                <w:sz w:val="13"/>
                <w:szCs w:val="13"/>
                <w:color w:val="FFFFFF"/>
              </w:rPr>
              <w:t>(j)</w:t>
            </w:r>
          </w:p>
        </w:tc>
      </w:tr>
      <w:tr>
        <w:trPr>
          <w:trHeight w:val="172"/>
        </w:trPr>
        <w:tc>
          <w:tcPr>
            <w:tcW w:w="2820" w:type="dxa"/>
            <w:vAlign w:val="bottom"/>
            <w:shd w:val="clear" w:color="auto" w:fill="B2D5EE"/>
          </w:tcPr>
          <w:p>
            <w:pPr>
              <w:ind w:left="40"/>
              <w:spacing w:after="0"/>
              <w:rPr>
                <w:sz w:val="20"/>
                <w:szCs w:val="20"/>
                <w:color w:val="auto"/>
              </w:rPr>
            </w:pPr>
            <w:r>
              <w:rPr>
                <w:rFonts w:ascii="Arial" w:cs="Arial" w:eastAsia="Arial" w:hAnsi="Arial"/>
                <w:sz w:val="13"/>
                <w:szCs w:val="13"/>
                <w:b w:val="1"/>
                <w:bCs w:val="1"/>
                <w:color w:val="auto"/>
              </w:rPr>
              <w:t>Christopher A. Viehbacher</w:t>
            </w: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6"/>
              </w:rPr>
              <w:t>12/1/2022</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(2)</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rPr>
              <w:t>80,522</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7"/>
              </w:rPr>
              <w:t>$301.85</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6"/>
              </w:rPr>
              <w:t>12/1/2032</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66"/>
        </w:trPr>
        <w:tc>
          <w:tcPr>
            <w:tcW w:w="2820" w:type="dxa"/>
            <w:vAlign w:val="bottom"/>
            <w:shd w:val="clear" w:color="auto" w:fill="B2D5EE"/>
          </w:tcPr>
          <w:p>
            <w:pPr>
              <w:spacing w:after="0"/>
              <w:rPr>
                <w:sz w:val="14"/>
                <w:szCs w:val="14"/>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5,066</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5"/>
              </w:rPr>
              <w:t>$891,565</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(4)</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rPr>
              <w:t>10,133</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$1,783,307</w:t>
            </w:r>
          </w:p>
        </w:tc>
      </w:tr>
      <w:tr>
        <w:trPr>
          <w:trHeight w:val="176"/>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5"/>
              </w:rPr>
              <w:t>18,017</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8"/>
              </w:rPr>
              <w:t>$3,170,812</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rPr>
              <w:t>34,770</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$6,119,172</w:t>
            </w:r>
          </w:p>
        </w:tc>
      </w:tr>
      <w:tr>
        <w:trPr>
          <w:trHeight w:val="176"/>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(4)</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rPr>
              <w:t>34,770</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$6,119,172</w:t>
            </w:r>
          </w:p>
        </w:tc>
      </w:tr>
      <w:tr>
        <w:trPr>
          <w:trHeight w:val="183"/>
        </w:trPr>
        <w:tc>
          <w:tcPr>
            <w:tcW w:w="2820" w:type="dxa"/>
            <w:vAlign w:val="bottom"/>
            <w:tcBorders>
              <w:bottom w:val="single" w:sz="8" w:color="auto"/>
            </w:tcBorders>
            <w:shd w:val="clear" w:color="auto" w:fill="B2D5EE"/>
          </w:tcPr>
          <w:p>
            <w:pPr>
              <w:spacing w:after="0"/>
              <w:rPr>
                <w:sz w:val="15"/>
                <w:szCs w:val="15"/>
                <w:color w:val="auto"/>
              </w:rPr>
            </w:pPr>
          </w:p>
        </w:tc>
        <w:tc>
          <w:tcPr>
            <w:tcW w:w="720" w:type="dxa"/>
            <w:vAlign w:val="bottom"/>
            <w:tcBorders>
              <w:bottom w:val="single" w:sz="8" w:color="auto"/>
            </w:tcBorders>
            <w:shd w:val="clear" w:color="auto" w:fill="B2D5EE"/>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tcBorders>
              <w:bottom w:val="single" w:sz="8" w:color="auto"/>
            </w:tcBorders>
            <w:shd w:val="clear" w:color="auto" w:fill="B2D5EE"/>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tcBorders>
              <w:bottom w:val="single" w:sz="8" w:color="auto"/>
            </w:tcBorders>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5"/>
              </w:rPr>
              <w:t>46,360</w:t>
            </w:r>
          </w:p>
        </w:tc>
        <w:tc>
          <w:tcPr>
            <w:tcW w:w="920" w:type="dxa"/>
            <w:vAlign w:val="bottom"/>
            <w:tcBorders>
              <w:bottom w:val="single" w:sz="8" w:color="auto"/>
            </w:tcBorders>
            <w:shd w:val="clear" w:color="auto" w:fill="B2D5EE"/>
          </w:tcPr>
          <w:p>
            <w:pPr>
              <w:jc w:val="center"/>
              <w:ind w:left="17"/>
              <w:spacing w:after="0"/>
              <w:rPr>
                <w:sz w:val="20"/>
                <w:szCs w:val="20"/>
                <w:color w:val="auto"/>
              </w:rPr>
            </w:pPr>
            <w:r>
              <w:rPr>
                <w:rFonts w:ascii="Arial" w:cs="Arial" w:eastAsia="Arial" w:hAnsi="Arial"/>
                <w:sz w:val="13"/>
                <w:szCs w:val="13"/>
                <w:color w:val="auto"/>
                <w:w w:val="98"/>
              </w:rPr>
              <w:t>$8,158,896</w:t>
            </w:r>
          </w:p>
        </w:tc>
        <w:tc>
          <w:tcPr>
            <w:tcW w:w="880" w:type="dxa"/>
            <w:vAlign w:val="bottom"/>
            <w:tcBorders>
              <w:bottom w:val="single" w:sz="8" w:color="auto"/>
            </w:tcBorders>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tcBorders>
              <w:bottom w:val="single" w:sz="8" w:color="auto"/>
            </w:tcBorders>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72"/>
        </w:trPr>
        <w:tc>
          <w:tcPr>
            <w:tcW w:w="2820" w:type="dxa"/>
            <w:vAlign w:val="bottom"/>
            <w:shd w:val="clear" w:color="auto" w:fill="E5F1F9"/>
          </w:tcPr>
          <w:p>
            <w:pPr>
              <w:ind w:left="40"/>
              <w:spacing w:after="0"/>
              <w:rPr>
                <w:sz w:val="20"/>
                <w:szCs w:val="20"/>
                <w:color w:val="auto"/>
              </w:rPr>
            </w:pPr>
            <w:r>
              <w:rPr>
                <w:rFonts w:ascii="Arial" w:cs="Arial" w:eastAsia="Arial" w:hAnsi="Arial"/>
                <w:sz w:val="13"/>
                <w:szCs w:val="13"/>
                <w:b w:val="1"/>
                <w:bCs w:val="1"/>
                <w:color w:val="auto"/>
              </w:rPr>
              <w:t>Robin C. Kramer</w:t>
            </w: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2/8/2023</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r>
      <w:tr>
        <w:trPr>
          <w:trHeight w:val="166"/>
        </w:trPr>
        <w:tc>
          <w:tcPr>
            <w:tcW w:w="2820" w:type="dxa"/>
            <w:vAlign w:val="bottom"/>
            <w:shd w:val="clear" w:color="auto" w:fill="E5F1F9"/>
          </w:tcPr>
          <w:p>
            <w:pPr>
              <w:spacing w:after="0"/>
              <w:rPr>
                <w:sz w:val="14"/>
                <w:szCs w:val="14"/>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2/8/2023</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789</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5"/>
              </w:rPr>
              <w:t>$138,856</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r>
      <w:tr>
        <w:trPr>
          <w:trHeight w:val="175"/>
        </w:trPr>
        <w:tc>
          <w:tcPr>
            <w:tcW w:w="2820" w:type="dxa"/>
            <w:vAlign w:val="bottom"/>
            <w:shd w:val="clear" w:color="auto" w:fill="E5F1F9"/>
          </w:tcPr>
          <w:p>
            <w:pPr>
              <w:spacing w:after="0"/>
              <w:rPr>
                <w:sz w:val="15"/>
                <w:szCs w:val="15"/>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2"/>
              </w:rPr>
              <w:t>395</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3"/>
              </w:rPr>
              <w:t>$69,516</w:t>
            </w:r>
          </w:p>
        </w:tc>
      </w:tr>
      <w:tr>
        <w:trPr>
          <w:trHeight w:val="176"/>
        </w:trPr>
        <w:tc>
          <w:tcPr>
            <w:tcW w:w="2820" w:type="dxa"/>
            <w:vAlign w:val="bottom"/>
            <w:shd w:val="clear" w:color="auto" w:fill="E5F1F9"/>
          </w:tcPr>
          <w:p>
            <w:pPr>
              <w:spacing w:after="0"/>
              <w:rPr>
                <w:sz w:val="15"/>
                <w:szCs w:val="15"/>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(4)</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2"/>
              </w:rPr>
              <w:t>790</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5"/>
              </w:rPr>
              <w:t>$139,032</w:t>
            </w:r>
          </w:p>
        </w:tc>
      </w:tr>
      <w:tr>
        <w:trPr>
          <w:trHeight w:val="176"/>
        </w:trPr>
        <w:tc>
          <w:tcPr>
            <w:tcW w:w="2820" w:type="dxa"/>
            <w:vAlign w:val="bottom"/>
            <w:shd w:val="clear" w:color="auto" w:fill="E5F1F9"/>
          </w:tcPr>
          <w:p>
            <w:pPr>
              <w:spacing w:after="0"/>
              <w:rPr>
                <w:sz w:val="15"/>
                <w:szCs w:val="15"/>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2"/>
              </w:rPr>
              <w:t>1,407</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5"/>
              </w:rPr>
              <w:t>$247,618</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r>
      <w:tr>
        <w:trPr>
          <w:trHeight w:val="175"/>
        </w:trPr>
        <w:tc>
          <w:tcPr>
            <w:tcW w:w="2820" w:type="dxa"/>
            <w:vAlign w:val="bottom"/>
            <w:shd w:val="clear" w:color="auto" w:fill="E5F1F9"/>
          </w:tcPr>
          <w:p>
            <w:pPr>
              <w:spacing w:after="0"/>
              <w:rPr>
                <w:sz w:val="15"/>
                <w:szCs w:val="15"/>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8"/>
              </w:rPr>
              <w:t>7,900</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8"/>
              </w:rPr>
              <w:t>$1,390,321</w:t>
            </w:r>
          </w:p>
        </w:tc>
      </w:tr>
      <w:tr>
        <w:trPr>
          <w:trHeight w:val="176"/>
        </w:trPr>
        <w:tc>
          <w:tcPr>
            <w:tcW w:w="2820" w:type="dxa"/>
            <w:vAlign w:val="bottom"/>
            <w:shd w:val="clear" w:color="auto" w:fill="E5F1F9"/>
          </w:tcPr>
          <w:p>
            <w:pPr>
              <w:spacing w:after="0"/>
              <w:rPr>
                <w:sz w:val="15"/>
                <w:szCs w:val="15"/>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(4)</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8"/>
              </w:rPr>
              <w:t>7,900</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8"/>
              </w:rPr>
              <w:t>$1,390,321</w:t>
            </w:r>
          </w:p>
        </w:tc>
      </w:tr>
      <w:tr>
        <w:trPr>
          <w:trHeight w:val="183"/>
        </w:trPr>
        <w:tc>
          <w:tcPr>
            <w:tcW w:w="2820" w:type="dxa"/>
            <w:vAlign w:val="bottom"/>
            <w:tcBorders>
              <w:bottom w:val="single" w:sz="8" w:color="auto"/>
            </w:tcBorders>
            <w:shd w:val="clear" w:color="auto" w:fill="E5F1F9"/>
          </w:tcPr>
          <w:p>
            <w:pPr>
              <w:spacing w:after="0"/>
              <w:rPr>
                <w:sz w:val="15"/>
                <w:szCs w:val="15"/>
                <w:color w:val="auto"/>
              </w:rPr>
            </w:pPr>
          </w:p>
        </w:tc>
        <w:tc>
          <w:tcPr>
            <w:tcW w:w="720" w:type="dxa"/>
            <w:vAlign w:val="bottom"/>
            <w:tcBorders>
              <w:bottom w:val="single" w:sz="8" w:color="auto"/>
            </w:tcBorders>
            <w:shd w:val="clear" w:color="auto" w:fill="E5F1F9"/>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tcBorders>
              <w:bottom w:val="single" w:sz="8" w:color="auto"/>
            </w:tcBorders>
            <w:shd w:val="clear" w:color="auto" w:fill="E5F1F9"/>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tcBorders>
              <w:bottom w:val="single" w:sz="8" w:color="auto"/>
            </w:tcBorders>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5"/>
              </w:rPr>
              <w:t>10,535</w:t>
            </w:r>
          </w:p>
        </w:tc>
        <w:tc>
          <w:tcPr>
            <w:tcW w:w="920" w:type="dxa"/>
            <w:vAlign w:val="bottom"/>
            <w:tcBorders>
              <w:bottom w:val="single" w:sz="8" w:color="auto"/>
            </w:tcBorders>
            <w:shd w:val="clear" w:color="auto" w:fill="E5F1F9"/>
          </w:tcPr>
          <w:p>
            <w:pPr>
              <w:jc w:val="center"/>
              <w:ind w:left="17"/>
              <w:spacing w:after="0"/>
              <w:rPr>
                <w:sz w:val="20"/>
                <w:szCs w:val="20"/>
                <w:color w:val="auto"/>
              </w:rPr>
            </w:pPr>
            <w:r>
              <w:rPr>
                <w:rFonts w:ascii="Arial" w:cs="Arial" w:eastAsia="Arial" w:hAnsi="Arial"/>
                <w:sz w:val="13"/>
                <w:szCs w:val="13"/>
                <w:color w:val="auto"/>
                <w:w w:val="98"/>
              </w:rPr>
              <w:t>$1,854,055</w:t>
            </w:r>
          </w:p>
        </w:tc>
        <w:tc>
          <w:tcPr>
            <w:tcW w:w="880" w:type="dxa"/>
            <w:vAlign w:val="bottom"/>
            <w:tcBorders>
              <w:bottom w:val="single" w:sz="8" w:color="auto"/>
            </w:tcBorders>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tcBorders>
              <w:bottom w:val="single" w:sz="8" w:color="auto"/>
            </w:tcBorders>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r>
      <w:tr>
        <w:trPr>
          <w:trHeight w:val="172"/>
        </w:trPr>
        <w:tc>
          <w:tcPr>
            <w:tcW w:w="2820" w:type="dxa"/>
            <w:vAlign w:val="bottom"/>
            <w:shd w:val="clear" w:color="auto" w:fill="B2D5EE"/>
          </w:tcPr>
          <w:p>
            <w:pPr>
              <w:ind w:left="40"/>
              <w:spacing w:after="0"/>
              <w:rPr>
                <w:sz w:val="20"/>
                <w:szCs w:val="20"/>
                <w:color w:val="auto"/>
              </w:rPr>
            </w:pPr>
            <w:r>
              <w:rPr>
                <w:rFonts w:ascii="Arial" w:cs="Arial" w:eastAsia="Arial" w:hAnsi="Arial"/>
                <w:sz w:val="13"/>
                <w:szCs w:val="13"/>
                <w:b w:val="1"/>
                <w:bCs w:val="1"/>
                <w:color w:val="auto"/>
              </w:rPr>
              <w:t>Susan H. Alexander</w:t>
            </w: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2/8/2023</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66"/>
        </w:trPr>
        <w:tc>
          <w:tcPr>
            <w:tcW w:w="2820" w:type="dxa"/>
            <w:vAlign w:val="bottom"/>
            <w:shd w:val="clear" w:color="auto" w:fill="B2D5EE"/>
          </w:tcPr>
          <w:p>
            <w:pPr>
              <w:spacing w:after="0"/>
              <w:rPr>
                <w:sz w:val="14"/>
                <w:szCs w:val="14"/>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2/8/2023</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2"/>
              </w:rPr>
              <w:t>2,190</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5"/>
              </w:rPr>
              <w:t>$385,418</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1,091</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5"/>
              </w:rPr>
              <w:t>$192,005</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(4)</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2,183</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5"/>
              </w:rPr>
              <w:t>$384,186</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2"/>
              </w:rPr>
              <w:t>3,880</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5"/>
              </w:rPr>
              <w:t>$682,841</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0"/>
              </w:rPr>
              <w:t>11,065</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$1,947,329</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(4)</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0"/>
              </w:rPr>
              <w:t>11,065</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$1,947,329</w:t>
            </w:r>
          </w:p>
        </w:tc>
      </w:tr>
      <w:tr>
        <w:trPr>
          <w:trHeight w:val="183"/>
        </w:trPr>
        <w:tc>
          <w:tcPr>
            <w:tcW w:w="2820" w:type="dxa"/>
            <w:vAlign w:val="bottom"/>
            <w:tcBorders>
              <w:bottom w:val="single" w:sz="8" w:color="auto"/>
            </w:tcBorders>
            <w:shd w:val="clear" w:color="auto" w:fill="B2D5EE"/>
          </w:tcPr>
          <w:p>
            <w:pPr>
              <w:spacing w:after="0"/>
              <w:rPr>
                <w:sz w:val="15"/>
                <w:szCs w:val="15"/>
                <w:color w:val="auto"/>
              </w:rPr>
            </w:pPr>
          </w:p>
        </w:tc>
        <w:tc>
          <w:tcPr>
            <w:tcW w:w="720" w:type="dxa"/>
            <w:vAlign w:val="bottom"/>
            <w:tcBorders>
              <w:bottom w:val="single" w:sz="8" w:color="auto"/>
            </w:tcBorders>
            <w:shd w:val="clear" w:color="auto" w:fill="B2D5EE"/>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tcBorders>
              <w:bottom w:val="single" w:sz="8" w:color="auto"/>
            </w:tcBorders>
            <w:shd w:val="clear" w:color="auto" w:fill="B2D5EE"/>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tcBorders>
              <w:bottom w:val="single" w:sz="8" w:color="auto"/>
            </w:tcBorders>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5"/>
              </w:rPr>
              <w:t>14,750</w:t>
            </w:r>
          </w:p>
        </w:tc>
        <w:tc>
          <w:tcPr>
            <w:tcW w:w="920" w:type="dxa"/>
            <w:vAlign w:val="bottom"/>
            <w:tcBorders>
              <w:bottom w:val="single" w:sz="8" w:color="auto"/>
            </w:tcBorders>
            <w:shd w:val="clear" w:color="auto" w:fill="B2D5EE"/>
          </w:tcPr>
          <w:p>
            <w:pPr>
              <w:jc w:val="center"/>
              <w:ind w:left="17"/>
              <w:spacing w:after="0"/>
              <w:rPr>
                <w:sz w:val="20"/>
                <w:szCs w:val="20"/>
                <w:color w:val="auto"/>
              </w:rPr>
            </w:pPr>
            <w:r>
              <w:rPr>
                <w:rFonts w:ascii="Arial" w:cs="Arial" w:eastAsia="Arial" w:hAnsi="Arial"/>
                <w:sz w:val="13"/>
                <w:szCs w:val="13"/>
                <w:color w:val="auto"/>
                <w:w w:val="98"/>
              </w:rPr>
              <w:t>$2,595,853</w:t>
            </w:r>
          </w:p>
        </w:tc>
        <w:tc>
          <w:tcPr>
            <w:tcW w:w="880" w:type="dxa"/>
            <w:vAlign w:val="bottom"/>
            <w:tcBorders>
              <w:bottom w:val="single" w:sz="8" w:color="auto"/>
            </w:tcBorders>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tcBorders>
              <w:bottom w:val="single" w:sz="8" w:color="auto"/>
            </w:tcBorders>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72"/>
        </w:trPr>
        <w:tc>
          <w:tcPr>
            <w:tcW w:w="2820" w:type="dxa"/>
            <w:vAlign w:val="bottom"/>
            <w:shd w:val="clear" w:color="auto" w:fill="E5F1F9"/>
          </w:tcPr>
          <w:p>
            <w:pPr>
              <w:ind w:left="40"/>
              <w:spacing w:after="0"/>
              <w:rPr>
                <w:sz w:val="20"/>
                <w:szCs w:val="20"/>
                <w:color w:val="auto"/>
              </w:rPr>
            </w:pPr>
            <w:r>
              <w:rPr>
                <w:rFonts w:ascii="Arial" w:cs="Arial" w:eastAsia="Arial" w:hAnsi="Arial"/>
                <w:sz w:val="13"/>
                <w:szCs w:val="13"/>
                <w:b w:val="1"/>
                <w:bCs w:val="1"/>
                <w:color w:val="auto"/>
              </w:rPr>
              <w:t>Priya A. Singhal</w:t>
            </w: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2/8/2023</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r>
      <w:tr>
        <w:trPr>
          <w:trHeight w:val="166"/>
        </w:trPr>
        <w:tc>
          <w:tcPr>
            <w:tcW w:w="2820" w:type="dxa"/>
            <w:vAlign w:val="bottom"/>
            <w:shd w:val="clear" w:color="auto" w:fill="E5F1F9"/>
          </w:tcPr>
          <w:p>
            <w:pPr>
              <w:spacing w:after="0"/>
              <w:rPr>
                <w:sz w:val="14"/>
                <w:szCs w:val="14"/>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2/8/2023</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2"/>
              </w:rPr>
              <w:t>1,829</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5"/>
              </w:rPr>
              <w:t>$321,886</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r>
      <w:tr>
        <w:trPr>
          <w:trHeight w:val="175"/>
        </w:trPr>
        <w:tc>
          <w:tcPr>
            <w:tcW w:w="2820" w:type="dxa"/>
            <w:vAlign w:val="bottom"/>
            <w:shd w:val="clear" w:color="auto" w:fill="E5F1F9"/>
          </w:tcPr>
          <w:p>
            <w:pPr>
              <w:spacing w:after="0"/>
              <w:rPr>
                <w:sz w:val="15"/>
                <w:szCs w:val="15"/>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8"/>
              </w:rPr>
              <w:t>1,248</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5"/>
              </w:rPr>
              <w:t>$219,636</w:t>
            </w:r>
          </w:p>
        </w:tc>
      </w:tr>
      <w:tr>
        <w:trPr>
          <w:trHeight w:val="175"/>
        </w:trPr>
        <w:tc>
          <w:tcPr>
            <w:tcW w:w="2820" w:type="dxa"/>
            <w:vAlign w:val="bottom"/>
            <w:shd w:val="clear" w:color="auto" w:fill="E5F1F9"/>
          </w:tcPr>
          <w:p>
            <w:pPr>
              <w:spacing w:after="0"/>
              <w:rPr>
                <w:sz w:val="15"/>
                <w:szCs w:val="15"/>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(4)</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8"/>
              </w:rPr>
              <w:t>2,495</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5"/>
              </w:rPr>
              <w:t>$439,095</w:t>
            </w:r>
          </w:p>
        </w:tc>
      </w:tr>
      <w:tr>
        <w:trPr>
          <w:trHeight w:val="176"/>
        </w:trPr>
        <w:tc>
          <w:tcPr>
            <w:tcW w:w="2820" w:type="dxa"/>
            <w:vAlign w:val="bottom"/>
            <w:shd w:val="clear" w:color="auto" w:fill="E5F1F9"/>
          </w:tcPr>
          <w:p>
            <w:pPr>
              <w:spacing w:after="0"/>
              <w:rPr>
                <w:sz w:val="15"/>
                <w:szCs w:val="15"/>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2"/>
              </w:rPr>
              <w:t>4,434</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5"/>
              </w:rPr>
              <w:t>$780,340</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r>
      <w:tr>
        <w:trPr>
          <w:trHeight w:val="175"/>
        </w:trPr>
        <w:tc>
          <w:tcPr>
            <w:tcW w:w="2820" w:type="dxa"/>
            <w:vAlign w:val="bottom"/>
            <w:shd w:val="clear" w:color="auto" w:fill="E5F1F9"/>
          </w:tcPr>
          <w:p>
            <w:pPr>
              <w:spacing w:after="0"/>
              <w:rPr>
                <w:sz w:val="15"/>
                <w:szCs w:val="15"/>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rPr>
              <w:t>10,535</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8"/>
              </w:rPr>
              <w:t>$1,854,055</w:t>
            </w:r>
          </w:p>
        </w:tc>
      </w:tr>
      <w:tr>
        <w:trPr>
          <w:trHeight w:val="175"/>
        </w:trPr>
        <w:tc>
          <w:tcPr>
            <w:tcW w:w="2820" w:type="dxa"/>
            <w:vAlign w:val="bottom"/>
            <w:shd w:val="clear" w:color="auto" w:fill="E5F1F9"/>
          </w:tcPr>
          <w:p>
            <w:pPr>
              <w:spacing w:after="0"/>
              <w:rPr>
                <w:sz w:val="15"/>
                <w:szCs w:val="15"/>
                <w:color w:val="auto"/>
              </w:rPr>
            </w:pPr>
          </w:p>
        </w:tc>
        <w:tc>
          <w:tcPr>
            <w:tcW w:w="72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shd w:val="clear" w:color="auto" w:fill="E5F1F9"/>
          </w:tcPr>
          <w:p>
            <w:pPr>
              <w:jc w:val="center"/>
              <w:ind w:left="117"/>
              <w:spacing w:after="0"/>
              <w:rPr>
                <w:sz w:val="20"/>
                <w:szCs w:val="20"/>
                <w:color w:val="auto"/>
              </w:rPr>
            </w:pPr>
            <w:r>
              <w:rPr>
                <w:rFonts w:ascii="Arial" w:cs="Arial" w:eastAsia="Arial" w:hAnsi="Arial"/>
                <w:sz w:val="13"/>
                <w:szCs w:val="13"/>
                <w:color w:val="auto"/>
              </w:rPr>
              <w:t>(4)</w:t>
            </w:r>
          </w:p>
        </w:tc>
        <w:tc>
          <w:tcPr>
            <w:tcW w:w="950" w:type="dxa"/>
            <w:vAlign w:val="bottom"/>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rPr>
              <w:t>10,535</w:t>
            </w:r>
          </w:p>
        </w:tc>
        <w:tc>
          <w:tcPr>
            <w:tcW w:w="1080" w:type="dxa"/>
            <w:vAlign w:val="bottom"/>
            <w:shd w:val="clear" w:color="auto" w:fill="E5F1F9"/>
          </w:tcPr>
          <w:p>
            <w:pPr>
              <w:jc w:val="center"/>
              <w:ind w:left="97"/>
              <w:spacing w:after="0"/>
              <w:rPr>
                <w:sz w:val="20"/>
                <w:szCs w:val="20"/>
                <w:color w:val="auto"/>
              </w:rPr>
            </w:pPr>
            <w:r>
              <w:rPr>
                <w:rFonts w:ascii="Arial" w:cs="Arial" w:eastAsia="Arial" w:hAnsi="Arial"/>
                <w:sz w:val="13"/>
                <w:szCs w:val="13"/>
                <w:color w:val="auto"/>
                <w:w w:val="98"/>
              </w:rPr>
              <w:t>$1,854,055</w:t>
            </w:r>
          </w:p>
        </w:tc>
      </w:tr>
      <w:tr>
        <w:trPr>
          <w:trHeight w:val="183"/>
        </w:trPr>
        <w:tc>
          <w:tcPr>
            <w:tcW w:w="2820" w:type="dxa"/>
            <w:vAlign w:val="bottom"/>
            <w:tcBorders>
              <w:bottom w:val="single" w:sz="8" w:color="auto"/>
            </w:tcBorders>
            <w:shd w:val="clear" w:color="auto" w:fill="E5F1F9"/>
          </w:tcPr>
          <w:p>
            <w:pPr>
              <w:spacing w:after="0"/>
              <w:rPr>
                <w:sz w:val="15"/>
                <w:szCs w:val="15"/>
                <w:color w:val="auto"/>
              </w:rPr>
            </w:pPr>
          </w:p>
        </w:tc>
        <w:tc>
          <w:tcPr>
            <w:tcW w:w="720" w:type="dxa"/>
            <w:vAlign w:val="bottom"/>
            <w:tcBorders>
              <w:bottom w:val="single" w:sz="8" w:color="auto"/>
            </w:tcBorders>
            <w:shd w:val="clear" w:color="auto" w:fill="E5F1F9"/>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tcBorders>
              <w:bottom w:val="single" w:sz="8" w:color="auto"/>
            </w:tcBorders>
            <w:shd w:val="clear" w:color="auto" w:fill="E5F1F9"/>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tcBorders>
              <w:bottom w:val="single" w:sz="8" w:color="auto"/>
            </w:tcBorders>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5"/>
              </w:rPr>
              <w:t>14,050</w:t>
            </w:r>
          </w:p>
        </w:tc>
        <w:tc>
          <w:tcPr>
            <w:tcW w:w="920" w:type="dxa"/>
            <w:vAlign w:val="bottom"/>
            <w:tcBorders>
              <w:bottom w:val="single" w:sz="8" w:color="auto"/>
            </w:tcBorders>
            <w:shd w:val="clear" w:color="auto" w:fill="E5F1F9"/>
          </w:tcPr>
          <w:p>
            <w:pPr>
              <w:jc w:val="center"/>
              <w:ind w:left="17"/>
              <w:spacing w:after="0"/>
              <w:rPr>
                <w:sz w:val="20"/>
                <w:szCs w:val="20"/>
                <w:color w:val="auto"/>
              </w:rPr>
            </w:pPr>
            <w:r>
              <w:rPr>
                <w:rFonts w:ascii="Arial" w:cs="Arial" w:eastAsia="Arial" w:hAnsi="Arial"/>
                <w:sz w:val="13"/>
                <w:szCs w:val="13"/>
                <w:color w:val="auto"/>
                <w:w w:val="98"/>
              </w:rPr>
              <w:t>$2,472,660</w:t>
            </w:r>
          </w:p>
        </w:tc>
        <w:tc>
          <w:tcPr>
            <w:tcW w:w="880" w:type="dxa"/>
            <w:vAlign w:val="bottom"/>
            <w:tcBorders>
              <w:bottom w:val="single" w:sz="8" w:color="auto"/>
            </w:tcBorders>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tcBorders>
              <w:bottom w:val="single" w:sz="8" w:color="auto"/>
            </w:tcBorders>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r>
      <w:tr>
        <w:trPr>
          <w:trHeight w:val="172"/>
        </w:trPr>
        <w:tc>
          <w:tcPr>
            <w:tcW w:w="2820" w:type="dxa"/>
            <w:vAlign w:val="bottom"/>
            <w:shd w:val="clear" w:color="auto" w:fill="B2D5EE"/>
          </w:tcPr>
          <w:p>
            <w:pPr>
              <w:ind w:left="40"/>
              <w:spacing w:after="0"/>
              <w:rPr>
                <w:sz w:val="20"/>
                <w:szCs w:val="20"/>
                <w:color w:val="auto"/>
              </w:rPr>
            </w:pPr>
            <w:r>
              <w:rPr>
                <w:rFonts w:ascii="Arial" w:cs="Arial" w:eastAsia="Arial" w:hAnsi="Arial"/>
                <w:sz w:val="13"/>
                <w:szCs w:val="13"/>
                <w:b w:val="1"/>
                <w:bCs w:val="1"/>
                <w:color w:val="auto"/>
              </w:rPr>
              <w:t>Nicole C. Murphy</w:t>
            </w: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2/8/2023</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66"/>
        </w:trPr>
        <w:tc>
          <w:tcPr>
            <w:tcW w:w="2820" w:type="dxa"/>
            <w:vAlign w:val="bottom"/>
            <w:shd w:val="clear" w:color="auto" w:fill="B2D5EE"/>
          </w:tcPr>
          <w:p>
            <w:pPr>
              <w:spacing w:after="0"/>
              <w:rPr>
                <w:sz w:val="14"/>
                <w:szCs w:val="14"/>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2/8/2023</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2"/>
              </w:rPr>
              <w:t>2,102</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5"/>
              </w:rPr>
              <w:t>$369,931</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1,091</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5"/>
              </w:rPr>
              <w:t>$192,005</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(4)</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2,183</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5"/>
              </w:rPr>
              <w:t>$384,186</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2/7/2024</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2"/>
              </w:rPr>
              <w:t>3,880</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5"/>
              </w:rPr>
              <w:t>$682,841</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76"/>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(3)</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rPr>
              <w:t>10,535</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$1,854,055</w:t>
            </w:r>
          </w:p>
        </w:tc>
      </w:tr>
      <w:tr>
        <w:trPr>
          <w:trHeight w:val="175"/>
        </w:trPr>
        <w:tc>
          <w:tcPr>
            <w:tcW w:w="2820" w:type="dxa"/>
            <w:vAlign w:val="bottom"/>
            <w:shd w:val="clear" w:color="auto" w:fill="B2D5EE"/>
          </w:tcPr>
          <w:p>
            <w:pPr>
              <w:spacing w:after="0"/>
              <w:rPr>
                <w:sz w:val="15"/>
                <w:szCs w:val="15"/>
                <w:color w:val="auto"/>
              </w:rPr>
            </w:pPr>
          </w:p>
        </w:tc>
        <w:tc>
          <w:tcPr>
            <w:tcW w:w="72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shd w:val="clear" w:color="auto" w:fill="B2D5EE"/>
          </w:tcPr>
          <w:p>
            <w:pPr>
              <w:jc w:val="center"/>
              <w:ind w:left="117"/>
              <w:spacing w:after="0"/>
              <w:rPr>
                <w:sz w:val="20"/>
                <w:szCs w:val="20"/>
                <w:color w:val="auto"/>
              </w:rPr>
            </w:pPr>
            <w:r>
              <w:rPr>
                <w:rFonts w:ascii="Arial" w:cs="Arial" w:eastAsia="Arial" w:hAnsi="Arial"/>
                <w:sz w:val="13"/>
                <w:szCs w:val="13"/>
                <w:color w:val="auto"/>
              </w:rPr>
              <w:t>(4)</w:t>
            </w:r>
          </w:p>
        </w:tc>
        <w:tc>
          <w:tcPr>
            <w:tcW w:w="950" w:type="dxa"/>
            <w:vAlign w:val="bottom"/>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920" w:type="dxa"/>
            <w:vAlign w:val="bottom"/>
            <w:shd w:val="clear" w:color="auto" w:fill="B2D5EE"/>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rPr>
              <w:t>10,535</w:t>
            </w:r>
          </w:p>
        </w:tc>
        <w:tc>
          <w:tcPr>
            <w:tcW w:w="1080" w:type="dxa"/>
            <w:vAlign w:val="bottom"/>
            <w:shd w:val="clear" w:color="auto" w:fill="B2D5EE"/>
          </w:tcPr>
          <w:p>
            <w:pPr>
              <w:jc w:val="center"/>
              <w:ind w:left="97"/>
              <w:spacing w:after="0"/>
              <w:rPr>
                <w:sz w:val="20"/>
                <w:szCs w:val="20"/>
                <w:color w:val="auto"/>
              </w:rPr>
            </w:pPr>
            <w:r>
              <w:rPr>
                <w:rFonts w:ascii="Arial" w:cs="Arial" w:eastAsia="Arial" w:hAnsi="Arial"/>
                <w:sz w:val="13"/>
                <w:szCs w:val="13"/>
                <w:color w:val="auto"/>
                <w:w w:val="98"/>
              </w:rPr>
              <w:t>$1,854,055</w:t>
            </w:r>
          </w:p>
        </w:tc>
      </w:tr>
      <w:tr>
        <w:trPr>
          <w:trHeight w:val="183"/>
        </w:trPr>
        <w:tc>
          <w:tcPr>
            <w:tcW w:w="2820" w:type="dxa"/>
            <w:vAlign w:val="bottom"/>
            <w:tcBorders>
              <w:bottom w:val="single" w:sz="8" w:color="auto"/>
            </w:tcBorders>
            <w:shd w:val="clear" w:color="auto" w:fill="B2D5EE"/>
          </w:tcPr>
          <w:p>
            <w:pPr>
              <w:spacing w:after="0"/>
              <w:rPr>
                <w:sz w:val="15"/>
                <w:szCs w:val="15"/>
                <w:color w:val="auto"/>
              </w:rPr>
            </w:pPr>
          </w:p>
        </w:tc>
        <w:tc>
          <w:tcPr>
            <w:tcW w:w="720" w:type="dxa"/>
            <w:vAlign w:val="bottom"/>
            <w:tcBorders>
              <w:bottom w:val="single" w:sz="8" w:color="auto"/>
            </w:tcBorders>
            <w:shd w:val="clear" w:color="auto" w:fill="B2D5EE"/>
          </w:tcPr>
          <w:p>
            <w:pPr>
              <w:jc w:val="center"/>
              <w:ind w:left="97"/>
              <w:spacing w:after="0"/>
              <w:rPr>
                <w:sz w:val="20"/>
                <w:szCs w:val="20"/>
                <w:color w:val="auto"/>
              </w:rPr>
            </w:pPr>
            <w:r>
              <w:rPr>
                <w:rFonts w:ascii="Arial" w:cs="Arial" w:eastAsia="Arial" w:hAnsi="Arial"/>
                <w:sz w:val="13"/>
                <w:szCs w:val="13"/>
                <w:color w:val="auto"/>
                <w:w w:val="94"/>
              </w:rPr>
              <w:t>2/6/2025</w:t>
            </w:r>
          </w:p>
        </w:tc>
        <w:tc>
          <w:tcPr>
            <w:tcW w:w="500" w:type="dxa"/>
            <w:vAlign w:val="bottom"/>
            <w:tcBorders>
              <w:bottom w:val="single" w:sz="8" w:color="auto"/>
            </w:tcBorders>
            <w:shd w:val="clear" w:color="auto" w:fill="B2D5EE"/>
          </w:tcPr>
          <w:p>
            <w:pPr>
              <w:jc w:val="center"/>
              <w:ind w:left="117"/>
              <w:spacing w:after="0"/>
              <w:rPr>
                <w:sz w:val="20"/>
                <w:szCs w:val="20"/>
                <w:color w:val="auto"/>
              </w:rPr>
            </w:pPr>
            <w:r>
              <w:rPr>
                <w:rFonts w:ascii="Arial" w:cs="Arial" w:eastAsia="Arial" w:hAnsi="Arial"/>
                <w:sz w:val="13"/>
                <w:szCs w:val="13"/>
                <w:color w:val="auto"/>
              </w:rPr>
              <w:t>(5)</w:t>
            </w:r>
          </w:p>
        </w:tc>
        <w:tc>
          <w:tcPr>
            <w:tcW w:w="950" w:type="dxa"/>
            <w:vAlign w:val="bottom"/>
            <w:tcBorders>
              <w:bottom w:val="single" w:sz="8" w:color="auto"/>
            </w:tcBorders>
            <w:shd w:val="clear" w:color="auto" w:fill="B2D5EE"/>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5"/>
              </w:rPr>
              <w:t>14,050</w:t>
            </w:r>
          </w:p>
        </w:tc>
        <w:tc>
          <w:tcPr>
            <w:tcW w:w="920" w:type="dxa"/>
            <w:vAlign w:val="bottom"/>
            <w:tcBorders>
              <w:bottom w:val="single" w:sz="8" w:color="auto"/>
            </w:tcBorders>
            <w:shd w:val="clear" w:color="auto" w:fill="B2D5EE"/>
          </w:tcPr>
          <w:p>
            <w:pPr>
              <w:jc w:val="center"/>
              <w:ind w:left="17"/>
              <w:spacing w:after="0"/>
              <w:rPr>
                <w:sz w:val="20"/>
                <w:szCs w:val="20"/>
                <w:color w:val="auto"/>
              </w:rPr>
            </w:pPr>
            <w:r>
              <w:rPr>
                <w:rFonts w:ascii="Arial" w:cs="Arial" w:eastAsia="Arial" w:hAnsi="Arial"/>
                <w:sz w:val="13"/>
                <w:szCs w:val="13"/>
                <w:color w:val="auto"/>
                <w:w w:val="98"/>
              </w:rPr>
              <w:t>$2,472,660</w:t>
            </w:r>
          </w:p>
        </w:tc>
        <w:tc>
          <w:tcPr>
            <w:tcW w:w="880" w:type="dxa"/>
            <w:vAlign w:val="bottom"/>
            <w:tcBorders>
              <w:bottom w:val="single" w:sz="8" w:color="auto"/>
            </w:tcBorders>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tcBorders>
              <w:bottom w:val="single" w:sz="8" w:color="auto"/>
            </w:tcBorders>
            <w:shd w:val="clear" w:color="auto" w:fill="B2D5EE"/>
          </w:tcPr>
          <w:p>
            <w:pPr>
              <w:jc w:val="center"/>
              <w:ind w:left="97"/>
              <w:spacing w:after="0"/>
              <w:rPr>
                <w:sz w:val="20"/>
                <w:szCs w:val="20"/>
                <w:color w:val="auto"/>
              </w:rPr>
            </w:pPr>
            <w:r>
              <w:rPr>
                <w:rFonts w:ascii="Arial" w:cs="Arial" w:eastAsia="Arial" w:hAnsi="Arial"/>
                <w:sz w:val="13"/>
                <w:szCs w:val="13"/>
                <w:color w:val="auto"/>
                <w:w w:val="91"/>
              </w:rPr>
              <w:t>—</w:t>
            </w:r>
          </w:p>
        </w:tc>
      </w:tr>
      <w:tr>
        <w:trPr>
          <w:trHeight w:val="175"/>
        </w:trPr>
        <w:tc>
          <w:tcPr>
            <w:tcW w:w="2820" w:type="dxa"/>
            <w:vAlign w:val="bottom"/>
            <w:tcBorders>
              <w:bottom w:val="single" w:sz="8" w:color="auto"/>
            </w:tcBorders>
            <w:shd w:val="clear" w:color="auto" w:fill="E5F1F9"/>
          </w:tcPr>
          <w:p>
            <w:pPr>
              <w:ind w:left="40"/>
              <w:spacing w:after="0" w:line="176" w:lineRule="exact"/>
              <w:rPr>
                <w:sz w:val="20"/>
                <w:szCs w:val="20"/>
                <w:color w:val="auto"/>
              </w:rPr>
            </w:pPr>
            <w:r>
              <w:rPr>
                <w:rFonts w:ascii="Arial" w:cs="Arial" w:eastAsia="Arial" w:hAnsi="Arial"/>
                <w:sz w:val="13"/>
                <w:szCs w:val="13"/>
                <w:b w:val="1"/>
                <w:bCs w:val="1"/>
                <w:color w:val="auto"/>
              </w:rPr>
              <w:t>Michael R. McDonnell</w:t>
            </w:r>
            <w:r>
              <w:rPr>
                <w:rFonts w:ascii="Arial" w:cs="Arial" w:eastAsia="Arial" w:hAnsi="Arial"/>
                <w:sz w:val="18"/>
                <w:szCs w:val="18"/>
                <w:b w:val="1"/>
                <w:bCs w:val="1"/>
                <w:color w:val="auto"/>
                <w:vertAlign w:val="superscript"/>
              </w:rPr>
              <w:t>(6)</w:t>
            </w:r>
          </w:p>
        </w:tc>
        <w:tc>
          <w:tcPr>
            <w:tcW w:w="720" w:type="dxa"/>
            <w:vAlign w:val="bottom"/>
            <w:tcBorders>
              <w:bottom w:val="single" w:sz="8" w:color="auto"/>
            </w:tcBorders>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c>
          <w:tcPr>
            <w:tcW w:w="500" w:type="dxa"/>
            <w:vAlign w:val="bottom"/>
            <w:tcBorders>
              <w:bottom w:val="single" w:sz="8" w:color="auto"/>
            </w:tcBorders>
            <w:shd w:val="clear" w:color="auto" w:fill="E5F1F9"/>
          </w:tcPr>
          <w:p>
            <w:pPr>
              <w:jc w:val="center"/>
              <w:ind w:left="117"/>
              <w:spacing w:after="0"/>
              <w:rPr>
                <w:sz w:val="20"/>
                <w:szCs w:val="20"/>
                <w:color w:val="auto"/>
              </w:rPr>
            </w:pPr>
            <w:r>
              <w:rPr>
                <w:rFonts w:ascii="Arial" w:cs="Arial" w:eastAsia="Arial" w:hAnsi="Arial"/>
                <w:sz w:val="13"/>
                <w:szCs w:val="13"/>
                <w:color w:val="auto"/>
                <w:w w:val="91"/>
              </w:rPr>
              <w:t>—</w:t>
            </w:r>
          </w:p>
        </w:tc>
        <w:tc>
          <w:tcPr>
            <w:tcW w:w="950" w:type="dxa"/>
            <w:vAlign w:val="bottom"/>
            <w:tcBorders>
              <w:bottom w:val="single" w:sz="8" w:color="auto"/>
            </w:tcBorders>
            <w:shd w:val="clear" w:color="auto" w:fill="E5F1F9"/>
          </w:tcPr>
          <w:p>
            <w:pPr>
              <w:jc w:val="center"/>
              <w:ind w:left="27"/>
              <w:spacing w:after="0"/>
              <w:rPr>
                <w:sz w:val="20"/>
                <w:szCs w:val="20"/>
                <w:color w:val="auto"/>
              </w:rPr>
            </w:pPr>
            <w:r>
              <w:rPr>
                <w:rFonts w:ascii="Arial" w:cs="Arial" w:eastAsia="Arial" w:hAnsi="Arial"/>
                <w:sz w:val="13"/>
                <w:szCs w:val="13"/>
                <w:color w:val="auto"/>
                <w:w w:val="91"/>
              </w:rPr>
              <w:t>—</w:t>
            </w:r>
          </w:p>
        </w:tc>
        <w:tc>
          <w:tcPr>
            <w:tcW w:w="97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66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E5F1F9"/>
          </w:tcPr>
          <w:p>
            <w:pPr>
              <w:jc w:val="center"/>
              <w:ind w:left="17"/>
              <w:spacing w:after="0"/>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auto"/>
            </w:tcBorders>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c>
          <w:tcPr>
            <w:tcW w:w="1080" w:type="dxa"/>
            <w:vAlign w:val="bottom"/>
            <w:tcBorders>
              <w:bottom w:val="single" w:sz="8" w:color="auto"/>
            </w:tcBorders>
            <w:shd w:val="clear" w:color="auto" w:fill="E5F1F9"/>
          </w:tcPr>
          <w:p>
            <w:pPr>
              <w:jc w:val="center"/>
              <w:ind w:left="97"/>
              <w:spacing w:after="0"/>
              <w:rPr>
                <w:sz w:val="20"/>
                <w:szCs w:val="20"/>
                <w:color w:val="auto"/>
              </w:rPr>
            </w:pPr>
            <w:r>
              <w:rPr>
                <w:rFonts w:ascii="Arial" w:cs="Arial" w:eastAsia="Arial" w:hAnsi="Arial"/>
                <w:sz w:val="13"/>
                <w:szCs w:val="13"/>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-5142865</wp:posOffset>
            </wp:positionV>
            <wp:extent cx="11315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-5236845</wp:posOffset>
            </wp:positionV>
            <wp:extent cx="43205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Notes to the Outstanding Equity Awards at 2025 Fiscal Year-End Table</w:t>
      </w:r>
    </w:p>
    <w:p>
      <w:pPr>
        <w:spacing w:after="0" w:line="16" w:lineRule="exact"/>
        <w:rPr>
          <w:sz w:val="20"/>
          <w:szCs w:val="20"/>
          <w:color w:val="auto"/>
        </w:rPr>
      </w:pPr>
    </w:p>
    <w:p>
      <w:pPr>
        <w:ind w:left="660" w:hanging="436"/>
        <w:spacing w:after="0"/>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market value of awards is based on the closing price of our stock on December 31, 2025 ($175.99) as reported on Nasdaq.</w:t>
      </w:r>
    </w:p>
    <w:p>
      <w:pPr>
        <w:spacing w:after="0" w:line="1" w:lineRule="exact"/>
        <w:rPr>
          <w:rFonts w:ascii="Arial" w:cs="Arial" w:eastAsia="Arial" w:hAnsi="Arial"/>
          <w:sz w:val="14"/>
          <w:szCs w:val="14"/>
          <w:color w:val="auto"/>
        </w:rPr>
      </w:pPr>
    </w:p>
    <w:p>
      <w:pPr>
        <w:ind w:left="660" w:right="320" w:hanging="436"/>
        <w:spacing w:after="0" w:line="241"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Stock options were granted to Mr. Viehbacher in 2022. They vested and became exercisable in approximately equal annual installments on the first, second and third anniversaries of the grant date.</w:t>
      </w:r>
    </w:p>
    <w:p>
      <w:pPr>
        <w:ind w:left="660" w:right="200" w:hanging="436"/>
        <w:spacing w:after="0" w:line="249"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rTSR PSUs were granted in 2023, 2024 and 2025. Actual rTSR PSUs are earned based on three-year cumulative rTSR performance after the end of a three-year performance period (1/1/23-12/31/25, 1/1/24-12/31/26 and 1/1/25-12/31/27, respectively) and vest on the third anniversary of the date of grant. For 2023 rTSR PSUs, the numbers and values shown in columns (g) and (h), respectively, reflect no earned PSUs based on actual rTSR performance. For 2024 rTSR PSUs, the numbers and values shown in columns (i) and (j), respectively, assume threshold</w:t>
      </w:r>
    </w:p>
    <w:p>
      <w:pPr>
        <w:spacing w:after="0" w:line="12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-55-</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320"/>
        <w:spacing w:after="0"/>
        <w:rPr>
          <w:sz w:val="20"/>
          <w:szCs w:val="20"/>
          <w:color w:val="auto"/>
        </w:rPr>
      </w:pPr>
      <w:r>
        <w:rPr>
          <w:rFonts w:ascii="Arial" w:cs="Arial" w:eastAsia="Arial" w:hAnsi="Arial"/>
          <w:sz w:val="19"/>
          <w:szCs w:val="19"/>
          <w:color w:val="0075C9"/>
        </w:rPr>
        <w:t>Executive Compensation Tables</w:t>
      </w:r>
    </w:p>
    <w:p>
      <w:pPr>
        <w:spacing w:after="0" w:line="158" w:lineRule="exact"/>
        <w:rPr>
          <w:sz w:val="20"/>
          <w:szCs w:val="20"/>
          <w:color w:val="auto"/>
        </w:rPr>
      </w:pPr>
    </w:p>
    <w:p>
      <w:pPr>
        <w:ind w:left="660" w:right="300"/>
        <w:spacing w:after="0" w:line="251" w:lineRule="auto"/>
        <w:rPr>
          <w:sz w:val="20"/>
          <w:szCs w:val="20"/>
          <w:color w:val="auto"/>
        </w:rPr>
      </w:pPr>
      <w:r>
        <w:rPr>
          <w:rFonts w:ascii="Arial" w:cs="Arial" w:eastAsia="Arial" w:hAnsi="Arial"/>
          <w:sz w:val="14"/>
          <w:szCs w:val="14"/>
          <w:color w:val="auto"/>
        </w:rPr>
        <w:t>performance results. For 2025 rTSR PSUs, the numbers and values shown in columns (i) and (j), respectively, assume target performance results. For additional information on the rTSR PSU awards, please see “Long-Term Incentives” on page 43.</w:t>
      </w:r>
    </w:p>
    <w:p>
      <w:pPr>
        <w:spacing w:after="0" w:line="1" w:lineRule="exact"/>
        <w:rPr>
          <w:sz w:val="20"/>
          <w:szCs w:val="20"/>
          <w:color w:val="auto"/>
        </w:rPr>
      </w:pPr>
    </w:p>
    <w:p>
      <w:pPr>
        <w:ind w:left="660" w:right="140" w:hanging="436"/>
        <w:spacing w:after="0" w:line="242" w:lineRule="auto"/>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EPS CAGR PSUs were granted in 2024 and 2025. Actual EPS CAGR PSUs are earned based on three-year cumulative EPS performance after the end of a three-year performance period (1/1/24-12/31/26 and 1/1/25-12/31/27, respectively) and vest on the third anniversary of grant. For 2024 EPS CAGR PSUs, the numbers and values shown in columns (i) and (j), respectively, assume threshold performance results. For 2025 EPS CAGR PSUs, the numbers and values shown in columns (i) and (j), respectively, assume target performance results. For additional information on the EPS CAGR PSU awards, please see “Long-Term Incentives” on page 43.</w:t>
      </w:r>
    </w:p>
    <w:p>
      <w:pPr>
        <w:spacing w:after="0" w:line="160" w:lineRule="exact"/>
        <w:rPr>
          <w:rFonts w:ascii="Arial" w:cs="Arial" w:eastAsia="Arial" w:hAnsi="Arial"/>
          <w:sz w:val="14"/>
          <w:szCs w:val="14"/>
          <w:color w:val="auto"/>
        </w:rPr>
      </w:pPr>
    </w:p>
    <w:p>
      <w:pPr>
        <w:ind w:left="660" w:hanging="436"/>
        <w:spacing w:after="0"/>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RSU awards were granted in 2023, 2024 and 2025. They vest in three annual installments beginning on the first anniversary of the grant date.</w:t>
      </w:r>
    </w:p>
    <w:p>
      <w:pPr>
        <w:spacing w:after="0" w:line="1" w:lineRule="exact"/>
        <w:rPr>
          <w:rFonts w:ascii="Arial" w:cs="Arial" w:eastAsia="Arial" w:hAnsi="Arial"/>
          <w:sz w:val="14"/>
          <w:szCs w:val="14"/>
          <w:color w:val="auto"/>
        </w:rPr>
      </w:pPr>
    </w:p>
    <w:p>
      <w:pPr>
        <w:ind w:left="660" w:right="240" w:hanging="436"/>
        <w:spacing w:after="0" w:line="252" w:lineRule="auto"/>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Mr. McDonnell ceased to be our Executive Vice President and Chief Financial Officer and retired on March 1, 2025. Upon his retirement, any unvested equity holdings were forfeited consistent with the 2017 Omnibus Equity Plan and 2024 Omnibus Equity Plan. Mr. McDonnell did not hold any Biogen equity awards as of December 31, 2025.</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Option Exercises and Stock Vested</w:t>
      </w:r>
    </w:p>
    <w:p>
      <w:pPr>
        <w:spacing w:after="0" w:line="108"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color w:val="auto"/>
        </w:rPr>
        <w:t>The following table shows information regarding the exercise of stock options and the vesting of stock awards for each NEO during the year ended December 31, 2025. No NEO exercised stock options during 2025.</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3160" w:type="dxa"/>
            <w:vAlign w:val="bottom"/>
          </w:tcPr>
          <w:p>
            <w:pPr>
              <w:spacing w:after="0"/>
              <w:rPr>
                <w:sz w:val="20"/>
                <w:szCs w:val="20"/>
                <w:color w:val="auto"/>
              </w:rPr>
            </w:pPr>
            <w:r>
              <w:rPr>
                <w:rFonts w:ascii="Arial" w:cs="Arial" w:eastAsia="Arial" w:hAnsi="Arial"/>
                <w:sz w:val="14"/>
                <w:szCs w:val="14"/>
                <w:color w:val="FFFFFF"/>
              </w:rPr>
              <w:t>  Name</w:t>
            </w:r>
          </w:p>
        </w:tc>
        <w:tc>
          <w:tcPr>
            <w:tcW w:w="4800" w:type="dxa"/>
            <w:vAlign w:val="bottom"/>
          </w:tcPr>
          <w:p>
            <w:pPr>
              <w:ind w:left="1400"/>
              <w:spacing w:after="0"/>
              <w:rPr>
                <w:sz w:val="20"/>
                <w:szCs w:val="20"/>
                <w:color w:val="auto"/>
              </w:rPr>
            </w:pPr>
            <w:r>
              <w:rPr>
                <w:rFonts w:ascii="Arial" w:cs="Arial" w:eastAsia="Arial" w:hAnsi="Arial"/>
                <w:sz w:val="14"/>
                <w:szCs w:val="14"/>
                <w:color w:val="FFFFFF"/>
              </w:rPr>
              <w:t>Number of Shares Acquired on Vesting</w:t>
            </w:r>
            <w:r>
              <w:rPr>
                <w:rFonts w:ascii="Arial" w:cs="Arial" w:eastAsia="Arial" w:hAnsi="Arial"/>
                <w:sz w:val="14"/>
                <w:szCs w:val="14"/>
                <w:color w:val="FFFFFF"/>
                <w:vertAlign w:val="superscript"/>
              </w:rPr>
              <w:t>(1)</w:t>
            </w:r>
          </w:p>
        </w:tc>
        <w:tc>
          <w:tcPr>
            <w:tcW w:w="3080" w:type="dxa"/>
            <w:vAlign w:val="bottom"/>
            <w:gridSpan w:val="2"/>
          </w:tcPr>
          <w:p>
            <w:pPr>
              <w:ind w:left="860"/>
              <w:spacing w:after="0"/>
              <w:rPr>
                <w:sz w:val="20"/>
                <w:szCs w:val="20"/>
                <w:color w:val="auto"/>
              </w:rPr>
            </w:pPr>
            <w:r>
              <w:rPr>
                <w:rFonts w:ascii="Arial" w:cs="Arial" w:eastAsia="Arial" w:hAnsi="Arial"/>
                <w:sz w:val="14"/>
                <w:szCs w:val="14"/>
                <w:color w:val="FFFFFF"/>
              </w:rPr>
              <w:t>Value Realized on Vesting</w:t>
            </w:r>
            <w:r>
              <w:rPr>
                <w:rFonts w:ascii="Arial" w:cs="Arial" w:eastAsia="Arial" w:hAnsi="Arial"/>
                <w:sz w:val="14"/>
                <w:szCs w:val="14"/>
                <w:color w:val="FFFFFF"/>
                <w:vertAlign w:val="superscript"/>
              </w:rPr>
              <w:t>(2)</w:t>
            </w:r>
            <w:r>
              <w:rPr>
                <w:rFonts w:ascii="Arial" w:cs="Arial" w:eastAsia="Arial" w:hAnsi="Arial"/>
                <w:sz w:val="14"/>
                <w:szCs w:val="14"/>
                <w:color w:val="FFFFFF"/>
              </w:rPr>
              <w:t xml:space="preserve">          </w:t>
            </w:r>
          </w:p>
        </w:tc>
      </w:tr>
      <w:tr>
        <w:trPr>
          <w:trHeight w:val="220"/>
        </w:trPr>
        <w:tc>
          <w:tcPr>
            <w:tcW w:w="3160" w:type="dxa"/>
            <w:vAlign w:val="bottom"/>
            <w:shd w:val="clear" w:color="auto" w:fill="B2D5EE"/>
          </w:tcPr>
          <w:p>
            <w:pPr>
              <w:ind w:left="60"/>
              <w:spacing w:after="0"/>
              <w:rPr>
                <w:sz w:val="20"/>
                <w:szCs w:val="20"/>
                <w:color w:val="auto"/>
              </w:rPr>
            </w:pPr>
            <w:r>
              <w:rPr>
                <w:rFonts w:ascii="Arial" w:cs="Arial" w:eastAsia="Arial" w:hAnsi="Arial"/>
                <w:sz w:val="14"/>
                <w:szCs w:val="14"/>
                <w:color w:val="auto"/>
              </w:rPr>
              <w:t>Christopher A. Viehbacher</w:t>
            </w:r>
          </w:p>
        </w:tc>
        <w:tc>
          <w:tcPr>
            <w:tcW w:w="4800" w:type="dxa"/>
            <w:vAlign w:val="bottom"/>
            <w:shd w:val="clear" w:color="auto" w:fill="B2D5EE"/>
          </w:tcPr>
          <w:p>
            <w:pPr>
              <w:jc w:val="center"/>
              <w:ind w:left="488"/>
              <w:spacing w:after="0"/>
              <w:rPr>
                <w:sz w:val="20"/>
                <w:szCs w:val="20"/>
                <w:color w:val="auto"/>
              </w:rPr>
            </w:pPr>
            <w:r>
              <w:rPr>
                <w:rFonts w:ascii="Arial" w:cs="Arial" w:eastAsia="Arial" w:hAnsi="Arial"/>
                <w:sz w:val="14"/>
                <w:szCs w:val="14"/>
                <w:color w:val="auto"/>
              </w:rPr>
              <w:t>16,048</w:t>
            </w:r>
          </w:p>
        </w:tc>
        <w:tc>
          <w:tcPr>
            <w:tcW w:w="3060" w:type="dxa"/>
            <w:vAlign w:val="bottom"/>
            <w:shd w:val="clear" w:color="auto" w:fill="B2D5EE"/>
          </w:tcPr>
          <w:p>
            <w:pPr>
              <w:jc w:val="center"/>
              <w:ind w:left="788"/>
              <w:spacing w:after="0"/>
              <w:rPr>
                <w:sz w:val="20"/>
                <w:szCs w:val="20"/>
                <w:color w:val="auto"/>
              </w:rPr>
            </w:pPr>
            <w:r>
              <w:rPr>
                <w:rFonts w:ascii="Arial" w:cs="Arial" w:eastAsia="Arial" w:hAnsi="Arial"/>
                <w:sz w:val="14"/>
                <w:szCs w:val="14"/>
                <w:color w:val="auto"/>
              </w:rPr>
              <w:t>$2,524,852</w:t>
            </w:r>
          </w:p>
        </w:tc>
        <w:tc>
          <w:tcPr>
            <w:tcW w:w="20" w:type="dxa"/>
            <w:vAlign w:val="bottom"/>
          </w:tcPr>
          <w:p>
            <w:pPr>
              <w:spacing w:after="0"/>
              <w:rPr>
                <w:sz w:val="19"/>
                <w:szCs w:val="19"/>
                <w:color w:val="auto"/>
              </w:rPr>
            </w:pPr>
          </w:p>
        </w:tc>
      </w:tr>
      <w:tr>
        <w:trPr>
          <w:trHeight w:val="212"/>
        </w:trPr>
        <w:tc>
          <w:tcPr>
            <w:tcW w:w="3160" w:type="dxa"/>
            <w:vAlign w:val="bottom"/>
            <w:shd w:val="clear" w:color="auto" w:fill="E5F1F9"/>
          </w:tcPr>
          <w:p>
            <w:pPr>
              <w:ind w:left="60"/>
              <w:spacing w:after="0"/>
              <w:rPr>
                <w:sz w:val="20"/>
                <w:szCs w:val="20"/>
                <w:color w:val="auto"/>
              </w:rPr>
            </w:pPr>
            <w:r>
              <w:rPr>
                <w:rFonts w:ascii="Arial" w:cs="Arial" w:eastAsia="Arial" w:hAnsi="Arial"/>
                <w:sz w:val="14"/>
                <w:szCs w:val="14"/>
                <w:color w:val="auto"/>
              </w:rPr>
              <w:t>Robin C. Kramer</w:t>
            </w:r>
          </w:p>
        </w:tc>
        <w:tc>
          <w:tcPr>
            <w:tcW w:w="4800" w:type="dxa"/>
            <w:vAlign w:val="bottom"/>
            <w:shd w:val="clear" w:color="auto" w:fill="E5F1F9"/>
          </w:tcPr>
          <w:p>
            <w:pPr>
              <w:jc w:val="center"/>
              <w:ind w:left="488"/>
              <w:spacing w:after="0"/>
              <w:rPr>
                <w:sz w:val="20"/>
                <w:szCs w:val="20"/>
                <w:color w:val="auto"/>
              </w:rPr>
            </w:pPr>
            <w:r>
              <w:rPr>
                <w:rFonts w:ascii="Arial" w:cs="Arial" w:eastAsia="Arial" w:hAnsi="Arial"/>
                <w:sz w:val="14"/>
                <w:szCs w:val="14"/>
                <w:color w:val="auto"/>
              </w:rPr>
              <w:t>2,325</w:t>
            </w:r>
          </w:p>
        </w:tc>
        <w:tc>
          <w:tcPr>
            <w:tcW w:w="3060" w:type="dxa"/>
            <w:vAlign w:val="bottom"/>
            <w:shd w:val="clear" w:color="auto" w:fill="E5F1F9"/>
          </w:tcPr>
          <w:p>
            <w:pPr>
              <w:jc w:val="center"/>
              <w:ind w:left="788"/>
              <w:spacing w:after="0"/>
              <w:rPr>
                <w:sz w:val="20"/>
                <w:szCs w:val="20"/>
                <w:color w:val="auto"/>
              </w:rPr>
            </w:pPr>
            <w:r>
              <w:rPr>
                <w:rFonts w:ascii="Arial" w:cs="Arial" w:eastAsia="Arial" w:hAnsi="Arial"/>
                <w:sz w:val="14"/>
                <w:szCs w:val="14"/>
                <w:color w:val="auto"/>
              </w:rPr>
              <w:t>$329,631</w:t>
            </w:r>
          </w:p>
        </w:tc>
        <w:tc>
          <w:tcPr>
            <w:tcW w:w="20" w:type="dxa"/>
            <w:vAlign w:val="bottom"/>
          </w:tcPr>
          <w:p>
            <w:pPr>
              <w:spacing w:after="0"/>
              <w:rPr>
                <w:sz w:val="18"/>
                <w:szCs w:val="18"/>
                <w:color w:val="auto"/>
              </w:rPr>
            </w:pPr>
          </w:p>
        </w:tc>
      </w:tr>
      <w:tr>
        <w:trPr>
          <w:trHeight w:val="220"/>
        </w:trPr>
        <w:tc>
          <w:tcPr>
            <w:tcW w:w="3160" w:type="dxa"/>
            <w:vAlign w:val="bottom"/>
            <w:shd w:val="clear" w:color="auto" w:fill="B2D5EE"/>
          </w:tcPr>
          <w:p>
            <w:pPr>
              <w:ind w:left="60"/>
              <w:spacing w:after="0"/>
              <w:rPr>
                <w:sz w:val="20"/>
                <w:szCs w:val="20"/>
                <w:color w:val="auto"/>
              </w:rPr>
            </w:pPr>
            <w:r>
              <w:rPr>
                <w:rFonts w:ascii="Arial" w:cs="Arial" w:eastAsia="Arial" w:hAnsi="Arial"/>
                <w:sz w:val="14"/>
                <w:szCs w:val="14"/>
                <w:color w:val="auto"/>
              </w:rPr>
              <w:t>Susan H. Alexander</w:t>
            </w:r>
          </w:p>
        </w:tc>
        <w:tc>
          <w:tcPr>
            <w:tcW w:w="4800" w:type="dxa"/>
            <w:vAlign w:val="bottom"/>
            <w:shd w:val="clear" w:color="auto" w:fill="B2D5EE"/>
          </w:tcPr>
          <w:p>
            <w:pPr>
              <w:jc w:val="center"/>
              <w:ind w:left="488"/>
              <w:spacing w:after="0"/>
              <w:rPr>
                <w:sz w:val="20"/>
                <w:szCs w:val="20"/>
                <w:color w:val="auto"/>
              </w:rPr>
            </w:pPr>
            <w:r>
              <w:rPr>
                <w:rFonts w:ascii="Arial" w:cs="Arial" w:eastAsia="Arial" w:hAnsi="Arial"/>
                <w:sz w:val="14"/>
                <w:szCs w:val="14"/>
                <w:color w:val="auto"/>
              </w:rPr>
              <w:t>6,705</w:t>
            </w:r>
          </w:p>
        </w:tc>
        <w:tc>
          <w:tcPr>
            <w:tcW w:w="3060" w:type="dxa"/>
            <w:vAlign w:val="bottom"/>
            <w:shd w:val="clear" w:color="auto" w:fill="B2D5EE"/>
          </w:tcPr>
          <w:p>
            <w:pPr>
              <w:jc w:val="center"/>
              <w:ind w:left="788"/>
              <w:spacing w:after="0"/>
              <w:rPr>
                <w:sz w:val="20"/>
                <w:szCs w:val="20"/>
                <w:color w:val="auto"/>
              </w:rPr>
            </w:pPr>
            <w:r>
              <w:rPr>
                <w:rFonts w:ascii="Arial" w:cs="Arial" w:eastAsia="Arial" w:hAnsi="Arial"/>
                <w:sz w:val="14"/>
                <w:szCs w:val="14"/>
                <w:color w:val="auto"/>
              </w:rPr>
              <w:t>$950,816</w:t>
            </w:r>
          </w:p>
        </w:tc>
        <w:tc>
          <w:tcPr>
            <w:tcW w:w="20" w:type="dxa"/>
            <w:vAlign w:val="bottom"/>
          </w:tcPr>
          <w:p>
            <w:pPr>
              <w:spacing w:after="0"/>
              <w:rPr>
                <w:sz w:val="19"/>
                <w:szCs w:val="19"/>
                <w:color w:val="auto"/>
              </w:rPr>
            </w:pPr>
          </w:p>
        </w:tc>
      </w:tr>
      <w:tr>
        <w:trPr>
          <w:trHeight w:val="212"/>
        </w:trPr>
        <w:tc>
          <w:tcPr>
            <w:tcW w:w="3160" w:type="dxa"/>
            <w:vAlign w:val="bottom"/>
            <w:shd w:val="clear" w:color="auto" w:fill="E5F1F9"/>
          </w:tcPr>
          <w:p>
            <w:pPr>
              <w:ind w:left="60"/>
              <w:spacing w:after="0"/>
              <w:rPr>
                <w:sz w:val="20"/>
                <w:szCs w:val="20"/>
                <w:color w:val="auto"/>
              </w:rPr>
            </w:pPr>
            <w:r>
              <w:rPr>
                <w:rFonts w:ascii="Arial" w:cs="Arial" w:eastAsia="Arial" w:hAnsi="Arial"/>
                <w:sz w:val="14"/>
                <w:szCs w:val="14"/>
                <w:color w:val="auto"/>
              </w:rPr>
              <w:t>Priya A. Singhal</w:t>
            </w:r>
          </w:p>
        </w:tc>
        <w:tc>
          <w:tcPr>
            <w:tcW w:w="4800" w:type="dxa"/>
            <w:vAlign w:val="bottom"/>
            <w:shd w:val="clear" w:color="auto" w:fill="E5F1F9"/>
          </w:tcPr>
          <w:p>
            <w:pPr>
              <w:jc w:val="center"/>
              <w:ind w:left="488"/>
              <w:spacing w:after="0"/>
              <w:rPr>
                <w:sz w:val="20"/>
                <w:szCs w:val="20"/>
                <w:color w:val="auto"/>
              </w:rPr>
            </w:pPr>
            <w:r>
              <w:rPr>
                <w:rFonts w:ascii="Arial" w:cs="Arial" w:eastAsia="Arial" w:hAnsi="Arial"/>
                <w:sz w:val="14"/>
                <w:szCs w:val="14"/>
                <w:color w:val="auto"/>
              </w:rPr>
              <w:t>6,925</w:t>
            </w:r>
          </w:p>
        </w:tc>
        <w:tc>
          <w:tcPr>
            <w:tcW w:w="3060" w:type="dxa"/>
            <w:vAlign w:val="bottom"/>
            <w:shd w:val="clear" w:color="auto" w:fill="E5F1F9"/>
          </w:tcPr>
          <w:p>
            <w:pPr>
              <w:jc w:val="center"/>
              <w:ind w:left="788"/>
              <w:spacing w:after="0"/>
              <w:rPr>
                <w:sz w:val="20"/>
                <w:szCs w:val="20"/>
                <w:color w:val="auto"/>
              </w:rPr>
            </w:pPr>
            <w:r>
              <w:rPr>
                <w:rFonts w:ascii="Arial" w:cs="Arial" w:eastAsia="Arial" w:hAnsi="Arial"/>
                <w:sz w:val="14"/>
                <w:szCs w:val="14"/>
                <w:color w:val="auto"/>
              </w:rPr>
              <w:t>$969,769</w:t>
            </w:r>
          </w:p>
        </w:tc>
        <w:tc>
          <w:tcPr>
            <w:tcW w:w="20" w:type="dxa"/>
            <w:vAlign w:val="bottom"/>
          </w:tcPr>
          <w:p>
            <w:pPr>
              <w:spacing w:after="0"/>
              <w:rPr>
                <w:sz w:val="18"/>
                <w:szCs w:val="18"/>
                <w:color w:val="auto"/>
              </w:rPr>
            </w:pPr>
          </w:p>
        </w:tc>
      </w:tr>
      <w:tr>
        <w:trPr>
          <w:trHeight w:val="220"/>
        </w:trPr>
        <w:tc>
          <w:tcPr>
            <w:tcW w:w="3160" w:type="dxa"/>
            <w:vAlign w:val="bottom"/>
            <w:shd w:val="clear" w:color="auto" w:fill="B2D5EE"/>
          </w:tcPr>
          <w:p>
            <w:pPr>
              <w:ind w:left="60"/>
              <w:spacing w:after="0"/>
              <w:rPr>
                <w:sz w:val="20"/>
                <w:szCs w:val="20"/>
                <w:color w:val="auto"/>
              </w:rPr>
            </w:pPr>
            <w:r>
              <w:rPr>
                <w:rFonts w:ascii="Arial" w:cs="Arial" w:eastAsia="Arial" w:hAnsi="Arial"/>
                <w:sz w:val="14"/>
                <w:szCs w:val="14"/>
                <w:color w:val="auto"/>
              </w:rPr>
              <w:t>Nicole C. Murphy</w:t>
            </w:r>
          </w:p>
        </w:tc>
        <w:tc>
          <w:tcPr>
            <w:tcW w:w="4800" w:type="dxa"/>
            <w:vAlign w:val="bottom"/>
            <w:shd w:val="clear" w:color="auto" w:fill="B2D5EE"/>
          </w:tcPr>
          <w:p>
            <w:pPr>
              <w:jc w:val="center"/>
              <w:ind w:left="488"/>
              <w:spacing w:after="0"/>
              <w:rPr>
                <w:sz w:val="20"/>
                <w:szCs w:val="20"/>
                <w:color w:val="auto"/>
              </w:rPr>
            </w:pPr>
            <w:r>
              <w:rPr>
                <w:rFonts w:ascii="Arial" w:cs="Arial" w:eastAsia="Arial" w:hAnsi="Arial"/>
                <w:sz w:val="14"/>
                <w:szCs w:val="14"/>
                <w:color w:val="auto"/>
              </w:rPr>
              <w:t>6,314</w:t>
            </w:r>
          </w:p>
        </w:tc>
        <w:tc>
          <w:tcPr>
            <w:tcW w:w="3060" w:type="dxa"/>
            <w:vAlign w:val="bottom"/>
            <w:shd w:val="clear" w:color="auto" w:fill="B2D5EE"/>
          </w:tcPr>
          <w:p>
            <w:pPr>
              <w:jc w:val="center"/>
              <w:ind w:left="788"/>
              <w:spacing w:after="0"/>
              <w:rPr>
                <w:sz w:val="20"/>
                <w:szCs w:val="20"/>
                <w:color w:val="auto"/>
              </w:rPr>
            </w:pPr>
            <w:r>
              <w:rPr>
                <w:rFonts w:ascii="Arial" w:cs="Arial" w:eastAsia="Arial" w:hAnsi="Arial"/>
                <w:sz w:val="14"/>
                <w:szCs w:val="14"/>
                <w:color w:val="auto"/>
              </w:rPr>
              <w:t>$895,188</w:t>
            </w:r>
          </w:p>
        </w:tc>
        <w:tc>
          <w:tcPr>
            <w:tcW w:w="20" w:type="dxa"/>
            <w:vAlign w:val="bottom"/>
          </w:tcPr>
          <w:p>
            <w:pPr>
              <w:spacing w:after="0"/>
              <w:rPr>
                <w:sz w:val="19"/>
                <w:szCs w:val="19"/>
                <w:color w:val="auto"/>
              </w:rPr>
            </w:pPr>
          </w:p>
        </w:tc>
      </w:tr>
      <w:tr>
        <w:trPr>
          <w:trHeight w:val="208"/>
        </w:trPr>
        <w:tc>
          <w:tcPr>
            <w:tcW w:w="3160" w:type="dxa"/>
            <w:vAlign w:val="bottom"/>
          </w:tcPr>
          <w:p>
            <w:pPr>
              <w:ind w:left="60"/>
              <w:spacing w:after="0"/>
              <w:rPr>
                <w:sz w:val="20"/>
                <w:szCs w:val="20"/>
                <w:color w:val="auto"/>
              </w:rPr>
            </w:pPr>
            <w:r>
              <w:rPr>
                <w:rFonts w:ascii="Arial" w:cs="Arial" w:eastAsia="Arial" w:hAnsi="Arial"/>
                <w:sz w:val="14"/>
                <w:szCs w:val="14"/>
                <w:color w:val="auto"/>
              </w:rPr>
              <w:t>Michael R. McDonnell</w:t>
            </w:r>
          </w:p>
        </w:tc>
        <w:tc>
          <w:tcPr>
            <w:tcW w:w="4800" w:type="dxa"/>
            <w:vAlign w:val="bottom"/>
          </w:tcPr>
          <w:p>
            <w:pPr>
              <w:jc w:val="center"/>
              <w:ind w:left="488"/>
              <w:spacing w:after="0"/>
              <w:rPr>
                <w:sz w:val="20"/>
                <w:szCs w:val="20"/>
                <w:color w:val="auto"/>
              </w:rPr>
            </w:pPr>
            <w:r>
              <w:rPr>
                <w:rFonts w:ascii="Arial" w:cs="Arial" w:eastAsia="Arial" w:hAnsi="Arial"/>
                <w:sz w:val="14"/>
                <w:szCs w:val="14"/>
                <w:color w:val="auto"/>
              </w:rPr>
              <w:t>7,808</w:t>
            </w:r>
          </w:p>
        </w:tc>
        <w:tc>
          <w:tcPr>
            <w:tcW w:w="3060" w:type="dxa"/>
            <w:vAlign w:val="bottom"/>
          </w:tcPr>
          <w:p>
            <w:pPr>
              <w:jc w:val="center"/>
              <w:ind w:left="788"/>
              <w:spacing w:after="0"/>
              <w:rPr>
                <w:sz w:val="20"/>
                <w:szCs w:val="20"/>
                <w:color w:val="auto"/>
              </w:rPr>
            </w:pPr>
            <w:r>
              <w:rPr>
                <w:rFonts w:ascii="Arial" w:cs="Arial" w:eastAsia="Arial" w:hAnsi="Arial"/>
                <w:sz w:val="14"/>
                <w:szCs w:val="14"/>
                <w:color w:val="auto"/>
              </w:rPr>
              <w:t>$1,107,537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-937260</wp:posOffset>
            </wp:positionV>
            <wp:extent cx="6995160" cy="1200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i w:val="1"/>
          <w:iCs w:val="1"/>
          <w:color w:val="auto"/>
        </w:rPr>
        <w:t>Notes to the 2025 Option Exercises and Stock Vested Table</w:t>
      </w:r>
    </w:p>
    <w:p>
      <w:pPr>
        <w:spacing w:after="0" w:line="12" w:lineRule="exact"/>
        <w:rPr>
          <w:sz w:val="20"/>
          <w:szCs w:val="20"/>
          <w:color w:val="auto"/>
        </w:rPr>
      </w:pPr>
    </w:p>
    <w:p>
      <w:pPr>
        <w:ind w:left="540" w:right="280" w:hanging="424"/>
        <w:spacing w:after="0" w:line="264"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No shares vested under PSU programs in 2025. The number of our actual common stock acquired on vesting of RSUs in 2025, after stock was withheld to pay the minimum withholding of taxes, was as follows:</w:t>
      </w:r>
    </w:p>
    <w:p>
      <w:pPr>
        <w:spacing w:after="0" w:line="181" w:lineRule="exact"/>
        <w:rPr>
          <w:sz w:val="20"/>
          <w:szCs w:val="20"/>
          <w:color w:val="auto"/>
        </w:rPr>
      </w:pPr>
    </w:p>
    <w:tbl>
      <w:tblPr>
        <w:tblLayout w:type="fixed"/>
        <w:tblInd w:w="2860" w:type="dxa"/>
        <w:tblCellMar>
          <w:top w:w="0" w:type="dxa"/>
          <w:left w:w="0" w:type="dxa"/>
          <w:bottom w:w="0" w:type="dxa"/>
          <w:right w:w="0" w:type="dxa"/>
        </w:tblCellMar>
      </w:tblPr>
      <w:tr>
        <w:trPr>
          <w:trHeight w:val="223"/>
        </w:trPr>
        <w:tc>
          <w:tcPr>
            <w:tcW w:w="2320" w:type="dxa"/>
            <w:vAlign w:val="bottom"/>
            <w:tcBorders>
              <w:bottom w:val="single" w:sz="8" w:color="0075C9"/>
            </w:tcBorders>
            <w:shd w:val="clear" w:color="auto" w:fill="0075C9"/>
          </w:tcPr>
          <w:p>
            <w:pPr>
              <w:ind w:left="680"/>
              <w:spacing w:after="0"/>
              <w:rPr>
                <w:sz w:val="20"/>
                <w:szCs w:val="20"/>
                <w:color w:val="auto"/>
              </w:rPr>
            </w:pPr>
            <w:r>
              <w:rPr>
                <w:rFonts w:ascii="Arial" w:cs="Arial" w:eastAsia="Arial" w:hAnsi="Arial"/>
                <w:sz w:val="14"/>
                <w:szCs w:val="14"/>
                <w:color w:val="FFFFFF"/>
              </w:rPr>
              <w:t>Name</w:t>
            </w:r>
          </w:p>
        </w:tc>
        <w:tc>
          <w:tcPr>
            <w:tcW w:w="2000" w:type="dxa"/>
            <w:vAlign w:val="bottom"/>
            <w:tcBorders>
              <w:bottom w:val="single" w:sz="8" w:color="0075C9"/>
            </w:tcBorders>
            <w:shd w:val="clear" w:color="auto" w:fill="0075C9"/>
          </w:tcPr>
          <w:p>
            <w:pPr>
              <w:jc w:val="center"/>
              <w:ind w:left="488"/>
              <w:spacing w:after="0"/>
              <w:rPr>
                <w:sz w:val="20"/>
                <w:szCs w:val="20"/>
                <w:color w:val="auto"/>
              </w:rPr>
            </w:pPr>
            <w:r>
              <w:rPr>
                <w:rFonts w:ascii="Arial" w:cs="Arial" w:eastAsia="Arial" w:hAnsi="Arial"/>
                <w:sz w:val="14"/>
                <w:szCs w:val="14"/>
                <w:color w:val="FFFFFF"/>
                <w:w w:val="99"/>
              </w:rPr>
              <w:t>Net Shares Acquired </w:t>
            </w:r>
          </w:p>
        </w:tc>
      </w:tr>
      <w:tr>
        <w:trPr>
          <w:trHeight w:val="216"/>
        </w:trPr>
        <w:tc>
          <w:tcPr>
            <w:tcW w:w="2320" w:type="dxa"/>
            <w:vAlign w:val="bottom"/>
            <w:shd w:val="clear" w:color="auto" w:fill="B2D5EE"/>
          </w:tcPr>
          <w:p>
            <w:pPr>
              <w:ind w:left="40"/>
              <w:spacing w:after="0"/>
              <w:rPr>
                <w:sz w:val="20"/>
                <w:szCs w:val="20"/>
                <w:color w:val="auto"/>
              </w:rPr>
            </w:pPr>
            <w:r>
              <w:rPr>
                <w:rFonts w:ascii="Arial" w:cs="Arial" w:eastAsia="Arial" w:hAnsi="Arial"/>
                <w:sz w:val="14"/>
                <w:szCs w:val="14"/>
                <w:color w:val="auto"/>
              </w:rPr>
              <w:t>Christopher A. Viehbacher</w:t>
            </w:r>
          </w:p>
        </w:tc>
        <w:tc>
          <w:tcPr>
            <w:tcW w:w="2000" w:type="dxa"/>
            <w:vAlign w:val="bottom"/>
            <w:shd w:val="clear" w:color="auto" w:fill="B2D5EE"/>
          </w:tcPr>
          <w:p>
            <w:pPr>
              <w:jc w:val="center"/>
              <w:ind w:left="528"/>
              <w:spacing w:after="0"/>
              <w:rPr>
                <w:sz w:val="20"/>
                <w:szCs w:val="20"/>
                <w:color w:val="auto"/>
              </w:rPr>
            </w:pPr>
            <w:r>
              <w:rPr>
                <w:rFonts w:ascii="Arial" w:cs="Arial" w:eastAsia="Arial" w:hAnsi="Arial"/>
                <w:sz w:val="14"/>
                <w:szCs w:val="14"/>
                <w:color w:val="auto"/>
              </w:rPr>
              <w:t>9,443</w:t>
            </w:r>
          </w:p>
        </w:tc>
      </w:tr>
      <w:tr>
        <w:trPr>
          <w:trHeight w:val="212"/>
        </w:trPr>
        <w:tc>
          <w:tcPr>
            <w:tcW w:w="2320" w:type="dxa"/>
            <w:vAlign w:val="bottom"/>
            <w:shd w:val="clear" w:color="auto" w:fill="E5F1F9"/>
          </w:tcPr>
          <w:p>
            <w:pPr>
              <w:ind w:left="40"/>
              <w:spacing w:after="0"/>
              <w:rPr>
                <w:sz w:val="20"/>
                <w:szCs w:val="20"/>
                <w:color w:val="auto"/>
              </w:rPr>
            </w:pPr>
            <w:r>
              <w:rPr>
                <w:rFonts w:ascii="Arial" w:cs="Arial" w:eastAsia="Arial" w:hAnsi="Arial"/>
                <w:sz w:val="14"/>
                <w:szCs w:val="14"/>
                <w:color w:val="auto"/>
              </w:rPr>
              <w:t>Robin C. Kramer</w:t>
            </w:r>
          </w:p>
        </w:tc>
        <w:tc>
          <w:tcPr>
            <w:tcW w:w="2000" w:type="dxa"/>
            <w:vAlign w:val="bottom"/>
            <w:shd w:val="clear" w:color="auto" w:fill="E5F1F9"/>
          </w:tcPr>
          <w:p>
            <w:pPr>
              <w:jc w:val="center"/>
              <w:ind w:left="528"/>
              <w:spacing w:after="0"/>
              <w:rPr>
                <w:sz w:val="20"/>
                <w:szCs w:val="20"/>
                <w:color w:val="auto"/>
              </w:rPr>
            </w:pPr>
            <w:r>
              <w:rPr>
                <w:rFonts w:ascii="Arial" w:cs="Arial" w:eastAsia="Arial" w:hAnsi="Arial"/>
                <w:sz w:val="14"/>
                <w:szCs w:val="14"/>
                <w:color w:val="auto"/>
              </w:rPr>
              <w:t>1,604</w:t>
            </w:r>
          </w:p>
        </w:tc>
      </w:tr>
      <w:tr>
        <w:trPr>
          <w:trHeight w:val="220"/>
        </w:trPr>
        <w:tc>
          <w:tcPr>
            <w:tcW w:w="2320" w:type="dxa"/>
            <w:vAlign w:val="bottom"/>
            <w:shd w:val="clear" w:color="auto" w:fill="B2D5EE"/>
          </w:tcPr>
          <w:p>
            <w:pPr>
              <w:ind w:left="40"/>
              <w:spacing w:after="0"/>
              <w:rPr>
                <w:sz w:val="20"/>
                <w:szCs w:val="20"/>
                <w:color w:val="auto"/>
              </w:rPr>
            </w:pPr>
            <w:r>
              <w:rPr>
                <w:rFonts w:ascii="Arial" w:cs="Arial" w:eastAsia="Arial" w:hAnsi="Arial"/>
                <w:sz w:val="14"/>
                <w:szCs w:val="14"/>
                <w:color w:val="auto"/>
              </w:rPr>
              <w:t>Susan H. Alexander</w:t>
            </w:r>
          </w:p>
        </w:tc>
        <w:tc>
          <w:tcPr>
            <w:tcW w:w="2000" w:type="dxa"/>
            <w:vAlign w:val="bottom"/>
            <w:shd w:val="clear" w:color="auto" w:fill="B2D5EE"/>
          </w:tcPr>
          <w:p>
            <w:pPr>
              <w:jc w:val="center"/>
              <w:ind w:left="528"/>
              <w:spacing w:after="0"/>
              <w:rPr>
                <w:sz w:val="20"/>
                <w:szCs w:val="20"/>
                <w:color w:val="auto"/>
              </w:rPr>
            </w:pPr>
            <w:r>
              <w:rPr>
                <w:rFonts w:ascii="Arial" w:cs="Arial" w:eastAsia="Arial" w:hAnsi="Arial"/>
                <w:sz w:val="14"/>
                <w:szCs w:val="14"/>
                <w:color w:val="auto"/>
              </w:rPr>
              <w:t>4,664</w:t>
            </w:r>
          </w:p>
        </w:tc>
      </w:tr>
      <w:tr>
        <w:trPr>
          <w:trHeight w:val="212"/>
        </w:trPr>
        <w:tc>
          <w:tcPr>
            <w:tcW w:w="2320" w:type="dxa"/>
            <w:vAlign w:val="bottom"/>
            <w:shd w:val="clear" w:color="auto" w:fill="E5F1F9"/>
          </w:tcPr>
          <w:p>
            <w:pPr>
              <w:ind w:left="40"/>
              <w:spacing w:after="0"/>
              <w:rPr>
                <w:sz w:val="20"/>
                <w:szCs w:val="20"/>
                <w:color w:val="auto"/>
              </w:rPr>
            </w:pPr>
            <w:r>
              <w:rPr>
                <w:rFonts w:ascii="Arial" w:cs="Arial" w:eastAsia="Arial" w:hAnsi="Arial"/>
                <w:sz w:val="14"/>
                <w:szCs w:val="14"/>
                <w:color w:val="auto"/>
              </w:rPr>
              <w:t>Priya A. Singhal</w:t>
            </w:r>
          </w:p>
        </w:tc>
        <w:tc>
          <w:tcPr>
            <w:tcW w:w="2000" w:type="dxa"/>
            <w:vAlign w:val="bottom"/>
            <w:shd w:val="clear" w:color="auto" w:fill="E5F1F9"/>
          </w:tcPr>
          <w:p>
            <w:pPr>
              <w:jc w:val="center"/>
              <w:ind w:left="528"/>
              <w:spacing w:after="0"/>
              <w:rPr>
                <w:sz w:val="20"/>
                <w:szCs w:val="20"/>
                <w:color w:val="auto"/>
              </w:rPr>
            </w:pPr>
            <w:r>
              <w:rPr>
                <w:rFonts w:ascii="Arial" w:cs="Arial" w:eastAsia="Arial" w:hAnsi="Arial"/>
                <w:sz w:val="14"/>
                <w:szCs w:val="14"/>
                <w:color w:val="auto"/>
              </w:rPr>
              <w:t>4,502</w:t>
            </w:r>
          </w:p>
        </w:tc>
      </w:tr>
      <w:tr>
        <w:trPr>
          <w:trHeight w:val="220"/>
        </w:trPr>
        <w:tc>
          <w:tcPr>
            <w:tcW w:w="2320" w:type="dxa"/>
            <w:vAlign w:val="bottom"/>
            <w:shd w:val="clear" w:color="auto" w:fill="B2D5EE"/>
          </w:tcPr>
          <w:p>
            <w:pPr>
              <w:ind w:left="40"/>
              <w:spacing w:after="0"/>
              <w:rPr>
                <w:sz w:val="20"/>
                <w:szCs w:val="20"/>
                <w:color w:val="auto"/>
              </w:rPr>
            </w:pPr>
            <w:r>
              <w:rPr>
                <w:rFonts w:ascii="Arial" w:cs="Arial" w:eastAsia="Arial" w:hAnsi="Arial"/>
                <w:sz w:val="14"/>
                <w:szCs w:val="14"/>
                <w:color w:val="auto"/>
              </w:rPr>
              <w:t>Nicole C. Murphy</w:t>
            </w:r>
          </w:p>
        </w:tc>
        <w:tc>
          <w:tcPr>
            <w:tcW w:w="2000" w:type="dxa"/>
            <w:vAlign w:val="bottom"/>
            <w:shd w:val="clear" w:color="auto" w:fill="B2D5EE"/>
          </w:tcPr>
          <w:p>
            <w:pPr>
              <w:jc w:val="center"/>
              <w:ind w:left="528"/>
              <w:spacing w:after="0"/>
              <w:rPr>
                <w:sz w:val="20"/>
                <w:szCs w:val="20"/>
                <w:color w:val="auto"/>
              </w:rPr>
            </w:pPr>
            <w:r>
              <w:rPr>
                <w:rFonts w:ascii="Arial" w:cs="Arial" w:eastAsia="Arial" w:hAnsi="Arial"/>
                <w:sz w:val="14"/>
                <w:szCs w:val="14"/>
                <w:color w:val="auto"/>
              </w:rPr>
              <w:t>4,421</w:t>
            </w:r>
          </w:p>
        </w:tc>
      </w:tr>
      <w:tr>
        <w:trPr>
          <w:trHeight w:val="216"/>
        </w:trPr>
        <w:tc>
          <w:tcPr>
            <w:tcW w:w="2320" w:type="dxa"/>
            <w:vAlign w:val="bottom"/>
            <w:shd w:val="clear" w:color="auto" w:fill="E5F1F9"/>
          </w:tcPr>
          <w:p>
            <w:pPr>
              <w:ind w:left="40"/>
              <w:spacing w:after="0"/>
              <w:rPr>
                <w:sz w:val="20"/>
                <w:szCs w:val="20"/>
                <w:color w:val="auto"/>
              </w:rPr>
            </w:pPr>
            <w:r>
              <w:rPr>
                <w:rFonts w:ascii="Arial" w:cs="Arial" w:eastAsia="Arial" w:hAnsi="Arial"/>
                <w:sz w:val="14"/>
                <w:szCs w:val="14"/>
                <w:color w:val="auto"/>
              </w:rPr>
              <w:t>Michael R. McDonnell</w:t>
            </w:r>
          </w:p>
        </w:tc>
        <w:tc>
          <w:tcPr>
            <w:tcW w:w="2000" w:type="dxa"/>
            <w:vAlign w:val="bottom"/>
            <w:shd w:val="clear" w:color="auto" w:fill="E5F1F9"/>
          </w:tcPr>
          <w:p>
            <w:pPr>
              <w:jc w:val="center"/>
              <w:ind w:left="528"/>
              <w:spacing w:after="0"/>
              <w:rPr>
                <w:sz w:val="20"/>
                <w:szCs w:val="20"/>
                <w:color w:val="auto"/>
              </w:rPr>
            </w:pPr>
            <w:r>
              <w:rPr>
                <w:rFonts w:ascii="Arial" w:cs="Arial" w:eastAsia="Arial" w:hAnsi="Arial"/>
                <w:sz w:val="14"/>
                <w:szCs w:val="14"/>
                <w:color w:val="auto"/>
              </w:rPr>
              <w:t>4,935</w:t>
            </w:r>
          </w:p>
        </w:tc>
      </w:tr>
    </w:tbl>
    <w:p>
      <w:pPr>
        <w:spacing w:after="0" w:line="112" w:lineRule="exact"/>
        <w:rPr>
          <w:sz w:val="20"/>
          <w:szCs w:val="20"/>
          <w:color w:val="auto"/>
        </w:rPr>
      </w:pPr>
    </w:p>
    <w:p>
      <w:pPr>
        <w:ind w:left="540" w:right="340" w:hanging="424"/>
        <w:spacing w:after="0" w:line="285" w:lineRule="auto"/>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value realized for RSUs was calculated by multiplying the closing price of a share of our common stock on the vesting date by the total number of shares that vested on such date.</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2025 Non-Qualified Deferred Compensation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SSP covers our executive officers and other eligible employees in the U.S. Employees whose base salary and annual cash incentives for the year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exceed a specified Internal Revenue Service’s limit ($350,000 in 2025) and who receive a company-paid restoration match on the portion of their base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salary, annual bonus and cash payments in respect of CSPUs and cash-settled PSUs, as applicable, that exceeds this limit; the restoration match equals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 of this excess compensation. The restoration match feature is intended to provide the amount of matching employer contributions that the participant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would otherwise have been eligible to receive under our 401(k) plan but for the limit imposed by Section 401(a)(17) of the Internal Revenue Code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($350,000 for 2025). In addition, eligible employees may make voluntary contributions of up to 80% of their base salary and 100% of their annual bonus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cash payments in respect of CSPUs and cash-settled PSUs, as applicable, to the SSP. The company does not match participants’ voluntary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contributions to the SSP. The SSP provides for immediate vesting of the restoration match consistent with our immediate vesting of the company match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provided under our 401(k) plan.</w:t>
      </w:r>
    </w:p>
    <w:p>
      <w:pPr>
        <w:spacing w:after="0" w:line="97"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Notional SSP accounts are maintained for each participant. Accounts include employee and employer contributions and reflect the performance of notional investments selected by the employee or a default investment if the employee does not make a selection. These notional investment options include the mutual funds similar to those offered under our 401(k) plan as well as a fixed rate option which earns a rate of return determined each year by the company’s retirement committee. For contributions to the SSP fixed rate option in 2025, this rate of return was set at 5.5%. Contributions to the fixed rate option continue to earn interest at the rate of return that was in effect during the year of contribution. The excess of the interest rate applicable to the fixed rate option above 120% of the applicable federal long-term rate (compounded quarterly) earned by our NEOs during 2025 is shown in the Summary Compensation Table. We fund the SSP liabilities through COLI, which we purchase with the written consent of SSP participants, and investments in mutual funds. We believe that the COLI policies and mutual funds will be sufficient to cover plan liabilities through the projected payout date so the plan will not require direct funding by the company. Upon enrollment in the SSP, a participant must</w:t>
      </w:r>
    </w:p>
    <w:p>
      <w:pPr>
        <w:spacing w:after="0" w:line="132"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-56-</w:t>
      </w:r>
    </w:p>
    <w:p>
      <w:pPr>
        <w:sectPr>
          <w:pgSz w:w="11900" w:h="16838" w:orient="portrait"/>
          <w:cols w:equalWidth="0" w:num="1">
            <w:col w:w="11160"/>
          </w:cols>
          <w:pgMar w:left="320" w:top="482" w:right="4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320"/>
        <w:spacing w:after="0"/>
        <w:rPr>
          <w:sz w:val="20"/>
          <w:szCs w:val="20"/>
          <w:color w:val="auto"/>
        </w:rPr>
      </w:pPr>
      <w:r>
        <w:rPr>
          <w:rFonts w:ascii="Arial" w:cs="Arial" w:eastAsia="Arial" w:hAnsi="Arial"/>
          <w:sz w:val="19"/>
          <w:szCs w:val="19"/>
          <w:color w:val="0075C9"/>
        </w:rPr>
        <w:t>Executive Compensation Tables</w:t>
      </w:r>
    </w:p>
    <w:p>
      <w:pPr>
        <w:spacing w:after="0" w:line="154"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elect when and how distributions will be made from the participant’s account. Distributions can be made upon termination of the participant’s employment, either in a lump sum or up to 15 annual installments, or at a specified future date while the participant is still employed (an “in-service” distribution), either in a lump sum or up to 5 annual installments. Further, upon enrollment, a participant must also elect a distribution method upon death or a CIC of the Company, which can either be a lump sum payment or, if different, the method selected for payment upon termination of employment.</w:t>
      </w:r>
    </w:p>
    <w:p>
      <w:pPr>
        <w:spacing w:after="0" w:line="70"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The following table shows a summary of all contributions to, earnings on, and distributions received from, the SSP for each of our NEOs for the year ended December 31, 2025. The account balances as of year-end include all contributions and interest amounts earned by our NEOs through the end of 2025.</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380" w:type="dxa"/>
            <w:vAlign w:val="bottom"/>
            <w:shd w:val="clear" w:color="auto" w:fill="0075C9"/>
          </w:tcPr>
          <w:p>
            <w:pPr>
              <w:spacing w:after="0"/>
              <w:rPr>
                <w:sz w:val="16"/>
                <w:szCs w:val="16"/>
                <w:color w:val="auto"/>
              </w:rPr>
            </w:pPr>
          </w:p>
        </w:tc>
        <w:tc>
          <w:tcPr>
            <w:tcW w:w="2200" w:type="dxa"/>
            <w:vAlign w:val="bottom"/>
            <w:shd w:val="clear" w:color="auto" w:fill="0075C9"/>
          </w:tcPr>
          <w:p>
            <w:pPr>
              <w:jc w:val="center"/>
              <w:ind w:left="288"/>
              <w:spacing w:after="0"/>
              <w:rPr>
                <w:sz w:val="20"/>
                <w:szCs w:val="20"/>
                <w:color w:val="auto"/>
              </w:rPr>
            </w:pPr>
            <w:r>
              <w:rPr>
                <w:rFonts w:ascii="Arial" w:cs="Arial" w:eastAsia="Arial" w:hAnsi="Arial"/>
                <w:sz w:val="14"/>
                <w:szCs w:val="14"/>
                <w:color w:val="FFFFFF"/>
              </w:rPr>
              <w:t>Executive</w:t>
            </w:r>
          </w:p>
        </w:tc>
        <w:tc>
          <w:tcPr>
            <w:tcW w:w="162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Company</w:t>
            </w:r>
          </w:p>
        </w:tc>
        <w:tc>
          <w:tcPr>
            <w:tcW w:w="156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Aggregate</w:t>
            </w:r>
          </w:p>
        </w:tc>
        <w:tc>
          <w:tcPr>
            <w:tcW w:w="15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Aggregate</w:t>
            </w:r>
          </w:p>
        </w:tc>
        <w:tc>
          <w:tcPr>
            <w:tcW w:w="1720" w:type="dxa"/>
            <w:vAlign w:val="bottom"/>
            <w:shd w:val="clear" w:color="auto" w:fill="0075C9"/>
          </w:tcPr>
          <w:p>
            <w:pPr>
              <w:ind w:left="280"/>
              <w:spacing w:after="0"/>
              <w:rPr>
                <w:sz w:val="20"/>
                <w:szCs w:val="20"/>
                <w:color w:val="auto"/>
              </w:rPr>
            </w:pPr>
            <w:r>
              <w:rPr>
                <w:rFonts w:ascii="Arial" w:cs="Arial" w:eastAsia="Arial" w:hAnsi="Arial"/>
                <w:sz w:val="14"/>
                <w:szCs w:val="14"/>
                <w:color w:val="FFFFFF"/>
              </w:rPr>
              <w:t>  Aggregate Balance</w:t>
            </w:r>
          </w:p>
        </w:tc>
      </w:tr>
      <w:tr>
        <w:trPr>
          <w:trHeight w:val="162"/>
        </w:trPr>
        <w:tc>
          <w:tcPr>
            <w:tcW w:w="2380" w:type="dxa"/>
            <w:vAlign w:val="bottom"/>
            <w:shd w:val="clear" w:color="auto" w:fill="0075C9"/>
          </w:tcPr>
          <w:p>
            <w:pPr>
              <w:spacing w:after="0"/>
              <w:rPr>
                <w:sz w:val="14"/>
                <w:szCs w:val="14"/>
                <w:color w:val="auto"/>
              </w:rPr>
            </w:pPr>
          </w:p>
        </w:tc>
        <w:tc>
          <w:tcPr>
            <w:tcW w:w="2200" w:type="dxa"/>
            <w:vAlign w:val="bottom"/>
            <w:shd w:val="clear" w:color="auto" w:fill="0075C9"/>
          </w:tcPr>
          <w:p>
            <w:pPr>
              <w:jc w:val="center"/>
              <w:ind w:left="288"/>
              <w:spacing w:after="0"/>
              <w:rPr>
                <w:sz w:val="20"/>
                <w:szCs w:val="20"/>
                <w:color w:val="auto"/>
              </w:rPr>
            </w:pPr>
            <w:r>
              <w:rPr>
                <w:rFonts w:ascii="Arial" w:cs="Arial" w:eastAsia="Arial" w:hAnsi="Arial"/>
                <w:sz w:val="14"/>
                <w:szCs w:val="14"/>
                <w:color w:val="FFFFFF"/>
              </w:rPr>
              <w:t>Contributions in Last</w:t>
            </w:r>
          </w:p>
        </w:tc>
        <w:tc>
          <w:tcPr>
            <w:tcW w:w="162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Contributions in</w:t>
            </w:r>
          </w:p>
        </w:tc>
        <w:tc>
          <w:tcPr>
            <w:tcW w:w="156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Earnings in Last</w:t>
            </w:r>
          </w:p>
        </w:tc>
        <w:tc>
          <w:tcPr>
            <w:tcW w:w="15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Distributions in</w:t>
            </w:r>
          </w:p>
        </w:tc>
        <w:tc>
          <w:tcPr>
            <w:tcW w:w="1720" w:type="dxa"/>
            <w:vAlign w:val="bottom"/>
            <w:shd w:val="clear" w:color="auto" w:fill="0075C9"/>
          </w:tcPr>
          <w:p>
            <w:pPr>
              <w:jc w:val="center"/>
              <w:ind w:left="128"/>
              <w:spacing w:after="0"/>
              <w:rPr>
                <w:sz w:val="20"/>
                <w:szCs w:val="20"/>
                <w:color w:val="auto"/>
              </w:rPr>
            </w:pPr>
            <w:r>
              <w:rPr>
                <w:rFonts w:ascii="Arial" w:cs="Arial" w:eastAsia="Arial" w:hAnsi="Arial"/>
                <w:sz w:val="14"/>
                <w:szCs w:val="14"/>
                <w:color w:val="FFFFFF"/>
              </w:rPr>
              <w:t>at Last Fiscal</w:t>
            </w:r>
          </w:p>
        </w:tc>
      </w:tr>
      <w:tr>
        <w:trPr>
          <w:trHeight w:val="212"/>
        </w:trPr>
        <w:tc>
          <w:tcPr>
            <w:tcW w:w="2380" w:type="dxa"/>
            <w:vAlign w:val="bottom"/>
            <w:shd w:val="clear" w:color="auto" w:fill="0075C9"/>
          </w:tcPr>
          <w:p>
            <w:pPr>
              <w:ind w:left="80"/>
              <w:spacing w:after="0"/>
              <w:rPr>
                <w:sz w:val="20"/>
                <w:szCs w:val="20"/>
                <w:color w:val="auto"/>
              </w:rPr>
            </w:pPr>
            <w:r>
              <w:rPr>
                <w:rFonts w:ascii="Arial" w:cs="Arial" w:eastAsia="Arial" w:hAnsi="Arial"/>
                <w:sz w:val="14"/>
                <w:szCs w:val="14"/>
                <w:color w:val="FFFFFF"/>
              </w:rPr>
              <w:t>Name</w:t>
            </w:r>
          </w:p>
        </w:tc>
        <w:tc>
          <w:tcPr>
            <w:tcW w:w="2200" w:type="dxa"/>
            <w:vAlign w:val="bottom"/>
            <w:shd w:val="clear" w:color="auto" w:fill="0075C9"/>
          </w:tcPr>
          <w:p>
            <w:pPr>
              <w:jc w:val="center"/>
              <w:ind w:left="288"/>
              <w:spacing w:after="0"/>
              <w:rPr>
                <w:sz w:val="20"/>
                <w:szCs w:val="20"/>
                <w:color w:val="auto"/>
              </w:rPr>
            </w:pPr>
            <w:r>
              <w:rPr>
                <w:rFonts w:ascii="Arial" w:cs="Arial" w:eastAsia="Arial" w:hAnsi="Arial"/>
                <w:sz w:val="14"/>
                <w:szCs w:val="14"/>
                <w:color w:val="FFFFFF"/>
                <w:w w:val="98"/>
              </w:rPr>
              <w:t>Fiscal Year</w:t>
            </w:r>
            <w:r>
              <w:rPr>
                <w:rFonts w:ascii="Arial" w:cs="Arial" w:eastAsia="Arial" w:hAnsi="Arial"/>
                <w:sz w:val="14"/>
                <w:szCs w:val="14"/>
                <w:color w:val="FFFFFF"/>
                <w:w w:val="98"/>
                <w:vertAlign w:val="superscript"/>
              </w:rPr>
              <w:t>(1)</w:t>
            </w:r>
          </w:p>
        </w:tc>
        <w:tc>
          <w:tcPr>
            <w:tcW w:w="162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8"/>
              </w:rPr>
              <w:t>Last Fiscal Year</w:t>
            </w:r>
            <w:r>
              <w:rPr>
                <w:rFonts w:ascii="Arial" w:cs="Arial" w:eastAsia="Arial" w:hAnsi="Arial"/>
                <w:sz w:val="14"/>
                <w:szCs w:val="14"/>
                <w:color w:val="FFFFFF"/>
                <w:w w:val="98"/>
                <w:vertAlign w:val="superscript"/>
              </w:rPr>
              <w:t>(2)</w:t>
            </w:r>
          </w:p>
        </w:tc>
        <w:tc>
          <w:tcPr>
            <w:tcW w:w="156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8"/>
              </w:rPr>
              <w:t>Fiscal Year</w:t>
            </w:r>
            <w:r>
              <w:rPr>
                <w:rFonts w:ascii="Arial" w:cs="Arial" w:eastAsia="Arial" w:hAnsi="Arial"/>
                <w:sz w:val="14"/>
                <w:szCs w:val="14"/>
                <w:color w:val="FFFFFF"/>
                <w:w w:val="98"/>
                <w:vertAlign w:val="superscript"/>
              </w:rPr>
              <w:t>(3)</w:t>
            </w:r>
          </w:p>
        </w:tc>
        <w:tc>
          <w:tcPr>
            <w:tcW w:w="15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Last Fiscal Year</w:t>
            </w:r>
          </w:p>
        </w:tc>
        <w:tc>
          <w:tcPr>
            <w:tcW w:w="1720" w:type="dxa"/>
            <w:vAlign w:val="bottom"/>
            <w:shd w:val="clear" w:color="auto" w:fill="0075C9"/>
          </w:tcPr>
          <w:p>
            <w:pPr>
              <w:jc w:val="center"/>
              <w:ind w:left="128"/>
              <w:spacing w:after="0"/>
              <w:rPr>
                <w:sz w:val="20"/>
                <w:szCs w:val="20"/>
                <w:color w:val="auto"/>
              </w:rPr>
            </w:pPr>
            <w:r>
              <w:rPr>
                <w:rFonts w:ascii="Arial" w:cs="Arial" w:eastAsia="Arial" w:hAnsi="Arial"/>
                <w:sz w:val="14"/>
                <w:szCs w:val="14"/>
                <w:color w:val="FFFFFF"/>
                <w:w w:val="96"/>
              </w:rPr>
              <w:t>Year-End</w:t>
            </w:r>
            <w:r>
              <w:rPr>
                <w:rFonts w:ascii="Arial" w:cs="Arial" w:eastAsia="Arial" w:hAnsi="Arial"/>
                <w:sz w:val="14"/>
                <w:szCs w:val="14"/>
                <w:color w:val="FFFFFF"/>
                <w:w w:val="96"/>
                <w:vertAlign w:val="superscript"/>
              </w:rPr>
              <w:t>(4)</w:t>
            </w:r>
          </w:p>
        </w:tc>
      </w:tr>
      <w:tr>
        <w:trPr>
          <w:trHeight w:val="216"/>
        </w:trPr>
        <w:tc>
          <w:tcPr>
            <w:tcW w:w="2380" w:type="dxa"/>
            <w:vAlign w:val="bottom"/>
            <w:shd w:val="clear" w:color="auto" w:fill="99C7E9"/>
          </w:tcPr>
          <w:p>
            <w:pPr>
              <w:ind w:left="80"/>
              <w:spacing w:after="0"/>
              <w:rPr>
                <w:sz w:val="20"/>
                <w:szCs w:val="20"/>
                <w:color w:val="auto"/>
              </w:rPr>
            </w:pPr>
            <w:r>
              <w:rPr>
                <w:rFonts w:ascii="Arial" w:cs="Arial" w:eastAsia="Arial" w:hAnsi="Arial"/>
                <w:sz w:val="14"/>
                <w:szCs w:val="14"/>
                <w:color w:val="auto"/>
              </w:rPr>
              <w:t>Christopher A. Viehbacher</w:t>
            </w:r>
          </w:p>
        </w:tc>
        <w:tc>
          <w:tcPr>
            <w:tcW w:w="2200" w:type="dxa"/>
            <w:vAlign w:val="bottom"/>
            <w:shd w:val="clear" w:color="auto" w:fill="99C7E9"/>
          </w:tcPr>
          <w:p>
            <w:pPr>
              <w:jc w:val="center"/>
              <w:ind w:left="288"/>
              <w:spacing w:after="0"/>
              <w:rPr>
                <w:sz w:val="20"/>
                <w:szCs w:val="20"/>
                <w:color w:val="auto"/>
              </w:rPr>
            </w:pPr>
            <w:r>
              <w:rPr>
                <w:rFonts w:ascii="Arial" w:cs="Arial" w:eastAsia="Arial" w:hAnsi="Arial"/>
                <w:sz w:val="14"/>
                <w:szCs w:val="14"/>
                <w:color w:val="auto"/>
              </w:rPr>
              <w:t>$3,188,725</w:t>
            </w:r>
          </w:p>
        </w:tc>
        <w:tc>
          <w:tcPr>
            <w:tcW w:w="1620" w:type="dxa"/>
            <w:vAlign w:val="bottom"/>
            <w:shd w:val="clear" w:color="auto" w:fill="99C7E9"/>
          </w:tcPr>
          <w:p>
            <w:pPr>
              <w:jc w:val="center"/>
              <w:spacing w:after="0"/>
              <w:rPr>
                <w:sz w:val="20"/>
                <w:szCs w:val="20"/>
                <w:color w:val="auto"/>
              </w:rPr>
            </w:pPr>
            <w:r>
              <w:rPr>
                <w:rFonts w:ascii="Arial" w:cs="Arial" w:eastAsia="Arial" w:hAnsi="Arial"/>
                <w:sz w:val="14"/>
                <w:szCs w:val="14"/>
                <w:color w:val="auto"/>
              </w:rPr>
              <w:t>$336,278</w:t>
            </w:r>
          </w:p>
        </w:tc>
        <w:tc>
          <w:tcPr>
            <w:tcW w:w="1560" w:type="dxa"/>
            <w:vAlign w:val="bottom"/>
            <w:shd w:val="clear" w:color="auto" w:fill="99C7E9"/>
          </w:tcPr>
          <w:p>
            <w:pPr>
              <w:jc w:val="center"/>
              <w:spacing w:after="0"/>
              <w:rPr>
                <w:sz w:val="20"/>
                <w:szCs w:val="20"/>
                <w:color w:val="auto"/>
              </w:rPr>
            </w:pPr>
            <w:r>
              <w:rPr>
                <w:rFonts w:ascii="Arial" w:cs="Arial" w:eastAsia="Arial" w:hAnsi="Arial"/>
                <w:sz w:val="14"/>
                <w:szCs w:val="14"/>
                <w:color w:val="auto"/>
              </w:rPr>
              <w:t>$1,017,722</w:t>
            </w:r>
          </w:p>
        </w:tc>
        <w:tc>
          <w:tcPr>
            <w:tcW w:w="1540" w:type="dxa"/>
            <w:vAlign w:val="bottom"/>
            <w:shd w:val="clear" w:color="auto" w:fill="99C7E9"/>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shd w:val="clear" w:color="auto" w:fill="99C7E9"/>
          </w:tcPr>
          <w:p>
            <w:pPr>
              <w:jc w:val="center"/>
              <w:ind w:left="128"/>
              <w:spacing w:after="0"/>
              <w:rPr>
                <w:sz w:val="20"/>
                <w:szCs w:val="20"/>
                <w:color w:val="auto"/>
              </w:rPr>
            </w:pPr>
            <w:r>
              <w:rPr>
                <w:rFonts w:ascii="Arial" w:cs="Arial" w:eastAsia="Arial" w:hAnsi="Arial"/>
                <w:sz w:val="14"/>
                <w:szCs w:val="14"/>
                <w:color w:val="auto"/>
              </w:rPr>
              <w:t>$7,066,006</w:t>
            </w:r>
          </w:p>
        </w:tc>
      </w:tr>
      <w:tr>
        <w:trPr>
          <w:trHeight w:val="212"/>
        </w:trPr>
        <w:tc>
          <w:tcPr>
            <w:tcW w:w="2380" w:type="dxa"/>
            <w:vAlign w:val="bottom"/>
            <w:shd w:val="clear" w:color="auto" w:fill="E5F1F9"/>
          </w:tcPr>
          <w:p>
            <w:pPr>
              <w:ind w:left="80"/>
              <w:spacing w:after="0"/>
              <w:rPr>
                <w:sz w:val="20"/>
                <w:szCs w:val="20"/>
                <w:color w:val="auto"/>
              </w:rPr>
            </w:pPr>
            <w:r>
              <w:rPr>
                <w:rFonts w:ascii="Arial" w:cs="Arial" w:eastAsia="Arial" w:hAnsi="Arial"/>
                <w:sz w:val="14"/>
                <w:szCs w:val="14"/>
                <w:color w:val="auto"/>
              </w:rPr>
              <w:t>Robin C. Kramer</w:t>
            </w:r>
          </w:p>
        </w:tc>
        <w:tc>
          <w:tcPr>
            <w:tcW w:w="2200" w:type="dxa"/>
            <w:vAlign w:val="bottom"/>
            <w:shd w:val="clear" w:color="auto" w:fill="E5F1F9"/>
          </w:tcPr>
          <w:p>
            <w:pPr>
              <w:jc w:val="center"/>
              <w:ind w:left="288"/>
              <w:spacing w:after="0"/>
              <w:rPr>
                <w:sz w:val="20"/>
                <w:szCs w:val="20"/>
                <w:color w:val="auto"/>
              </w:rPr>
            </w:pPr>
            <w:r>
              <w:rPr>
                <w:rFonts w:ascii="Arial" w:cs="Arial" w:eastAsia="Arial" w:hAnsi="Arial"/>
                <w:sz w:val="14"/>
                <w:szCs w:val="14"/>
                <w:color w:val="auto"/>
              </w:rPr>
              <w:t>$433,133</w:t>
            </w:r>
          </w:p>
        </w:tc>
        <w:tc>
          <w:tcPr>
            <w:tcW w:w="162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$55,766</w:t>
            </w:r>
          </w:p>
        </w:tc>
        <w:tc>
          <w:tcPr>
            <w:tcW w:w="156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$86,745</w:t>
            </w:r>
          </w:p>
        </w:tc>
        <w:tc>
          <w:tcPr>
            <w:tcW w:w="1540" w:type="dxa"/>
            <w:vAlign w:val="bottom"/>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shd w:val="clear" w:color="auto" w:fill="E5F1F9"/>
          </w:tcPr>
          <w:p>
            <w:pPr>
              <w:jc w:val="center"/>
              <w:ind w:left="128"/>
              <w:spacing w:after="0"/>
              <w:rPr>
                <w:sz w:val="20"/>
                <w:szCs w:val="20"/>
                <w:color w:val="auto"/>
              </w:rPr>
            </w:pPr>
            <w:r>
              <w:rPr>
                <w:rFonts w:ascii="Arial" w:cs="Arial" w:eastAsia="Arial" w:hAnsi="Arial"/>
                <w:sz w:val="14"/>
                <w:szCs w:val="14"/>
                <w:color w:val="auto"/>
              </w:rPr>
              <w:t>$1,885,189</w:t>
            </w:r>
          </w:p>
        </w:tc>
      </w:tr>
      <w:tr>
        <w:trPr>
          <w:trHeight w:val="220"/>
        </w:trPr>
        <w:tc>
          <w:tcPr>
            <w:tcW w:w="2380" w:type="dxa"/>
            <w:vAlign w:val="bottom"/>
            <w:shd w:val="clear" w:color="auto" w:fill="99C7E9"/>
          </w:tcPr>
          <w:p>
            <w:pPr>
              <w:ind w:left="80"/>
              <w:spacing w:after="0"/>
              <w:rPr>
                <w:sz w:val="20"/>
                <w:szCs w:val="20"/>
                <w:color w:val="auto"/>
              </w:rPr>
            </w:pPr>
            <w:r>
              <w:rPr>
                <w:rFonts w:ascii="Arial" w:cs="Arial" w:eastAsia="Arial" w:hAnsi="Arial"/>
                <w:sz w:val="14"/>
                <w:szCs w:val="14"/>
                <w:color w:val="auto"/>
              </w:rPr>
              <w:t>Susan H. Alexander</w:t>
            </w:r>
          </w:p>
        </w:tc>
        <w:tc>
          <w:tcPr>
            <w:tcW w:w="2200" w:type="dxa"/>
            <w:vAlign w:val="bottom"/>
            <w:shd w:val="clear" w:color="auto" w:fill="99C7E9"/>
          </w:tcPr>
          <w:p>
            <w:pPr>
              <w:jc w:val="center"/>
              <w:ind w:left="288"/>
              <w:spacing w:after="0"/>
              <w:rPr>
                <w:sz w:val="20"/>
                <w:szCs w:val="20"/>
                <w:color w:val="auto"/>
              </w:rPr>
            </w:pPr>
            <w:r>
              <w:rPr>
                <w:rFonts w:ascii="Arial" w:cs="Arial" w:eastAsia="Arial" w:hAnsi="Arial"/>
                <w:sz w:val="14"/>
                <w:szCs w:val="14"/>
                <w:color w:val="auto"/>
              </w:rPr>
              <w:t>—</w:t>
            </w:r>
          </w:p>
        </w:tc>
        <w:tc>
          <w:tcPr>
            <w:tcW w:w="1620" w:type="dxa"/>
            <w:vAlign w:val="bottom"/>
            <w:shd w:val="clear" w:color="auto" w:fill="99C7E9"/>
          </w:tcPr>
          <w:p>
            <w:pPr>
              <w:jc w:val="center"/>
              <w:spacing w:after="0"/>
              <w:rPr>
                <w:sz w:val="20"/>
                <w:szCs w:val="20"/>
                <w:color w:val="auto"/>
              </w:rPr>
            </w:pPr>
            <w:r>
              <w:rPr>
                <w:rFonts w:ascii="Arial" w:cs="Arial" w:eastAsia="Arial" w:hAnsi="Arial"/>
                <w:sz w:val="14"/>
                <w:szCs w:val="14"/>
                <w:color w:val="auto"/>
              </w:rPr>
              <w:t>$128,851</w:t>
            </w:r>
          </w:p>
        </w:tc>
        <w:tc>
          <w:tcPr>
            <w:tcW w:w="1560" w:type="dxa"/>
            <w:vAlign w:val="bottom"/>
            <w:shd w:val="clear" w:color="auto" w:fill="99C7E9"/>
          </w:tcPr>
          <w:p>
            <w:pPr>
              <w:jc w:val="center"/>
              <w:spacing w:after="0"/>
              <w:rPr>
                <w:sz w:val="20"/>
                <w:szCs w:val="20"/>
                <w:color w:val="auto"/>
              </w:rPr>
            </w:pPr>
            <w:r>
              <w:rPr>
                <w:rFonts w:ascii="Arial" w:cs="Arial" w:eastAsia="Arial" w:hAnsi="Arial"/>
                <w:sz w:val="14"/>
                <w:szCs w:val="14"/>
                <w:color w:val="auto"/>
              </w:rPr>
              <w:t>$914,255</w:t>
            </w:r>
          </w:p>
        </w:tc>
        <w:tc>
          <w:tcPr>
            <w:tcW w:w="1540" w:type="dxa"/>
            <w:vAlign w:val="bottom"/>
            <w:shd w:val="clear" w:color="auto" w:fill="99C7E9"/>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shd w:val="clear" w:color="auto" w:fill="99C7E9"/>
          </w:tcPr>
          <w:p>
            <w:pPr>
              <w:jc w:val="center"/>
              <w:ind w:left="128"/>
              <w:spacing w:after="0"/>
              <w:rPr>
                <w:sz w:val="20"/>
                <w:szCs w:val="20"/>
                <w:color w:val="auto"/>
              </w:rPr>
            </w:pPr>
            <w:r>
              <w:rPr>
                <w:rFonts w:ascii="Arial" w:cs="Arial" w:eastAsia="Arial" w:hAnsi="Arial"/>
                <w:sz w:val="14"/>
                <w:szCs w:val="14"/>
                <w:color w:val="auto"/>
              </w:rPr>
              <w:t>$17,446,815</w:t>
            </w:r>
          </w:p>
        </w:tc>
      </w:tr>
      <w:tr>
        <w:trPr>
          <w:trHeight w:val="212"/>
        </w:trPr>
        <w:tc>
          <w:tcPr>
            <w:tcW w:w="2380" w:type="dxa"/>
            <w:vAlign w:val="bottom"/>
            <w:shd w:val="clear" w:color="auto" w:fill="E5F1F9"/>
          </w:tcPr>
          <w:p>
            <w:pPr>
              <w:ind w:left="80"/>
              <w:spacing w:after="0"/>
              <w:rPr>
                <w:sz w:val="20"/>
                <w:szCs w:val="20"/>
                <w:color w:val="auto"/>
              </w:rPr>
            </w:pPr>
            <w:r>
              <w:rPr>
                <w:rFonts w:ascii="Arial" w:cs="Arial" w:eastAsia="Arial" w:hAnsi="Arial"/>
                <w:sz w:val="14"/>
                <w:szCs w:val="14"/>
                <w:color w:val="auto"/>
              </w:rPr>
              <w:t>Priya A. Singhal</w:t>
            </w:r>
          </w:p>
        </w:tc>
        <w:tc>
          <w:tcPr>
            <w:tcW w:w="2200" w:type="dxa"/>
            <w:vAlign w:val="bottom"/>
            <w:shd w:val="clear" w:color="auto" w:fill="E5F1F9"/>
          </w:tcPr>
          <w:p>
            <w:pPr>
              <w:jc w:val="center"/>
              <w:ind w:left="288"/>
              <w:spacing w:after="0"/>
              <w:rPr>
                <w:sz w:val="20"/>
                <w:szCs w:val="20"/>
                <w:color w:val="auto"/>
              </w:rPr>
            </w:pPr>
            <w:r>
              <w:rPr>
                <w:rFonts w:ascii="Arial" w:cs="Arial" w:eastAsia="Arial" w:hAnsi="Arial"/>
                <w:sz w:val="14"/>
                <w:szCs w:val="14"/>
                <w:color w:val="auto"/>
              </w:rPr>
              <w:t>$390,130</w:t>
            </w:r>
          </w:p>
        </w:tc>
        <w:tc>
          <w:tcPr>
            <w:tcW w:w="162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$92,802</w:t>
            </w:r>
          </w:p>
        </w:tc>
        <w:tc>
          <w:tcPr>
            <w:tcW w:w="156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$94,985</w:t>
            </w:r>
          </w:p>
        </w:tc>
        <w:tc>
          <w:tcPr>
            <w:tcW w:w="1540" w:type="dxa"/>
            <w:vAlign w:val="bottom"/>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shd w:val="clear" w:color="auto" w:fill="E5F1F9"/>
          </w:tcPr>
          <w:p>
            <w:pPr>
              <w:jc w:val="center"/>
              <w:ind w:left="128"/>
              <w:spacing w:after="0"/>
              <w:rPr>
                <w:sz w:val="20"/>
                <w:szCs w:val="20"/>
                <w:color w:val="auto"/>
              </w:rPr>
            </w:pPr>
            <w:r>
              <w:rPr>
                <w:rFonts w:ascii="Arial" w:cs="Arial" w:eastAsia="Arial" w:hAnsi="Arial"/>
                <w:sz w:val="14"/>
                <w:szCs w:val="14"/>
                <w:color w:val="auto"/>
              </w:rPr>
              <w:t>$1,392,647</w:t>
            </w:r>
          </w:p>
        </w:tc>
      </w:tr>
      <w:tr>
        <w:trPr>
          <w:trHeight w:val="220"/>
        </w:trPr>
        <w:tc>
          <w:tcPr>
            <w:tcW w:w="2380" w:type="dxa"/>
            <w:vAlign w:val="bottom"/>
            <w:shd w:val="clear" w:color="auto" w:fill="99C7E9"/>
          </w:tcPr>
          <w:p>
            <w:pPr>
              <w:ind w:left="80"/>
              <w:spacing w:after="0"/>
              <w:rPr>
                <w:sz w:val="20"/>
                <w:szCs w:val="20"/>
                <w:color w:val="auto"/>
              </w:rPr>
            </w:pPr>
            <w:r>
              <w:rPr>
                <w:rFonts w:ascii="Arial" w:cs="Arial" w:eastAsia="Arial" w:hAnsi="Arial"/>
                <w:sz w:val="14"/>
                <w:szCs w:val="14"/>
                <w:color w:val="auto"/>
              </w:rPr>
              <w:t>Nicole C. Murphy</w:t>
            </w:r>
          </w:p>
        </w:tc>
        <w:tc>
          <w:tcPr>
            <w:tcW w:w="2200" w:type="dxa"/>
            <w:vAlign w:val="bottom"/>
            <w:shd w:val="clear" w:color="auto" w:fill="99C7E9"/>
          </w:tcPr>
          <w:p>
            <w:pPr>
              <w:jc w:val="center"/>
              <w:ind w:left="288"/>
              <w:spacing w:after="0"/>
              <w:rPr>
                <w:sz w:val="20"/>
                <w:szCs w:val="20"/>
                <w:color w:val="auto"/>
              </w:rPr>
            </w:pPr>
            <w:r>
              <w:rPr>
                <w:rFonts w:ascii="Arial" w:cs="Arial" w:eastAsia="Arial" w:hAnsi="Arial"/>
                <w:sz w:val="14"/>
                <w:szCs w:val="14"/>
                <w:color w:val="auto"/>
              </w:rPr>
              <w:t>—</w:t>
            </w:r>
          </w:p>
        </w:tc>
        <w:tc>
          <w:tcPr>
            <w:tcW w:w="1620" w:type="dxa"/>
            <w:vAlign w:val="bottom"/>
            <w:shd w:val="clear" w:color="auto" w:fill="99C7E9"/>
          </w:tcPr>
          <w:p>
            <w:pPr>
              <w:jc w:val="center"/>
              <w:spacing w:after="0"/>
              <w:rPr>
                <w:sz w:val="20"/>
                <w:szCs w:val="20"/>
                <w:color w:val="auto"/>
              </w:rPr>
            </w:pPr>
            <w:r>
              <w:rPr>
                <w:rFonts w:ascii="Arial" w:cs="Arial" w:eastAsia="Arial" w:hAnsi="Arial"/>
                <w:sz w:val="14"/>
                <w:szCs w:val="14"/>
                <w:color w:val="auto"/>
              </w:rPr>
              <w:t>$89,816</w:t>
            </w:r>
          </w:p>
        </w:tc>
        <w:tc>
          <w:tcPr>
            <w:tcW w:w="1560" w:type="dxa"/>
            <w:vAlign w:val="bottom"/>
            <w:shd w:val="clear" w:color="auto" w:fill="99C7E9"/>
          </w:tcPr>
          <w:p>
            <w:pPr>
              <w:jc w:val="center"/>
              <w:spacing w:after="0"/>
              <w:rPr>
                <w:sz w:val="20"/>
                <w:szCs w:val="20"/>
                <w:color w:val="auto"/>
              </w:rPr>
            </w:pPr>
            <w:r>
              <w:rPr>
                <w:rFonts w:ascii="Arial" w:cs="Arial" w:eastAsia="Arial" w:hAnsi="Arial"/>
                <w:sz w:val="14"/>
                <w:szCs w:val="14"/>
                <w:color w:val="auto"/>
              </w:rPr>
              <w:t>$11,931</w:t>
            </w:r>
          </w:p>
        </w:tc>
        <w:tc>
          <w:tcPr>
            <w:tcW w:w="1540" w:type="dxa"/>
            <w:vAlign w:val="bottom"/>
            <w:shd w:val="clear" w:color="auto" w:fill="99C7E9"/>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shd w:val="clear" w:color="auto" w:fill="99C7E9"/>
          </w:tcPr>
          <w:p>
            <w:pPr>
              <w:jc w:val="center"/>
              <w:ind w:left="128"/>
              <w:spacing w:after="0"/>
              <w:rPr>
                <w:sz w:val="20"/>
                <w:szCs w:val="20"/>
                <w:color w:val="auto"/>
              </w:rPr>
            </w:pPr>
            <w:r>
              <w:rPr>
                <w:rFonts w:ascii="Arial" w:cs="Arial" w:eastAsia="Arial" w:hAnsi="Arial"/>
                <w:sz w:val="14"/>
                <w:szCs w:val="14"/>
                <w:color w:val="auto"/>
              </w:rPr>
              <w:t>$336,428</w:t>
            </w:r>
          </w:p>
        </w:tc>
      </w:tr>
      <w:tr>
        <w:trPr>
          <w:trHeight w:val="216"/>
        </w:trPr>
        <w:tc>
          <w:tcPr>
            <w:tcW w:w="2380" w:type="dxa"/>
            <w:vAlign w:val="bottom"/>
            <w:shd w:val="clear" w:color="auto" w:fill="E5F1F9"/>
          </w:tcPr>
          <w:p>
            <w:pPr>
              <w:ind w:left="80"/>
              <w:spacing w:after="0"/>
              <w:rPr>
                <w:sz w:val="20"/>
                <w:szCs w:val="20"/>
                <w:color w:val="auto"/>
              </w:rPr>
            </w:pPr>
            <w:r>
              <w:rPr>
                <w:rFonts w:ascii="Arial" w:cs="Arial" w:eastAsia="Arial" w:hAnsi="Arial"/>
                <w:sz w:val="14"/>
                <w:szCs w:val="14"/>
                <w:color w:val="auto"/>
              </w:rPr>
              <w:t>Michael R. McDonnell</w:t>
            </w:r>
          </w:p>
        </w:tc>
        <w:tc>
          <w:tcPr>
            <w:tcW w:w="2200" w:type="dxa"/>
            <w:vAlign w:val="bottom"/>
            <w:shd w:val="clear" w:color="auto" w:fill="E5F1F9"/>
          </w:tcPr>
          <w:p>
            <w:pPr>
              <w:jc w:val="center"/>
              <w:ind w:left="288"/>
              <w:spacing w:after="0"/>
              <w:rPr>
                <w:sz w:val="20"/>
                <w:szCs w:val="20"/>
                <w:color w:val="auto"/>
              </w:rPr>
            </w:pPr>
            <w:r>
              <w:rPr>
                <w:rFonts w:ascii="Arial" w:cs="Arial" w:eastAsia="Arial" w:hAnsi="Arial"/>
                <w:sz w:val="14"/>
                <w:szCs w:val="14"/>
                <w:color w:val="auto"/>
              </w:rPr>
              <w:t>—</w:t>
            </w:r>
          </w:p>
        </w:tc>
        <w:tc>
          <w:tcPr>
            <w:tcW w:w="162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$13,819</w:t>
            </w:r>
          </w:p>
        </w:tc>
        <w:tc>
          <w:tcPr>
            <w:tcW w:w="156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$15,866</w:t>
            </w:r>
          </w:p>
        </w:tc>
        <w:tc>
          <w:tcPr>
            <w:tcW w:w="1540" w:type="dxa"/>
            <w:vAlign w:val="bottom"/>
            <w:shd w:val="clear" w:color="auto" w:fill="E5F1F9"/>
          </w:tcPr>
          <w:p>
            <w:pPr>
              <w:jc w:val="center"/>
              <w:spacing w:after="0"/>
              <w:rPr>
                <w:sz w:val="20"/>
                <w:szCs w:val="20"/>
                <w:color w:val="auto"/>
              </w:rPr>
            </w:pPr>
            <w:r>
              <w:rPr>
                <w:rFonts w:ascii="Arial" w:cs="Arial" w:eastAsia="Arial" w:hAnsi="Arial"/>
                <w:sz w:val="14"/>
                <w:szCs w:val="14"/>
                <w:color w:val="auto"/>
              </w:rPr>
              <w:t>($444,326)</w:t>
            </w:r>
          </w:p>
        </w:tc>
        <w:tc>
          <w:tcPr>
            <w:tcW w:w="1720" w:type="dxa"/>
            <w:vAlign w:val="bottom"/>
            <w:shd w:val="clear" w:color="auto" w:fill="E5F1F9"/>
          </w:tcPr>
          <w:p>
            <w:pPr>
              <w:jc w:val="center"/>
              <w:ind w:left="148"/>
              <w:spacing w:after="0"/>
              <w:rPr>
                <w:sz w:val="20"/>
                <w:szCs w:val="20"/>
                <w:color w:val="auto"/>
              </w:rPr>
            </w:pPr>
            <w:r>
              <w:rPr>
                <w:rFonts w:ascii="Arial" w:cs="Arial" w:eastAsia="Arial" w:hAnsi="Arial"/>
                <w:sz w:val="14"/>
                <w:szCs w:val="14"/>
                <w:color w:val="auto"/>
                <w:w w:val="99"/>
              </w:rPr>
              <w:t>—</w:t>
            </w:r>
          </w:p>
        </w:tc>
      </w:tr>
    </w:tbl>
    <w:p>
      <w:pPr>
        <w:ind w:left="120"/>
        <w:spacing w:after="0"/>
        <w:rPr>
          <w:sz w:val="20"/>
          <w:szCs w:val="20"/>
          <w:color w:val="auto"/>
        </w:rPr>
      </w:pPr>
      <w:r>
        <w:rPr>
          <w:rFonts w:ascii="Arial" w:cs="Arial" w:eastAsia="Arial" w:hAnsi="Arial"/>
          <w:sz w:val="14"/>
          <w:szCs w:val="14"/>
          <w:i w:val="1"/>
          <w:iCs w:val="1"/>
          <w:color w:val="auto"/>
        </w:rPr>
        <w:t>Notes to the 2025 Non-Qualified Deferred Compensation Table</w:t>
      </w:r>
    </w:p>
    <w:p>
      <w:pPr>
        <w:spacing w:after="0" w:line="6" w:lineRule="exact"/>
        <w:rPr>
          <w:sz w:val="20"/>
          <w:szCs w:val="20"/>
          <w:color w:val="auto"/>
        </w:rPr>
      </w:pPr>
    </w:p>
    <w:p>
      <w:pPr>
        <w:ind w:left="540" w:right="180" w:hanging="424"/>
        <w:spacing w:after="0" w:line="241" w:lineRule="auto"/>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amounts in this column are also included, in part, in columns (c) and/or (g) of the Summary Compensation Table and represent deferral of salary and deferral of payments under our 2025 STI program, respectively.</w:t>
      </w:r>
    </w:p>
    <w:p>
      <w:pPr>
        <w:ind w:left="540" w:hanging="424"/>
        <w:spacing w:after="0"/>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amounts in this column are also included in column (h) of the Summary Compensation Table for 2025 as company contributions to the SSP.</w:t>
      </w:r>
    </w:p>
    <w:p>
      <w:pPr>
        <w:spacing w:after="0" w:line="1" w:lineRule="exact"/>
        <w:rPr>
          <w:rFonts w:ascii="Arial" w:cs="Arial" w:eastAsia="Arial" w:hAnsi="Arial"/>
          <w:sz w:val="14"/>
          <w:szCs w:val="14"/>
          <w:color w:val="auto"/>
        </w:rPr>
      </w:pPr>
    </w:p>
    <w:p>
      <w:pPr>
        <w:ind w:left="540" w:right="480" w:hanging="424"/>
        <w:spacing w:after="0" w:line="241" w:lineRule="auto"/>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Earnings in excess of 120% of the applicable federal long-term rate are reported in column (h) of the Summary Compensation Table for 2025 for Ms. Alexander ($37,718).</w:t>
      </w:r>
    </w:p>
    <w:p>
      <w:pPr>
        <w:ind w:left="540" w:right="60" w:hanging="424"/>
        <w:spacing w:after="0" w:line="264" w:lineRule="auto"/>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following table lists the compensation deferrals during 2024 and 2023 by our NEOs, as reported, where applicable, in the Proxy Statement for our 2025 and 2024 Annual Meetings:</w:t>
      </w:r>
    </w:p>
    <w:p>
      <w:pPr>
        <w:spacing w:after="0" w:line="181"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2980" w:type="dxa"/>
            <w:vAlign w:val="bottom"/>
            <w:shd w:val="clear" w:color="auto" w:fill="0075C9"/>
          </w:tcPr>
          <w:p>
            <w:pPr>
              <w:spacing w:after="0"/>
              <w:rPr>
                <w:sz w:val="14"/>
                <w:szCs w:val="14"/>
                <w:color w:val="auto"/>
              </w:rPr>
            </w:pPr>
          </w:p>
        </w:tc>
        <w:tc>
          <w:tcPr>
            <w:tcW w:w="3680" w:type="dxa"/>
            <w:vAlign w:val="bottom"/>
            <w:gridSpan w:val="2"/>
            <w:shd w:val="clear" w:color="auto" w:fill="0075C9"/>
          </w:tcPr>
          <w:p>
            <w:pPr>
              <w:ind w:left="860"/>
              <w:spacing w:after="0"/>
              <w:rPr>
                <w:sz w:val="20"/>
                <w:szCs w:val="20"/>
                <w:color w:val="auto"/>
              </w:rPr>
            </w:pPr>
            <w:r>
              <w:rPr>
                <w:rFonts w:ascii="Arial" w:cs="Arial" w:eastAsia="Arial" w:hAnsi="Arial"/>
                <w:sz w:val="14"/>
                <w:szCs w:val="14"/>
                <w:color w:val="FFFFFF"/>
              </w:rPr>
              <w:t>Amounts Previously Reported as Deferred</w:t>
            </w:r>
          </w:p>
        </w:tc>
      </w:tr>
      <w:tr>
        <w:trPr>
          <w:trHeight w:val="175"/>
        </w:trPr>
        <w:tc>
          <w:tcPr>
            <w:tcW w:w="2980" w:type="dxa"/>
            <w:vAlign w:val="bottom"/>
            <w:shd w:val="clear" w:color="auto" w:fill="0075C9"/>
          </w:tcPr>
          <w:p>
            <w:pPr>
              <w:ind w:left="420"/>
              <w:spacing w:after="0"/>
              <w:rPr>
                <w:sz w:val="20"/>
                <w:szCs w:val="20"/>
                <w:color w:val="auto"/>
              </w:rPr>
            </w:pPr>
            <w:r>
              <w:rPr>
                <w:rFonts w:ascii="Arial" w:cs="Arial" w:eastAsia="Arial" w:hAnsi="Arial"/>
                <w:sz w:val="14"/>
                <w:szCs w:val="14"/>
                <w:color w:val="FFFFFF"/>
              </w:rPr>
              <w:t>Name</w:t>
            </w:r>
          </w:p>
        </w:tc>
        <w:tc>
          <w:tcPr>
            <w:tcW w:w="2220" w:type="dxa"/>
            <w:vAlign w:val="bottom"/>
            <w:shd w:val="clear" w:color="auto" w:fill="0075C9"/>
          </w:tcPr>
          <w:p>
            <w:pPr>
              <w:jc w:val="center"/>
              <w:ind w:left="408"/>
              <w:spacing w:after="0"/>
              <w:rPr>
                <w:sz w:val="20"/>
                <w:szCs w:val="20"/>
                <w:color w:val="auto"/>
              </w:rPr>
            </w:pPr>
            <w:r>
              <w:rPr>
                <w:rFonts w:ascii="Arial" w:cs="Arial" w:eastAsia="Arial" w:hAnsi="Arial"/>
                <w:sz w:val="14"/>
                <w:szCs w:val="14"/>
                <w:color w:val="FFFFFF"/>
              </w:rPr>
              <w:t>2024*</w:t>
            </w:r>
          </w:p>
        </w:tc>
        <w:tc>
          <w:tcPr>
            <w:tcW w:w="1460" w:type="dxa"/>
            <w:vAlign w:val="bottom"/>
            <w:shd w:val="clear" w:color="auto" w:fill="0075C9"/>
          </w:tcPr>
          <w:p>
            <w:pPr>
              <w:jc w:val="center"/>
              <w:ind w:left="168"/>
              <w:spacing w:after="0"/>
              <w:rPr>
                <w:sz w:val="20"/>
                <w:szCs w:val="20"/>
                <w:color w:val="auto"/>
              </w:rPr>
            </w:pPr>
            <w:r>
              <w:rPr>
                <w:rFonts w:ascii="Arial" w:cs="Arial" w:eastAsia="Arial" w:hAnsi="Arial"/>
                <w:sz w:val="14"/>
                <w:szCs w:val="14"/>
                <w:color w:val="FFFFFF"/>
              </w:rPr>
              <w:t>2023*</w:t>
            </w:r>
          </w:p>
        </w:tc>
      </w:tr>
      <w:tr>
        <w:trPr>
          <w:trHeight w:val="216"/>
        </w:trPr>
        <w:tc>
          <w:tcPr>
            <w:tcW w:w="2980" w:type="dxa"/>
            <w:vAlign w:val="bottom"/>
            <w:shd w:val="clear" w:color="auto" w:fill="99C7E9"/>
          </w:tcPr>
          <w:p>
            <w:pPr>
              <w:ind w:left="420"/>
              <w:spacing w:after="0"/>
              <w:rPr>
                <w:sz w:val="20"/>
                <w:szCs w:val="20"/>
                <w:color w:val="auto"/>
              </w:rPr>
            </w:pPr>
            <w:r>
              <w:rPr>
                <w:rFonts w:ascii="Arial" w:cs="Arial" w:eastAsia="Arial" w:hAnsi="Arial"/>
                <w:sz w:val="14"/>
                <w:szCs w:val="14"/>
                <w:color w:val="auto"/>
              </w:rPr>
              <w:t>Christopher A. Viehbacher</w:t>
            </w:r>
          </w:p>
        </w:tc>
        <w:tc>
          <w:tcPr>
            <w:tcW w:w="2220" w:type="dxa"/>
            <w:vAlign w:val="bottom"/>
            <w:shd w:val="clear" w:color="auto" w:fill="99C7E9"/>
          </w:tcPr>
          <w:p>
            <w:pPr>
              <w:jc w:val="center"/>
              <w:ind w:left="428"/>
              <w:spacing w:after="0"/>
              <w:rPr>
                <w:sz w:val="20"/>
                <w:szCs w:val="20"/>
                <w:color w:val="auto"/>
              </w:rPr>
            </w:pPr>
            <w:r>
              <w:rPr>
                <w:rFonts w:ascii="Arial" w:cs="Arial" w:eastAsia="Arial" w:hAnsi="Arial"/>
                <w:sz w:val="14"/>
                <w:szCs w:val="14"/>
                <w:color w:val="auto"/>
              </w:rPr>
              <w:t>$1,823,200</w:t>
            </w:r>
          </w:p>
        </w:tc>
        <w:tc>
          <w:tcPr>
            <w:tcW w:w="1460" w:type="dxa"/>
            <w:vAlign w:val="bottom"/>
            <w:shd w:val="clear" w:color="auto" w:fill="99C7E9"/>
          </w:tcPr>
          <w:p>
            <w:pPr>
              <w:jc w:val="center"/>
              <w:ind w:left="188"/>
              <w:spacing w:after="0"/>
              <w:rPr>
                <w:sz w:val="20"/>
                <w:szCs w:val="20"/>
                <w:color w:val="auto"/>
              </w:rPr>
            </w:pPr>
            <w:r>
              <w:rPr>
                <w:rFonts w:ascii="Arial" w:cs="Arial" w:eastAsia="Arial" w:hAnsi="Arial"/>
                <w:sz w:val="14"/>
                <w:szCs w:val="14"/>
                <w:color w:val="auto"/>
              </w:rPr>
              <w:t>$141,539</w:t>
            </w:r>
          </w:p>
        </w:tc>
      </w:tr>
      <w:tr>
        <w:trPr>
          <w:trHeight w:val="212"/>
        </w:trPr>
        <w:tc>
          <w:tcPr>
            <w:tcW w:w="2980" w:type="dxa"/>
            <w:vAlign w:val="bottom"/>
            <w:shd w:val="clear" w:color="auto" w:fill="E5F1F9"/>
          </w:tcPr>
          <w:p>
            <w:pPr>
              <w:ind w:left="420"/>
              <w:spacing w:after="0"/>
              <w:rPr>
                <w:sz w:val="20"/>
                <w:szCs w:val="20"/>
                <w:color w:val="auto"/>
              </w:rPr>
            </w:pPr>
            <w:r>
              <w:rPr>
                <w:rFonts w:ascii="Arial" w:cs="Arial" w:eastAsia="Arial" w:hAnsi="Arial"/>
                <w:sz w:val="14"/>
                <w:szCs w:val="14"/>
                <w:color w:val="auto"/>
              </w:rPr>
              <w:t>Robin C. Kramer</w:t>
            </w:r>
          </w:p>
        </w:tc>
        <w:tc>
          <w:tcPr>
            <w:tcW w:w="2220" w:type="dxa"/>
            <w:vAlign w:val="bottom"/>
            <w:shd w:val="clear" w:color="auto" w:fill="E5F1F9"/>
          </w:tcPr>
          <w:p>
            <w:pPr>
              <w:jc w:val="center"/>
              <w:ind w:left="408"/>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E5F1F9"/>
          </w:tcPr>
          <w:p>
            <w:pPr>
              <w:jc w:val="center"/>
              <w:ind w:left="168"/>
              <w:spacing w:after="0"/>
              <w:rPr>
                <w:sz w:val="20"/>
                <w:szCs w:val="20"/>
                <w:color w:val="auto"/>
              </w:rPr>
            </w:pPr>
            <w:r>
              <w:rPr>
                <w:rFonts w:ascii="Arial" w:cs="Arial" w:eastAsia="Arial" w:hAnsi="Arial"/>
                <w:sz w:val="14"/>
                <w:szCs w:val="14"/>
                <w:color w:val="auto"/>
                <w:w w:val="99"/>
              </w:rPr>
              <w:t>—</w:t>
            </w:r>
          </w:p>
        </w:tc>
      </w:tr>
      <w:tr>
        <w:trPr>
          <w:trHeight w:val="220"/>
        </w:trPr>
        <w:tc>
          <w:tcPr>
            <w:tcW w:w="2980" w:type="dxa"/>
            <w:vAlign w:val="bottom"/>
            <w:shd w:val="clear" w:color="auto" w:fill="99C7E9"/>
          </w:tcPr>
          <w:p>
            <w:pPr>
              <w:ind w:left="420"/>
              <w:spacing w:after="0"/>
              <w:rPr>
                <w:sz w:val="20"/>
                <w:szCs w:val="20"/>
                <w:color w:val="auto"/>
              </w:rPr>
            </w:pPr>
            <w:r>
              <w:rPr>
                <w:rFonts w:ascii="Arial" w:cs="Arial" w:eastAsia="Arial" w:hAnsi="Arial"/>
                <w:sz w:val="14"/>
                <w:szCs w:val="14"/>
                <w:color w:val="auto"/>
              </w:rPr>
              <w:t>Susan H. Alexander</w:t>
            </w:r>
          </w:p>
        </w:tc>
        <w:tc>
          <w:tcPr>
            <w:tcW w:w="2220" w:type="dxa"/>
            <w:vAlign w:val="bottom"/>
            <w:shd w:val="clear" w:color="auto" w:fill="99C7E9"/>
          </w:tcPr>
          <w:p>
            <w:pPr>
              <w:jc w:val="center"/>
              <w:ind w:left="408"/>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99C7E9"/>
          </w:tcPr>
          <w:p>
            <w:pPr>
              <w:jc w:val="center"/>
              <w:ind w:left="188"/>
              <w:spacing w:after="0"/>
              <w:rPr>
                <w:sz w:val="20"/>
                <w:szCs w:val="20"/>
                <w:color w:val="auto"/>
              </w:rPr>
            </w:pPr>
            <w:r>
              <w:rPr>
                <w:rFonts w:ascii="Arial" w:cs="Arial" w:eastAsia="Arial" w:hAnsi="Arial"/>
                <w:sz w:val="14"/>
                <w:szCs w:val="14"/>
                <w:color w:val="auto"/>
              </w:rPr>
              <w:t>$1,137,552</w:t>
            </w:r>
          </w:p>
        </w:tc>
      </w:tr>
      <w:tr>
        <w:trPr>
          <w:trHeight w:val="212"/>
        </w:trPr>
        <w:tc>
          <w:tcPr>
            <w:tcW w:w="2980" w:type="dxa"/>
            <w:vAlign w:val="bottom"/>
            <w:shd w:val="clear" w:color="auto" w:fill="E5F1F9"/>
          </w:tcPr>
          <w:p>
            <w:pPr>
              <w:ind w:left="420"/>
              <w:spacing w:after="0"/>
              <w:rPr>
                <w:sz w:val="20"/>
                <w:szCs w:val="20"/>
                <w:color w:val="auto"/>
              </w:rPr>
            </w:pPr>
            <w:r>
              <w:rPr>
                <w:rFonts w:ascii="Arial" w:cs="Arial" w:eastAsia="Arial" w:hAnsi="Arial"/>
                <w:sz w:val="14"/>
                <w:szCs w:val="14"/>
                <w:color w:val="auto"/>
              </w:rPr>
              <w:t>Priya A. Singhal</w:t>
            </w:r>
          </w:p>
        </w:tc>
        <w:tc>
          <w:tcPr>
            <w:tcW w:w="2220" w:type="dxa"/>
            <w:vAlign w:val="bottom"/>
            <w:shd w:val="clear" w:color="auto" w:fill="E5F1F9"/>
          </w:tcPr>
          <w:p>
            <w:pPr>
              <w:jc w:val="center"/>
              <w:ind w:left="428"/>
              <w:spacing w:after="0"/>
              <w:rPr>
                <w:sz w:val="20"/>
                <w:szCs w:val="20"/>
                <w:color w:val="auto"/>
              </w:rPr>
            </w:pPr>
            <w:r>
              <w:rPr>
                <w:rFonts w:ascii="Arial" w:cs="Arial" w:eastAsia="Arial" w:hAnsi="Arial"/>
                <w:sz w:val="14"/>
                <w:szCs w:val="14"/>
                <w:color w:val="auto"/>
              </w:rPr>
              <w:t>$287,925</w:t>
            </w:r>
          </w:p>
        </w:tc>
        <w:tc>
          <w:tcPr>
            <w:tcW w:w="1460" w:type="dxa"/>
            <w:vAlign w:val="bottom"/>
            <w:shd w:val="clear" w:color="auto" w:fill="E5F1F9"/>
          </w:tcPr>
          <w:p>
            <w:pPr>
              <w:jc w:val="center"/>
              <w:ind w:left="168"/>
              <w:spacing w:after="0"/>
              <w:rPr>
                <w:sz w:val="20"/>
                <w:szCs w:val="20"/>
                <w:color w:val="auto"/>
              </w:rPr>
            </w:pPr>
            <w:r>
              <w:rPr>
                <w:rFonts w:ascii="Arial" w:cs="Arial" w:eastAsia="Arial" w:hAnsi="Arial"/>
                <w:sz w:val="14"/>
                <w:szCs w:val="14"/>
                <w:color w:val="auto"/>
                <w:w w:val="99"/>
              </w:rPr>
              <w:t>—</w:t>
            </w:r>
          </w:p>
        </w:tc>
      </w:tr>
      <w:tr>
        <w:trPr>
          <w:trHeight w:val="220"/>
        </w:trPr>
        <w:tc>
          <w:tcPr>
            <w:tcW w:w="2980" w:type="dxa"/>
            <w:vAlign w:val="bottom"/>
            <w:shd w:val="clear" w:color="auto" w:fill="99C7E9"/>
          </w:tcPr>
          <w:p>
            <w:pPr>
              <w:ind w:left="420"/>
              <w:spacing w:after="0"/>
              <w:rPr>
                <w:sz w:val="20"/>
                <w:szCs w:val="20"/>
                <w:color w:val="auto"/>
              </w:rPr>
            </w:pPr>
            <w:r>
              <w:rPr>
                <w:rFonts w:ascii="Arial" w:cs="Arial" w:eastAsia="Arial" w:hAnsi="Arial"/>
                <w:sz w:val="14"/>
                <w:szCs w:val="14"/>
                <w:color w:val="auto"/>
              </w:rPr>
              <w:t>Nicole C. Murphy</w:t>
            </w:r>
          </w:p>
        </w:tc>
        <w:tc>
          <w:tcPr>
            <w:tcW w:w="2220" w:type="dxa"/>
            <w:vAlign w:val="bottom"/>
            <w:shd w:val="clear" w:color="auto" w:fill="99C7E9"/>
          </w:tcPr>
          <w:p>
            <w:pPr>
              <w:jc w:val="center"/>
              <w:ind w:left="408"/>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99C7E9"/>
          </w:tcPr>
          <w:p>
            <w:pPr>
              <w:jc w:val="center"/>
              <w:ind w:left="168"/>
              <w:spacing w:after="0"/>
              <w:rPr>
                <w:sz w:val="20"/>
                <w:szCs w:val="20"/>
                <w:color w:val="auto"/>
              </w:rPr>
            </w:pPr>
            <w:r>
              <w:rPr>
                <w:rFonts w:ascii="Arial" w:cs="Arial" w:eastAsia="Arial" w:hAnsi="Arial"/>
                <w:sz w:val="14"/>
                <w:szCs w:val="14"/>
                <w:color w:val="auto"/>
                <w:w w:val="99"/>
              </w:rPr>
              <w:t>—</w:t>
            </w:r>
          </w:p>
        </w:tc>
      </w:tr>
      <w:tr>
        <w:trPr>
          <w:trHeight w:val="216"/>
        </w:trPr>
        <w:tc>
          <w:tcPr>
            <w:tcW w:w="2980" w:type="dxa"/>
            <w:vAlign w:val="bottom"/>
            <w:shd w:val="clear" w:color="auto" w:fill="E5F1F9"/>
          </w:tcPr>
          <w:p>
            <w:pPr>
              <w:ind w:left="420"/>
              <w:spacing w:after="0"/>
              <w:rPr>
                <w:sz w:val="20"/>
                <w:szCs w:val="20"/>
                <w:color w:val="auto"/>
              </w:rPr>
            </w:pPr>
            <w:r>
              <w:rPr>
                <w:rFonts w:ascii="Arial" w:cs="Arial" w:eastAsia="Arial" w:hAnsi="Arial"/>
                <w:sz w:val="14"/>
                <w:szCs w:val="14"/>
                <w:color w:val="auto"/>
              </w:rPr>
              <w:t>Michael R. McDonnell</w:t>
            </w:r>
          </w:p>
        </w:tc>
        <w:tc>
          <w:tcPr>
            <w:tcW w:w="2220" w:type="dxa"/>
            <w:vAlign w:val="bottom"/>
            <w:shd w:val="clear" w:color="auto" w:fill="E5F1F9"/>
          </w:tcPr>
          <w:p>
            <w:pPr>
              <w:jc w:val="center"/>
              <w:ind w:left="408"/>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E5F1F9"/>
          </w:tcPr>
          <w:p>
            <w:pPr>
              <w:jc w:val="center"/>
              <w:ind w:left="168"/>
              <w:spacing w:after="0"/>
              <w:rPr>
                <w:sz w:val="20"/>
                <w:szCs w:val="20"/>
                <w:color w:val="auto"/>
              </w:rPr>
            </w:pPr>
            <w:r>
              <w:rPr>
                <w:rFonts w:ascii="Arial" w:cs="Arial" w:eastAsia="Arial" w:hAnsi="Arial"/>
                <w:sz w:val="14"/>
                <w:szCs w:val="14"/>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-933450</wp:posOffset>
            </wp:positionV>
            <wp:extent cx="18599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79" w:lineRule="exact"/>
        <w:rPr>
          <w:sz w:val="20"/>
          <w:szCs w:val="20"/>
          <w:color w:val="auto"/>
        </w:rPr>
      </w:pPr>
    </w:p>
    <w:p>
      <w:pPr>
        <w:ind w:left="120" w:right="660" w:hanging="4"/>
        <w:spacing w:after="0" w:line="285" w:lineRule="auto"/>
        <w:tabs>
          <w:tab w:leader="none" w:pos="21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This column also includes company contributions and compensation earned and deferred in prior years, which was disclosed in our prior Proxy Statements where applicable, together with earnings on these amounts.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Potential Payments Upon Termination or Change in Control</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Executive Severance Policy</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Definition of Key Terms Relating to our Executive Severance Policy</w:t>
      </w:r>
    </w:p>
    <w:p>
      <w:pPr>
        <w:spacing w:after="0" w:line="113"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Our executive severance policy and benefits refer to certain key terms, including cause, CIC, corporate transaction, retirement, involuntary employment action and disability.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terms are defined in the 2017 Omnibus Equity Plan and the 2024 Omnibus Equity Plan.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Executive Vice President Arrangements</w:t>
      </w:r>
    </w:p>
    <w:p>
      <w:pPr>
        <w:spacing w:after="0" w:line="113"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Each of our NEOs, other than Mr. Viehbacher, was covered by our executive severance policy in 2025 under which he or she was eligible to receive the following benefits:</w:t>
      </w:r>
    </w:p>
    <w:p>
      <w:pPr>
        <w:spacing w:after="0" w:line="61" w:lineRule="exact"/>
        <w:rPr>
          <w:sz w:val="20"/>
          <w:szCs w:val="20"/>
          <w:color w:val="auto"/>
        </w:rPr>
      </w:pPr>
    </w:p>
    <w:p>
      <w:pPr>
        <w:ind w:left="440" w:right="260" w:hanging="324"/>
        <w:spacing w:after="0" w:line="259" w:lineRule="auto"/>
        <w:tabs>
          <w:tab w:leader="none" w:pos="440" w:val="left"/>
        </w:tabs>
        <w:numPr>
          <w:ilvl w:val="0"/>
          <w:numId w:val="116"/>
        </w:numPr>
        <w:rPr>
          <w:rFonts w:ascii="Arial" w:cs="Arial" w:eastAsia="Arial" w:hAnsi="Arial"/>
          <w:sz w:val="16"/>
          <w:szCs w:val="16"/>
          <w:color w:val="0075C9"/>
        </w:rPr>
      </w:pPr>
      <w:r>
        <w:rPr>
          <w:rFonts w:ascii="Arial" w:cs="Arial" w:eastAsia="Arial" w:hAnsi="Arial"/>
          <w:sz w:val="16"/>
          <w:szCs w:val="16"/>
          <w:color w:val="auto"/>
        </w:rPr>
        <w:t>In the event of a termination of employment other than for cause and other than by reason of the executive’s death or disability, the NEO would be entitled to receive a lump sum severance payment equal to a minimum of 12 months of such NEO’s then base salary and target bonus as then in effect, with an additional two months of base salary and target bonus for each full year of service, up to a maximum benefit of 21 months of base salary and target bonus. We refer to the number of months of severance a NEO is entitled to receive as the “severance period.”</w:t>
      </w:r>
    </w:p>
    <w:p>
      <w:pPr>
        <w:spacing w:after="0" w:line="12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-57-</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Executive Compensation Tables</w:t>
      </w:r>
    </w:p>
    <w:p>
      <w:pPr>
        <w:spacing w:after="0" w:line="142" w:lineRule="exact"/>
        <w:rPr>
          <w:sz w:val="20"/>
          <w:szCs w:val="20"/>
          <w:color w:val="auto"/>
        </w:rPr>
      </w:pPr>
    </w:p>
    <w:p>
      <w:pPr>
        <w:ind w:left="440" w:right="100" w:hanging="324"/>
        <w:spacing w:after="0" w:line="259" w:lineRule="auto"/>
        <w:tabs>
          <w:tab w:leader="none" w:pos="440" w:val="left"/>
        </w:tabs>
        <w:numPr>
          <w:ilvl w:val="0"/>
          <w:numId w:val="117"/>
        </w:numPr>
        <w:rPr>
          <w:rFonts w:ascii="Arial" w:cs="Arial" w:eastAsia="Arial" w:hAnsi="Arial"/>
          <w:sz w:val="16"/>
          <w:szCs w:val="16"/>
          <w:color w:val="0075C9"/>
        </w:rPr>
      </w:pPr>
      <w:r>
        <w:rPr>
          <w:rFonts w:ascii="Arial" w:cs="Arial" w:eastAsia="Arial" w:hAnsi="Arial"/>
          <w:sz w:val="16"/>
          <w:szCs w:val="16"/>
          <w:color w:val="auto"/>
        </w:rPr>
        <w:t>If, within two years following a corporate transaction or a corporate CIC, the NEO experiences a termination of employment other than for cause and other than by reason of death or disability or experiences an involuntary employment action, the NEO would be entitled to a lump sum severance payment equal to two times the NEO’s annual base salary plus target annual bonus as then in effect. These payments are in lieu of any payment in the preceding paragraph.</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payment of these severance benefits is conditioned upon execution of an irrevocable release of claims in favor of the company.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executive severance policy does not provide for severance upon a termination for cause, voluntary resignation, retirement or death or disability.</w:t>
      </w:r>
    </w:p>
    <w:p>
      <w:pPr>
        <w:spacing w:after="0" w:line="113"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In any case where severance is payable under our executive severance policy, our NEOs would also receive continuation of medical, dental and vision insurance benefits until the earlier of the end of the severance period or the date the executive becomes eligible to participate in another employer’s medical, dental and vision insurance plans. NEOs would also be provided up to 12 months of executive-level outplacement services at Biogen’s cost.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Short-Term Incentive Program</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STI program provides for a prorated target bonus payment upon a termination of employment due to the death or disability of the participant.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STI program provides for payment of a full bonus to any participant remaining employed as of the date of payout.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Mr. Viehbacher Arrangements</w:t>
      </w:r>
    </w:p>
    <w:p>
      <w:pPr>
        <w:spacing w:after="0" w:line="113"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We entered into an employment agreement with Mr. Viehbacher effective November 14, 2022. The agreement has an initial term that ended December 31, 2025, with the term automatically extending for additional 12-month periods unless otherwise terminated in accordance with the terms of the agreement.</w:t>
      </w:r>
    </w:p>
    <w:p>
      <w:pPr>
        <w:spacing w:after="0" w:line="63"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Under Mr. Viehbacher’s employment agreement, if his employment is terminated by the company without cause or he resigns for good reason, then he would be entitled to a lump sum payment of cash severance in the amount of one and one-half times his annual base salary and target annual bonus and pro rata bonus for the year of termination. Mr. Viehbacher would also receive continuation of medical, dental and vision benefits until the earlier of 18 months following the date his employment terminates or the date upon which he becomes eligible to receive substantially comparable benefits through another employer. Mr. Viehbacher would also be provided with executive-level outplacement services for a 12-month period following the termination date at Biogen’s cost.</w:t>
      </w:r>
    </w:p>
    <w:p>
      <w:pPr>
        <w:spacing w:after="0" w:line="74"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If, however, Mr. Viehbacher is terminated without cause or resigns for good reason within two years of a corporate transaction or a CIC, then he would be entitled to a lump sum payment of cash severance in the amount of two times his annual base salary and target annual bonus, a pro rata bonus for the year of termination and continuation of his medical, dental and vision benefits for up to 24 months.</w:t>
      </w:r>
    </w:p>
    <w:p>
      <w:pPr>
        <w:spacing w:after="0" w:line="63"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Mr. Viehbacher also would be provided with executive-level outplacement services for a 12-month period following the termination date. If termination occurs within two years of a CIC, the initial options, PSUs and matching RSUs, to the extent unvested, would accelerate in full. The severance described under a CIC scenario would be in lieu, not in addition to, the severance described outside of a CIC.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Excise Tax Provisions</w:t>
      </w:r>
    </w:p>
    <w:p>
      <w:pPr>
        <w:spacing w:after="0" w:line="113"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auto"/>
        </w:rPr>
        <w:t>No executive officer is eligible to receive excise tax gross ups in respect of payments received in connection with a corporate transaction or corporate CIC.</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Awards Under Equity Plans</w:t>
      </w:r>
    </w:p>
    <w:p>
      <w:pPr>
        <w:spacing w:after="0" w:line="113"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color w:val="auto"/>
        </w:rPr>
        <w:t>Under the provisions of our 2017 Omnibus Equity Plan and our 2024 Omnibus Equity Plan, unless otherwise determined by our CMDC at the time of grant, awards will vest or become exercisable in full immediately prior to an involuntary employment action that occurs within two years following a corporate CIC (i.e., a “double trigger” protection).</w:t>
      </w:r>
    </w:p>
    <w:p>
      <w:pPr>
        <w:spacing w:after="0" w:line="63"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In the event of a corporate transaction, we can either cause the surviving corporation to assume all equity awards or accelerate their vesting and exercisability immediately before the corporate transaction. If the equity awards are assumed and a NEO’s employment is terminated in an involuntary employment action within two years following the corporate transaction, the equity awards that are assumed will become fully vested and, if applicable, exercisable.</w:t>
      </w:r>
    </w:p>
    <w:p>
      <w:pPr>
        <w:spacing w:after="0" w:line="70"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auto"/>
        </w:rPr>
        <w:t>If the holder of an equity award retires, which is defined under our equity plans as leaving the employment of Biogen after reaching age 55 with 10 consecutive years of service (or five consecutive years, only in the case of Mr. Viehbacher), each then outstanding time-based equity award or earned performance-based equity award granted more than one calendar year prior to the retirement date not yet vested will become immediately vested upon such termination at a rate of 50% of the stock unvested at the time of retirement plus an additional 10% of the stock for each full year of service beyond</w:t>
      </w:r>
    </w:p>
    <w:p>
      <w:pPr>
        <w:spacing w:after="0" w:line="2" w:lineRule="exact"/>
        <w:rPr>
          <w:sz w:val="20"/>
          <w:szCs w:val="20"/>
          <w:color w:val="auto"/>
        </w:rPr>
      </w:pPr>
    </w:p>
    <w:p>
      <w:pPr>
        <w:ind w:left="120" w:right="20"/>
        <w:spacing w:after="0" w:line="265" w:lineRule="auto"/>
        <w:rPr>
          <w:sz w:val="20"/>
          <w:szCs w:val="20"/>
          <w:color w:val="auto"/>
        </w:rPr>
      </w:pPr>
      <w:r>
        <w:rPr>
          <w:rFonts w:ascii="Arial" w:cs="Arial" w:eastAsia="Arial" w:hAnsi="Arial"/>
          <w:sz w:val="16"/>
          <w:szCs w:val="16"/>
          <w:color w:val="auto"/>
        </w:rPr>
        <w:t>10 years of service (and performance-based awards would remain eligible to vest based on actual performance), with awards granted within one calendar year of the retirement</w:t>
      </w:r>
    </w:p>
    <w:p>
      <w:pPr>
        <w:spacing w:after="0" w:line="11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-58-</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320"/>
        <w:spacing w:after="0"/>
        <w:rPr>
          <w:sz w:val="20"/>
          <w:szCs w:val="20"/>
          <w:color w:val="auto"/>
        </w:rPr>
      </w:pPr>
      <w:r>
        <w:rPr>
          <w:rFonts w:ascii="Arial" w:cs="Arial" w:eastAsia="Arial" w:hAnsi="Arial"/>
          <w:sz w:val="19"/>
          <w:szCs w:val="19"/>
          <w:color w:val="0075C9"/>
        </w:rPr>
        <w:t>Executive Compensation Tables</w:t>
      </w:r>
    </w:p>
    <w:p>
      <w:pPr>
        <w:spacing w:after="0" w:line="154" w:lineRule="exact"/>
        <w:rPr>
          <w:sz w:val="20"/>
          <w:szCs w:val="20"/>
          <w:color w:val="auto"/>
        </w:rPr>
      </w:pPr>
    </w:p>
    <w:p>
      <w:pPr>
        <w:ind w:left="120" w:right="60"/>
        <w:spacing w:after="0" w:line="220" w:lineRule="auto"/>
        <w:rPr>
          <w:sz w:val="20"/>
          <w:szCs w:val="20"/>
          <w:color w:val="auto"/>
        </w:rPr>
      </w:pPr>
      <w:r>
        <w:rPr>
          <w:rFonts w:ascii="Arial" w:cs="Arial" w:eastAsia="Arial" w:hAnsi="Arial"/>
          <w:sz w:val="16"/>
          <w:szCs w:val="16"/>
          <w:color w:val="auto"/>
        </w:rPr>
        <w:t>date to only have 1/3</w:t>
      </w:r>
      <w:r>
        <w:rPr>
          <w:rFonts w:ascii="Arial" w:cs="Arial" w:eastAsia="Arial" w:hAnsi="Arial"/>
          <w:sz w:val="24"/>
          <w:szCs w:val="24"/>
          <w:color w:val="auto"/>
          <w:vertAlign w:val="superscript"/>
        </w:rPr>
        <w:t>rd</w:t>
      </w:r>
      <w:r>
        <w:rPr>
          <w:rFonts w:ascii="Arial" w:cs="Arial" w:eastAsia="Arial" w:hAnsi="Arial"/>
          <w:sz w:val="16"/>
          <w:szCs w:val="16"/>
          <w:color w:val="auto"/>
        </w:rPr>
        <w:t xml:space="preserve"> of outstanding stock subject to this acceleration treatment. Upon a termination of employment due to death or disability, all unvested time-based equity awards and earned performance-based equity awards vest in full and all unearned performance-based equity awards remain eligible to vest based on actual performance. As of December 31, 2025, Ms. Alexander was eligible for retirement under our equity plans.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Potential Post-Termination Payments Table</w:t>
      </w:r>
    </w:p>
    <w:p>
      <w:pPr>
        <w:spacing w:after="0" w:line="10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The following table summarizes the potential payments to each NEO under various termination events. The table assumes that the event occurred on December 31, 2025, for all NEOs except for Mr. McDonnell who retired from the company on March 1, 2025. The calculations use the closing price of our common stock as reported by Nasdaq on December 31, 2025, which was $175.99 per share.</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328"/>
        </w:trPr>
        <w:tc>
          <w:tcPr>
            <w:tcW w:w="5320" w:type="dxa"/>
            <w:vAlign w:val="bottom"/>
            <w:shd w:val="clear" w:color="auto" w:fill="0075C9"/>
          </w:tcPr>
          <w:p>
            <w:pPr>
              <w:spacing w:after="0"/>
              <w:rPr>
                <w:sz w:val="24"/>
                <w:szCs w:val="24"/>
                <w:color w:val="auto"/>
              </w:rPr>
            </w:pPr>
          </w:p>
        </w:tc>
        <w:tc>
          <w:tcPr>
            <w:tcW w:w="1260" w:type="dxa"/>
            <w:vAlign w:val="bottom"/>
            <w:shd w:val="clear" w:color="auto" w:fill="0075C9"/>
          </w:tcPr>
          <w:p>
            <w:pPr>
              <w:spacing w:after="0"/>
              <w:rPr>
                <w:sz w:val="24"/>
                <w:szCs w:val="24"/>
                <w:color w:val="auto"/>
              </w:rPr>
            </w:pPr>
          </w:p>
        </w:tc>
        <w:tc>
          <w:tcPr>
            <w:tcW w:w="2120" w:type="dxa"/>
            <w:vAlign w:val="bottom"/>
            <w:shd w:val="clear" w:color="auto" w:fill="0075C9"/>
          </w:tcPr>
          <w:p>
            <w:pPr>
              <w:jc w:val="center"/>
              <w:ind w:left="148"/>
              <w:spacing w:after="0"/>
              <w:rPr>
                <w:sz w:val="20"/>
                <w:szCs w:val="20"/>
                <w:color w:val="auto"/>
              </w:rPr>
            </w:pPr>
            <w:r>
              <w:rPr>
                <w:rFonts w:ascii="Arial" w:cs="Arial" w:eastAsia="Arial" w:hAnsi="Arial"/>
                <w:sz w:val="14"/>
                <w:szCs w:val="14"/>
                <w:color w:val="FFFFFF"/>
              </w:rPr>
              <w:t>Qualifying Termination</w:t>
            </w:r>
          </w:p>
        </w:tc>
        <w:tc>
          <w:tcPr>
            <w:tcW w:w="2320" w:type="dxa"/>
            <w:vAlign w:val="bottom"/>
            <w:shd w:val="clear" w:color="auto" w:fill="0075C9"/>
          </w:tcPr>
          <w:p>
            <w:pPr>
              <w:spacing w:after="0"/>
              <w:rPr>
                <w:sz w:val="24"/>
                <w:szCs w:val="24"/>
                <w:color w:val="auto"/>
              </w:rPr>
            </w:pPr>
          </w:p>
        </w:tc>
      </w:tr>
      <w:tr>
        <w:trPr>
          <w:trHeight w:val="162"/>
        </w:trPr>
        <w:tc>
          <w:tcPr>
            <w:tcW w:w="5320" w:type="dxa"/>
            <w:vAlign w:val="bottom"/>
            <w:shd w:val="clear" w:color="auto" w:fill="0075C9"/>
          </w:tcPr>
          <w:p>
            <w:pPr>
              <w:spacing w:after="0"/>
              <w:rPr>
                <w:sz w:val="14"/>
                <w:szCs w:val="14"/>
                <w:color w:val="auto"/>
              </w:rPr>
            </w:pPr>
          </w:p>
        </w:tc>
        <w:tc>
          <w:tcPr>
            <w:tcW w:w="1260" w:type="dxa"/>
            <w:vAlign w:val="bottom"/>
            <w:shd w:val="clear" w:color="auto" w:fill="0075C9"/>
          </w:tcPr>
          <w:p>
            <w:pPr>
              <w:spacing w:after="0"/>
              <w:rPr>
                <w:sz w:val="14"/>
                <w:szCs w:val="14"/>
                <w:color w:val="auto"/>
              </w:rPr>
            </w:pPr>
          </w:p>
        </w:tc>
        <w:tc>
          <w:tcPr>
            <w:tcW w:w="2120" w:type="dxa"/>
            <w:vAlign w:val="bottom"/>
            <w:shd w:val="clear" w:color="auto" w:fill="0075C9"/>
          </w:tcPr>
          <w:p>
            <w:pPr>
              <w:jc w:val="center"/>
              <w:ind w:left="128"/>
              <w:spacing w:after="0"/>
              <w:rPr>
                <w:sz w:val="20"/>
                <w:szCs w:val="20"/>
                <w:color w:val="auto"/>
              </w:rPr>
            </w:pPr>
            <w:r>
              <w:rPr>
                <w:rFonts w:ascii="Arial" w:cs="Arial" w:eastAsia="Arial" w:hAnsi="Arial"/>
                <w:sz w:val="14"/>
                <w:szCs w:val="14"/>
                <w:color w:val="FFFFFF"/>
              </w:rPr>
              <w:t>of Employment</w:t>
            </w:r>
          </w:p>
        </w:tc>
        <w:tc>
          <w:tcPr>
            <w:tcW w:w="2320" w:type="dxa"/>
            <w:vAlign w:val="bottom"/>
            <w:shd w:val="clear" w:color="auto" w:fill="0075C9"/>
          </w:tcPr>
          <w:p>
            <w:pPr>
              <w:jc w:val="center"/>
              <w:ind w:right="228"/>
              <w:spacing w:after="0"/>
              <w:rPr>
                <w:sz w:val="20"/>
                <w:szCs w:val="20"/>
                <w:color w:val="auto"/>
              </w:rPr>
            </w:pPr>
            <w:r>
              <w:rPr>
                <w:rFonts w:ascii="Arial" w:cs="Arial" w:eastAsia="Arial" w:hAnsi="Arial"/>
                <w:sz w:val="14"/>
                <w:szCs w:val="14"/>
                <w:color w:val="FFFFFF"/>
              </w:rPr>
              <w:t>Qualifying Termination of</w:t>
            </w:r>
          </w:p>
        </w:tc>
      </w:tr>
      <w:tr>
        <w:trPr>
          <w:trHeight w:val="162"/>
        </w:trPr>
        <w:tc>
          <w:tcPr>
            <w:tcW w:w="5320" w:type="dxa"/>
            <w:vAlign w:val="bottom"/>
            <w:shd w:val="clear" w:color="auto" w:fill="0075C9"/>
          </w:tcPr>
          <w:p>
            <w:pPr>
              <w:spacing w:after="0"/>
              <w:rPr>
                <w:sz w:val="14"/>
                <w:szCs w:val="14"/>
                <w:color w:val="auto"/>
              </w:rPr>
            </w:pPr>
          </w:p>
        </w:tc>
        <w:tc>
          <w:tcPr>
            <w:tcW w:w="1260" w:type="dxa"/>
            <w:vAlign w:val="bottom"/>
            <w:shd w:val="clear" w:color="auto" w:fill="0075C9"/>
          </w:tcPr>
          <w:p>
            <w:pPr>
              <w:spacing w:after="0"/>
              <w:rPr>
                <w:sz w:val="14"/>
                <w:szCs w:val="14"/>
                <w:color w:val="auto"/>
              </w:rPr>
            </w:pPr>
          </w:p>
        </w:tc>
        <w:tc>
          <w:tcPr>
            <w:tcW w:w="2120" w:type="dxa"/>
            <w:vAlign w:val="bottom"/>
            <w:shd w:val="clear" w:color="auto" w:fill="0075C9"/>
          </w:tcPr>
          <w:p>
            <w:pPr>
              <w:jc w:val="center"/>
              <w:ind w:left="128"/>
              <w:spacing w:after="0"/>
              <w:rPr>
                <w:sz w:val="20"/>
                <w:szCs w:val="20"/>
                <w:color w:val="auto"/>
              </w:rPr>
            </w:pPr>
            <w:r>
              <w:rPr>
                <w:rFonts w:ascii="Arial" w:cs="Arial" w:eastAsia="Arial" w:hAnsi="Arial"/>
                <w:sz w:val="14"/>
                <w:szCs w:val="14"/>
                <w:color w:val="FFFFFF"/>
              </w:rPr>
              <w:t>Not Following</w:t>
            </w:r>
          </w:p>
        </w:tc>
        <w:tc>
          <w:tcPr>
            <w:tcW w:w="2320" w:type="dxa"/>
            <w:vAlign w:val="bottom"/>
            <w:shd w:val="clear" w:color="auto" w:fill="0075C9"/>
          </w:tcPr>
          <w:p>
            <w:pPr>
              <w:jc w:val="center"/>
              <w:ind w:right="208"/>
              <w:spacing w:after="0"/>
              <w:rPr>
                <w:sz w:val="20"/>
                <w:szCs w:val="20"/>
                <w:color w:val="auto"/>
              </w:rPr>
            </w:pPr>
            <w:r>
              <w:rPr>
                <w:rFonts w:ascii="Arial" w:cs="Arial" w:eastAsia="Arial" w:hAnsi="Arial"/>
                <w:sz w:val="14"/>
                <w:szCs w:val="14"/>
                <w:color w:val="FFFFFF"/>
              </w:rPr>
              <w:t>Employment Following</w:t>
            </w:r>
          </w:p>
        </w:tc>
      </w:tr>
      <w:tr>
        <w:trPr>
          <w:trHeight w:val="162"/>
        </w:trPr>
        <w:tc>
          <w:tcPr>
            <w:tcW w:w="5320" w:type="dxa"/>
            <w:vAlign w:val="bottom"/>
            <w:shd w:val="clear" w:color="auto" w:fill="0075C9"/>
          </w:tcPr>
          <w:p>
            <w:pPr>
              <w:spacing w:after="0"/>
              <w:rPr>
                <w:sz w:val="14"/>
                <w:szCs w:val="14"/>
                <w:color w:val="auto"/>
              </w:rPr>
            </w:pPr>
          </w:p>
        </w:tc>
        <w:tc>
          <w:tcPr>
            <w:tcW w:w="1260" w:type="dxa"/>
            <w:vAlign w:val="bottom"/>
            <w:shd w:val="clear" w:color="auto" w:fill="0075C9"/>
          </w:tcPr>
          <w:p>
            <w:pPr>
              <w:spacing w:after="0"/>
              <w:rPr>
                <w:sz w:val="14"/>
                <w:szCs w:val="14"/>
                <w:color w:val="auto"/>
              </w:rPr>
            </w:pPr>
          </w:p>
        </w:tc>
        <w:tc>
          <w:tcPr>
            <w:tcW w:w="2120" w:type="dxa"/>
            <w:vAlign w:val="bottom"/>
            <w:shd w:val="clear" w:color="auto" w:fill="0075C9"/>
          </w:tcPr>
          <w:p>
            <w:pPr>
              <w:jc w:val="center"/>
              <w:ind w:left="128"/>
              <w:spacing w:after="0"/>
              <w:rPr>
                <w:sz w:val="20"/>
                <w:szCs w:val="20"/>
                <w:color w:val="auto"/>
              </w:rPr>
            </w:pPr>
            <w:r>
              <w:rPr>
                <w:rFonts w:ascii="Arial" w:cs="Arial" w:eastAsia="Arial" w:hAnsi="Arial"/>
                <w:sz w:val="14"/>
                <w:szCs w:val="14"/>
                <w:color w:val="FFFFFF"/>
              </w:rPr>
              <w:t>a Corporate</w:t>
            </w:r>
          </w:p>
        </w:tc>
        <w:tc>
          <w:tcPr>
            <w:tcW w:w="2320" w:type="dxa"/>
            <w:vAlign w:val="bottom"/>
            <w:shd w:val="clear" w:color="auto" w:fill="0075C9"/>
          </w:tcPr>
          <w:p>
            <w:pPr>
              <w:jc w:val="center"/>
              <w:ind w:right="208"/>
              <w:spacing w:after="0"/>
              <w:rPr>
                <w:sz w:val="20"/>
                <w:szCs w:val="20"/>
                <w:color w:val="auto"/>
              </w:rPr>
            </w:pPr>
            <w:r>
              <w:rPr>
                <w:rFonts w:ascii="Arial" w:cs="Arial" w:eastAsia="Arial" w:hAnsi="Arial"/>
                <w:sz w:val="14"/>
                <w:szCs w:val="14"/>
                <w:color w:val="FFFFFF"/>
              </w:rPr>
              <w:t>a Corporate</w:t>
            </w:r>
          </w:p>
        </w:tc>
      </w:tr>
      <w:tr>
        <w:trPr>
          <w:trHeight w:val="162"/>
        </w:trPr>
        <w:tc>
          <w:tcPr>
            <w:tcW w:w="5320" w:type="dxa"/>
            <w:vAlign w:val="bottom"/>
            <w:shd w:val="clear" w:color="auto" w:fill="0075C9"/>
          </w:tcPr>
          <w:p>
            <w:pPr>
              <w:spacing w:after="0"/>
              <w:rPr>
                <w:sz w:val="14"/>
                <w:szCs w:val="14"/>
                <w:color w:val="auto"/>
              </w:rPr>
            </w:pPr>
          </w:p>
        </w:tc>
        <w:tc>
          <w:tcPr>
            <w:tcW w:w="1260" w:type="dxa"/>
            <w:vAlign w:val="bottom"/>
            <w:shd w:val="clear" w:color="auto" w:fill="0075C9"/>
          </w:tcPr>
          <w:p>
            <w:pPr>
              <w:spacing w:after="0"/>
              <w:rPr>
                <w:sz w:val="14"/>
                <w:szCs w:val="14"/>
                <w:color w:val="auto"/>
              </w:rPr>
            </w:pPr>
          </w:p>
        </w:tc>
        <w:tc>
          <w:tcPr>
            <w:tcW w:w="2120" w:type="dxa"/>
            <w:vAlign w:val="bottom"/>
            <w:shd w:val="clear" w:color="auto" w:fill="0075C9"/>
          </w:tcPr>
          <w:p>
            <w:pPr>
              <w:jc w:val="center"/>
              <w:ind w:left="128"/>
              <w:spacing w:after="0"/>
              <w:rPr>
                <w:sz w:val="20"/>
                <w:szCs w:val="20"/>
                <w:color w:val="auto"/>
              </w:rPr>
            </w:pPr>
            <w:r>
              <w:rPr>
                <w:rFonts w:ascii="Arial" w:cs="Arial" w:eastAsia="Arial" w:hAnsi="Arial"/>
                <w:sz w:val="14"/>
                <w:szCs w:val="14"/>
                <w:color w:val="FFFFFF"/>
              </w:rPr>
              <w:t>Transaction or</w:t>
            </w:r>
          </w:p>
        </w:tc>
        <w:tc>
          <w:tcPr>
            <w:tcW w:w="2320" w:type="dxa"/>
            <w:vAlign w:val="bottom"/>
            <w:shd w:val="clear" w:color="auto" w:fill="0075C9"/>
          </w:tcPr>
          <w:p>
            <w:pPr>
              <w:jc w:val="center"/>
              <w:ind w:right="208"/>
              <w:spacing w:after="0"/>
              <w:rPr>
                <w:sz w:val="20"/>
                <w:szCs w:val="20"/>
                <w:color w:val="auto"/>
              </w:rPr>
            </w:pPr>
            <w:r>
              <w:rPr>
                <w:rFonts w:ascii="Arial" w:cs="Arial" w:eastAsia="Arial" w:hAnsi="Arial"/>
                <w:sz w:val="14"/>
                <w:szCs w:val="14"/>
                <w:color w:val="FFFFFF"/>
              </w:rPr>
              <w:t>Transaction or</w:t>
            </w:r>
          </w:p>
        </w:tc>
      </w:tr>
      <w:tr>
        <w:trPr>
          <w:trHeight w:val="190"/>
        </w:trPr>
        <w:tc>
          <w:tcPr>
            <w:tcW w:w="5320" w:type="dxa"/>
            <w:vAlign w:val="bottom"/>
            <w:shd w:val="clear" w:color="auto" w:fill="0075C9"/>
          </w:tcPr>
          <w:p>
            <w:pPr>
              <w:ind w:left="80"/>
              <w:spacing w:after="0"/>
              <w:rPr>
                <w:sz w:val="20"/>
                <w:szCs w:val="20"/>
                <w:color w:val="auto"/>
              </w:rPr>
            </w:pPr>
            <w:r>
              <w:rPr>
                <w:rFonts w:ascii="Arial" w:cs="Arial" w:eastAsia="Arial" w:hAnsi="Arial"/>
                <w:sz w:val="14"/>
                <w:szCs w:val="14"/>
                <w:color w:val="FFFFFF"/>
              </w:rPr>
              <w:t>Name and Payment Elements</w:t>
            </w:r>
            <w:r>
              <w:rPr>
                <w:rFonts w:ascii="Arial" w:cs="Arial" w:eastAsia="Arial" w:hAnsi="Arial"/>
                <w:sz w:val="14"/>
                <w:szCs w:val="14"/>
                <w:color w:val="FFFFFF"/>
                <w:vertAlign w:val="superscript"/>
              </w:rPr>
              <w:t>(1)</w:t>
            </w:r>
          </w:p>
        </w:tc>
        <w:tc>
          <w:tcPr>
            <w:tcW w:w="1260" w:type="dxa"/>
            <w:vAlign w:val="bottom"/>
            <w:shd w:val="clear" w:color="auto" w:fill="0075C9"/>
          </w:tcPr>
          <w:p>
            <w:pPr>
              <w:jc w:val="center"/>
              <w:ind w:left="368"/>
              <w:spacing w:after="0"/>
              <w:rPr>
                <w:sz w:val="20"/>
                <w:szCs w:val="20"/>
                <w:color w:val="auto"/>
              </w:rPr>
            </w:pPr>
            <w:r>
              <w:rPr>
                <w:rFonts w:ascii="Arial" w:cs="Arial" w:eastAsia="Arial" w:hAnsi="Arial"/>
                <w:sz w:val="14"/>
                <w:szCs w:val="14"/>
                <w:color w:val="FFFFFF"/>
                <w:w w:val="97"/>
              </w:rPr>
              <w:t>Retirement</w:t>
            </w:r>
            <w:r>
              <w:rPr>
                <w:rFonts w:ascii="Arial" w:cs="Arial" w:eastAsia="Arial" w:hAnsi="Arial"/>
                <w:sz w:val="14"/>
                <w:szCs w:val="14"/>
                <w:color w:val="FFFFFF"/>
                <w:w w:val="97"/>
                <w:vertAlign w:val="superscript"/>
              </w:rPr>
              <w:t>(2)</w:t>
            </w:r>
          </w:p>
        </w:tc>
        <w:tc>
          <w:tcPr>
            <w:tcW w:w="2120" w:type="dxa"/>
            <w:vAlign w:val="bottom"/>
            <w:shd w:val="clear" w:color="auto" w:fill="0075C9"/>
          </w:tcPr>
          <w:p>
            <w:pPr>
              <w:jc w:val="center"/>
              <w:ind w:left="128"/>
              <w:spacing w:after="0"/>
              <w:rPr>
                <w:sz w:val="20"/>
                <w:szCs w:val="20"/>
                <w:color w:val="auto"/>
              </w:rPr>
            </w:pPr>
            <w:r>
              <w:rPr>
                <w:rFonts w:ascii="Arial" w:cs="Arial" w:eastAsia="Arial" w:hAnsi="Arial"/>
                <w:sz w:val="14"/>
                <w:szCs w:val="14"/>
                <w:color w:val="FFFFFF"/>
                <w:w w:val="99"/>
              </w:rPr>
              <w:t>Change in Control</w:t>
            </w:r>
            <w:r>
              <w:rPr>
                <w:rFonts w:ascii="Arial" w:cs="Arial" w:eastAsia="Arial" w:hAnsi="Arial"/>
                <w:sz w:val="14"/>
                <w:szCs w:val="14"/>
                <w:color w:val="FFFFFF"/>
                <w:w w:val="99"/>
                <w:vertAlign w:val="superscript"/>
              </w:rPr>
              <w:t>(3)</w:t>
            </w:r>
          </w:p>
        </w:tc>
        <w:tc>
          <w:tcPr>
            <w:tcW w:w="2320" w:type="dxa"/>
            <w:vAlign w:val="bottom"/>
            <w:shd w:val="clear" w:color="auto" w:fill="0075C9"/>
          </w:tcPr>
          <w:p>
            <w:pPr>
              <w:jc w:val="center"/>
              <w:ind w:right="208"/>
              <w:spacing w:after="0"/>
              <w:rPr>
                <w:sz w:val="20"/>
                <w:szCs w:val="20"/>
                <w:color w:val="auto"/>
              </w:rPr>
            </w:pPr>
            <w:r>
              <w:rPr>
                <w:rFonts w:ascii="Arial" w:cs="Arial" w:eastAsia="Arial" w:hAnsi="Arial"/>
                <w:sz w:val="14"/>
                <w:szCs w:val="14"/>
                <w:color w:val="FFFFFF"/>
                <w:w w:val="99"/>
              </w:rPr>
              <w:t>Change in Control</w:t>
            </w:r>
            <w:r>
              <w:rPr>
                <w:rFonts w:ascii="Arial" w:cs="Arial" w:eastAsia="Arial" w:hAnsi="Arial"/>
                <w:sz w:val="14"/>
                <w:szCs w:val="14"/>
                <w:color w:val="FFFFFF"/>
                <w:w w:val="99"/>
                <w:vertAlign w:val="superscript"/>
              </w:rPr>
              <w:t>(3)</w:t>
            </w:r>
          </w:p>
        </w:tc>
      </w:tr>
      <w:tr>
        <w:trPr>
          <w:trHeight w:val="229"/>
        </w:trPr>
        <w:tc>
          <w:tcPr>
            <w:tcW w:w="5320" w:type="dxa"/>
            <w:vAlign w:val="bottom"/>
            <w:shd w:val="clear" w:color="auto" w:fill="0075C9"/>
          </w:tcPr>
          <w:p>
            <w:pPr>
              <w:ind w:left="80"/>
              <w:spacing w:after="0"/>
              <w:rPr>
                <w:sz w:val="20"/>
                <w:szCs w:val="20"/>
                <w:color w:val="auto"/>
              </w:rPr>
            </w:pPr>
            <w:r>
              <w:rPr>
                <w:rFonts w:ascii="Arial" w:cs="Arial" w:eastAsia="Arial" w:hAnsi="Arial"/>
                <w:sz w:val="14"/>
                <w:szCs w:val="14"/>
                <w:color w:val="FFFFFF"/>
              </w:rPr>
              <w:t>(a)</w:t>
            </w:r>
          </w:p>
        </w:tc>
        <w:tc>
          <w:tcPr>
            <w:tcW w:w="1260" w:type="dxa"/>
            <w:vAlign w:val="bottom"/>
            <w:shd w:val="clear" w:color="auto" w:fill="0075C9"/>
          </w:tcPr>
          <w:p>
            <w:pPr>
              <w:jc w:val="center"/>
              <w:ind w:left="368"/>
              <w:spacing w:after="0"/>
              <w:rPr>
                <w:sz w:val="20"/>
                <w:szCs w:val="20"/>
                <w:color w:val="auto"/>
              </w:rPr>
            </w:pPr>
            <w:r>
              <w:rPr>
                <w:rFonts w:ascii="Arial" w:cs="Arial" w:eastAsia="Arial" w:hAnsi="Arial"/>
                <w:sz w:val="14"/>
                <w:szCs w:val="14"/>
                <w:color w:val="FFFFFF"/>
              </w:rPr>
              <w:t>(b)</w:t>
            </w:r>
          </w:p>
        </w:tc>
        <w:tc>
          <w:tcPr>
            <w:tcW w:w="2120" w:type="dxa"/>
            <w:vAlign w:val="bottom"/>
            <w:shd w:val="clear" w:color="auto" w:fill="0075C9"/>
          </w:tcPr>
          <w:p>
            <w:pPr>
              <w:jc w:val="center"/>
              <w:ind w:left="128"/>
              <w:spacing w:after="0"/>
              <w:rPr>
                <w:sz w:val="20"/>
                <w:szCs w:val="20"/>
                <w:color w:val="auto"/>
              </w:rPr>
            </w:pPr>
            <w:r>
              <w:rPr>
                <w:rFonts w:ascii="Arial" w:cs="Arial" w:eastAsia="Arial" w:hAnsi="Arial"/>
                <w:sz w:val="14"/>
                <w:szCs w:val="14"/>
                <w:color w:val="FFFFFF"/>
                <w:w w:val="97"/>
              </w:rPr>
              <w:t>(c)</w:t>
            </w:r>
          </w:p>
        </w:tc>
        <w:tc>
          <w:tcPr>
            <w:tcW w:w="2320" w:type="dxa"/>
            <w:vAlign w:val="bottom"/>
            <w:shd w:val="clear" w:color="auto" w:fill="0075C9"/>
          </w:tcPr>
          <w:p>
            <w:pPr>
              <w:jc w:val="center"/>
              <w:ind w:right="228"/>
              <w:spacing w:after="0"/>
              <w:rPr>
                <w:sz w:val="20"/>
                <w:szCs w:val="20"/>
                <w:color w:val="auto"/>
              </w:rPr>
            </w:pPr>
            <w:r>
              <w:rPr>
                <w:rFonts w:ascii="Arial" w:cs="Arial" w:eastAsia="Arial" w:hAnsi="Arial"/>
                <w:sz w:val="14"/>
                <w:szCs w:val="14"/>
                <w:color w:val="FFFFFF"/>
              </w:rPr>
              <w:t>(d)</w:t>
            </w:r>
          </w:p>
        </w:tc>
      </w:tr>
      <w:tr>
        <w:trPr>
          <w:trHeight w:val="62"/>
        </w:trPr>
        <w:tc>
          <w:tcPr>
            <w:tcW w:w="5320" w:type="dxa"/>
            <w:vAlign w:val="bottom"/>
            <w:shd w:val="clear" w:color="auto" w:fill="0075C9"/>
          </w:tcPr>
          <w:p>
            <w:pPr>
              <w:spacing w:after="0"/>
              <w:rPr>
                <w:sz w:val="5"/>
                <w:szCs w:val="5"/>
                <w:color w:val="auto"/>
              </w:rPr>
            </w:pPr>
          </w:p>
        </w:tc>
        <w:tc>
          <w:tcPr>
            <w:tcW w:w="1260" w:type="dxa"/>
            <w:vAlign w:val="bottom"/>
            <w:shd w:val="clear" w:color="auto" w:fill="0075C9"/>
          </w:tcPr>
          <w:p>
            <w:pPr>
              <w:spacing w:after="0"/>
              <w:rPr>
                <w:sz w:val="5"/>
                <w:szCs w:val="5"/>
                <w:color w:val="auto"/>
              </w:rPr>
            </w:pPr>
          </w:p>
        </w:tc>
        <w:tc>
          <w:tcPr>
            <w:tcW w:w="2120" w:type="dxa"/>
            <w:vAlign w:val="bottom"/>
            <w:shd w:val="clear" w:color="auto" w:fill="0075C9"/>
          </w:tcPr>
          <w:p>
            <w:pPr>
              <w:spacing w:after="0"/>
              <w:rPr>
                <w:sz w:val="5"/>
                <w:szCs w:val="5"/>
                <w:color w:val="auto"/>
              </w:rPr>
            </w:pPr>
          </w:p>
        </w:tc>
        <w:tc>
          <w:tcPr>
            <w:tcW w:w="2320" w:type="dxa"/>
            <w:vAlign w:val="bottom"/>
            <w:shd w:val="clear" w:color="auto" w:fill="0075C9"/>
          </w:tcPr>
          <w:p>
            <w:pPr>
              <w:spacing w:after="0"/>
              <w:rPr>
                <w:sz w:val="5"/>
                <w:szCs w:val="5"/>
                <w:color w:val="auto"/>
              </w:rPr>
            </w:pPr>
          </w:p>
        </w:tc>
      </w:tr>
      <w:tr>
        <w:trPr>
          <w:trHeight w:val="216"/>
        </w:trPr>
        <w:tc>
          <w:tcPr>
            <w:tcW w:w="5320" w:type="dxa"/>
            <w:vAlign w:val="bottom"/>
            <w:shd w:val="clear" w:color="auto" w:fill="99C7E9"/>
          </w:tcPr>
          <w:p>
            <w:pPr>
              <w:ind w:left="80"/>
              <w:spacing w:after="0" w:line="216" w:lineRule="exact"/>
              <w:rPr>
                <w:sz w:val="20"/>
                <w:szCs w:val="20"/>
                <w:color w:val="auto"/>
              </w:rPr>
            </w:pPr>
            <w:r>
              <w:rPr>
                <w:rFonts w:ascii="Arial" w:cs="Arial" w:eastAsia="Arial" w:hAnsi="Arial"/>
                <w:sz w:val="14"/>
                <w:szCs w:val="14"/>
                <w:b w:val="1"/>
                <w:bCs w:val="1"/>
                <w:color w:val="auto"/>
              </w:rPr>
              <w:t>Christopher A. Viehbacher</w:t>
            </w:r>
            <w:r>
              <w:rPr>
                <w:rFonts w:ascii="Arial" w:cs="Arial" w:eastAsia="Arial" w:hAnsi="Arial"/>
                <w:sz w:val="21"/>
                <w:szCs w:val="21"/>
                <w:b w:val="1"/>
                <w:bCs w:val="1"/>
                <w:color w:val="auto"/>
                <w:vertAlign w:val="superscript"/>
              </w:rPr>
              <w:t>(4)</w:t>
            </w:r>
          </w:p>
        </w:tc>
        <w:tc>
          <w:tcPr>
            <w:tcW w:w="1260" w:type="dxa"/>
            <w:vAlign w:val="bottom"/>
            <w:shd w:val="clear" w:color="auto" w:fill="99C7E9"/>
          </w:tcPr>
          <w:p>
            <w:pPr>
              <w:spacing w:after="0"/>
              <w:rPr>
                <w:sz w:val="18"/>
                <w:szCs w:val="18"/>
                <w:color w:val="auto"/>
              </w:rPr>
            </w:pPr>
          </w:p>
        </w:tc>
        <w:tc>
          <w:tcPr>
            <w:tcW w:w="2120" w:type="dxa"/>
            <w:vAlign w:val="bottom"/>
            <w:shd w:val="clear" w:color="auto" w:fill="99C7E9"/>
          </w:tcPr>
          <w:p>
            <w:pPr>
              <w:spacing w:after="0"/>
              <w:rPr>
                <w:sz w:val="18"/>
                <w:szCs w:val="18"/>
                <w:color w:val="auto"/>
              </w:rPr>
            </w:pPr>
          </w:p>
        </w:tc>
        <w:tc>
          <w:tcPr>
            <w:tcW w:w="2320" w:type="dxa"/>
            <w:vAlign w:val="bottom"/>
            <w:shd w:val="clear" w:color="auto" w:fill="99C7E9"/>
          </w:tcPr>
          <w:p>
            <w:pPr>
              <w:spacing w:after="0"/>
              <w:rPr>
                <w:sz w:val="18"/>
                <w:szCs w:val="18"/>
                <w:color w:val="auto"/>
              </w:rPr>
            </w:pPr>
          </w:p>
        </w:tc>
      </w:tr>
      <w:tr>
        <w:trPr>
          <w:trHeight w:val="208"/>
        </w:trPr>
        <w:tc>
          <w:tcPr>
            <w:tcW w:w="53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Severance</w:t>
            </w:r>
          </w:p>
        </w:tc>
        <w:tc>
          <w:tcPr>
            <w:tcW w:w="1260" w:type="dxa"/>
            <w:vAlign w:val="bottom"/>
            <w:shd w:val="clear" w:color="auto" w:fill="99C7E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99C7E9"/>
          </w:tcPr>
          <w:p>
            <w:pPr>
              <w:jc w:val="center"/>
              <w:ind w:left="128"/>
              <w:spacing w:after="0"/>
              <w:rPr>
                <w:sz w:val="20"/>
                <w:szCs w:val="20"/>
                <w:color w:val="auto"/>
              </w:rPr>
            </w:pPr>
            <w:r>
              <w:rPr>
                <w:rFonts w:ascii="Arial" w:cs="Arial" w:eastAsia="Arial" w:hAnsi="Arial"/>
                <w:sz w:val="14"/>
                <w:szCs w:val="14"/>
                <w:color w:val="auto"/>
              </w:rPr>
              <w:t>$6,281,250</w:t>
            </w:r>
          </w:p>
        </w:tc>
        <w:tc>
          <w:tcPr>
            <w:tcW w:w="2320" w:type="dxa"/>
            <w:vAlign w:val="bottom"/>
            <w:shd w:val="clear" w:color="auto" w:fill="99C7E9"/>
          </w:tcPr>
          <w:p>
            <w:pPr>
              <w:jc w:val="center"/>
              <w:ind w:right="208"/>
              <w:spacing w:after="0"/>
              <w:rPr>
                <w:sz w:val="20"/>
                <w:szCs w:val="20"/>
                <w:color w:val="auto"/>
              </w:rPr>
            </w:pPr>
            <w:r>
              <w:rPr>
                <w:rFonts w:ascii="Arial" w:cs="Arial" w:eastAsia="Arial" w:hAnsi="Arial"/>
                <w:sz w:val="14"/>
                <w:szCs w:val="14"/>
                <w:color w:val="auto"/>
              </w:rPr>
              <w:t>$8,375,000</w:t>
            </w:r>
          </w:p>
        </w:tc>
      </w:tr>
      <w:tr>
        <w:trPr>
          <w:trHeight w:val="216"/>
        </w:trPr>
        <w:tc>
          <w:tcPr>
            <w:tcW w:w="53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Performance-based Restricted Stock Units</w:t>
            </w:r>
          </w:p>
        </w:tc>
        <w:tc>
          <w:tcPr>
            <w:tcW w:w="1260" w:type="dxa"/>
            <w:vAlign w:val="bottom"/>
            <w:shd w:val="clear" w:color="auto" w:fill="99C7E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99C7E9"/>
          </w:tcPr>
          <w:p>
            <w:pPr>
              <w:jc w:val="center"/>
              <w:ind w:left="148"/>
              <w:spacing w:after="0"/>
              <w:rPr>
                <w:sz w:val="20"/>
                <w:szCs w:val="20"/>
                <w:color w:val="auto"/>
              </w:rPr>
            </w:pPr>
            <w:r>
              <w:rPr>
                <w:rFonts w:ascii="Arial" w:cs="Arial" w:eastAsia="Arial" w:hAnsi="Arial"/>
                <w:sz w:val="14"/>
                <w:szCs w:val="14"/>
                <w:color w:val="auto"/>
                <w:w w:val="99"/>
              </w:rPr>
              <w:t>—</w:t>
            </w:r>
          </w:p>
        </w:tc>
        <w:tc>
          <w:tcPr>
            <w:tcW w:w="2320" w:type="dxa"/>
            <w:vAlign w:val="bottom"/>
            <w:shd w:val="clear" w:color="auto" w:fill="99C7E9"/>
          </w:tcPr>
          <w:p>
            <w:pPr>
              <w:jc w:val="center"/>
              <w:ind w:right="208"/>
              <w:spacing w:after="0"/>
              <w:rPr>
                <w:sz w:val="20"/>
                <w:szCs w:val="20"/>
                <w:color w:val="auto"/>
              </w:rPr>
            </w:pPr>
            <w:r>
              <w:rPr>
                <w:rFonts w:ascii="Arial" w:cs="Arial" w:eastAsia="Arial" w:hAnsi="Arial"/>
                <w:sz w:val="14"/>
                <w:szCs w:val="14"/>
                <w:color w:val="auto"/>
              </w:rPr>
              <w:t>$9,615,667</w:t>
            </w:r>
          </w:p>
        </w:tc>
      </w:tr>
      <w:tr>
        <w:trPr>
          <w:trHeight w:val="216"/>
        </w:trPr>
        <w:tc>
          <w:tcPr>
            <w:tcW w:w="53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Time-based Restricted Stock Units</w:t>
            </w:r>
          </w:p>
        </w:tc>
        <w:tc>
          <w:tcPr>
            <w:tcW w:w="1260" w:type="dxa"/>
            <w:vAlign w:val="bottom"/>
            <w:shd w:val="clear" w:color="auto" w:fill="99C7E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99C7E9"/>
          </w:tcPr>
          <w:p>
            <w:pPr>
              <w:jc w:val="center"/>
              <w:ind w:left="148"/>
              <w:spacing w:after="0"/>
              <w:rPr>
                <w:sz w:val="20"/>
                <w:szCs w:val="20"/>
                <w:color w:val="auto"/>
              </w:rPr>
            </w:pPr>
            <w:r>
              <w:rPr>
                <w:rFonts w:ascii="Arial" w:cs="Arial" w:eastAsia="Arial" w:hAnsi="Arial"/>
                <w:sz w:val="14"/>
                <w:szCs w:val="14"/>
                <w:color w:val="auto"/>
                <w:w w:val="99"/>
              </w:rPr>
              <w:t>—</w:t>
            </w:r>
          </w:p>
        </w:tc>
        <w:tc>
          <w:tcPr>
            <w:tcW w:w="2320" w:type="dxa"/>
            <w:vAlign w:val="bottom"/>
            <w:shd w:val="clear" w:color="auto" w:fill="99C7E9"/>
          </w:tcPr>
          <w:p>
            <w:pPr>
              <w:jc w:val="center"/>
              <w:ind w:right="208"/>
              <w:spacing w:after="0"/>
              <w:rPr>
                <w:sz w:val="20"/>
                <w:szCs w:val="20"/>
                <w:color w:val="auto"/>
              </w:rPr>
            </w:pPr>
            <w:r>
              <w:rPr>
                <w:rFonts w:ascii="Arial" w:cs="Arial" w:eastAsia="Arial" w:hAnsi="Arial"/>
                <w:sz w:val="14"/>
                <w:szCs w:val="14"/>
                <w:color w:val="auto"/>
              </w:rPr>
              <w:t>$11,329,708</w:t>
            </w:r>
          </w:p>
        </w:tc>
      </w:tr>
      <w:tr>
        <w:trPr>
          <w:trHeight w:val="216"/>
        </w:trPr>
        <w:tc>
          <w:tcPr>
            <w:tcW w:w="53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Medical, Dental and Vision</w:t>
            </w:r>
          </w:p>
        </w:tc>
        <w:tc>
          <w:tcPr>
            <w:tcW w:w="1260" w:type="dxa"/>
            <w:vAlign w:val="bottom"/>
            <w:shd w:val="clear" w:color="auto" w:fill="99C7E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99C7E9"/>
          </w:tcPr>
          <w:p>
            <w:pPr>
              <w:jc w:val="center"/>
              <w:ind w:left="128"/>
              <w:spacing w:after="0"/>
              <w:rPr>
                <w:sz w:val="20"/>
                <w:szCs w:val="20"/>
                <w:color w:val="auto"/>
              </w:rPr>
            </w:pPr>
            <w:r>
              <w:rPr>
                <w:rFonts w:ascii="Arial" w:cs="Arial" w:eastAsia="Arial" w:hAnsi="Arial"/>
                <w:sz w:val="14"/>
                <w:szCs w:val="14"/>
                <w:color w:val="auto"/>
              </w:rPr>
              <w:t>$27,487</w:t>
            </w:r>
          </w:p>
        </w:tc>
        <w:tc>
          <w:tcPr>
            <w:tcW w:w="2320" w:type="dxa"/>
            <w:vAlign w:val="bottom"/>
            <w:shd w:val="clear" w:color="auto" w:fill="99C7E9"/>
          </w:tcPr>
          <w:p>
            <w:pPr>
              <w:jc w:val="center"/>
              <w:ind w:right="208"/>
              <w:spacing w:after="0"/>
              <w:rPr>
                <w:sz w:val="20"/>
                <w:szCs w:val="20"/>
                <w:color w:val="auto"/>
              </w:rPr>
            </w:pPr>
            <w:r>
              <w:rPr>
                <w:rFonts w:ascii="Arial" w:cs="Arial" w:eastAsia="Arial" w:hAnsi="Arial"/>
                <w:sz w:val="14"/>
                <w:szCs w:val="14"/>
                <w:color w:val="auto"/>
              </w:rPr>
              <w:t>$36,649</w:t>
            </w:r>
          </w:p>
        </w:tc>
      </w:tr>
      <w:tr>
        <w:trPr>
          <w:trHeight w:val="224"/>
        </w:trPr>
        <w:tc>
          <w:tcPr>
            <w:tcW w:w="5320" w:type="dxa"/>
            <w:vAlign w:val="bottom"/>
            <w:shd w:val="clear" w:color="auto" w:fill="99C7E9"/>
          </w:tcPr>
          <w:p>
            <w:pPr>
              <w:ind w:left="280"/>
              <w:spacing w:after="0" w:line="224" w:lineRule="exact"/>
              <w:rPr>
                <w:sz w:val="20"/>
                <w:szCs w:val="20"/>
                <w:color w:val="auto"/>
              </w:rPr>
            </w:pPr>
            <w:r>
              <w:rPr>
                <w:rFonts w:ascii="Arial" w:cs="Arial" w:eastAsia="Arial" w:hAnsi="Arial"/>
                <w:sz w:val="14"/>
                <w:szCs w:val="14"/>
                <w:color w:val="auto"/>
              </w:rPr>
              <w:t>Outplacement</w:t>
            </w:r>
            <w:r>
              <w:rPr>
                <w:rFonts w:ascii="Arial" w:cs="Arial" w:eastAsia="Arial" w:hAnsi="Arial"/>
                <w:sz w:val="21"/>
                <w:szCs w:val="21"/>
                <w:color w:val="auto"/>
                <w:vertAlign w:val="superscript"/>
              </w:rPr>
              <w:t>(5)</w:t>
            </w:r>
          </w:p>
        </w:tc>
        <w:tc>
          <w:tcPr>
            <w:tcW w:w="1260" w:type="dxa"/>
            <w:vAlign w:val="bottom"/>
            <w:shd w:val="clear" w:color="auto" w:fill="99C7E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99C7E9"/>
          </w:tcPr>
          <w:p>
            <w:pPr>
              <w:jc w:val="center"/>
              <w:ind w:left="128"/>
              <w:spacing w:after="0"/>
              <w:rPr>
                <w:sz w:val="20"/>
                <w:szCs w:val="20"/>
                <w:color w:val="auto"/>
              </w:rPr>
            </w:pPr>
            <w:r>
              <w:rPr>
                <w:rFonts w:ascii="Arial" w:cs="Arial" w:eastAsia="Arial" w:hAnsi="Arial"/>
                <w:sz w:val="14"/>
                <w:szCs w:val="14"/>
                <w:color w:val="auto"/>
              </w:rPr>
              <w:t>$32,000</w:t>
            </w:r>
          </w:p>
        </w:tc>
        <w:tc>
          <w:tcPr>
            <w:tcW w:w="2320" w:type="dxa"/>
            <w:vAlign w:val="bottom"/>
            <w:shd w:val="clear" w:color="auto" w:fill="99C7E9"/>
          </w:tcPr>
          <w:p>
            <w:pPr>
              <w:jc w:val="center"/>
              <w:ind w:right="208"/>
              <w:spacing w:after="0"/>
              <w:rPr>
                <w:sz w:val="20"/>
                <w:szCs w:val="20"/>
                <w:color w:val="auto"/>
              </w:rPr>
            </w:pPr>
            <w:r>
              <w:rPr>
                <w:rFonts w:ascii="Arial" w:cs="Arial" w:eastAsia="Arial" w:hAnsi="Arial"/>
                <w:sz w:val="14"/>
                <w:szCs w:val="14"/>
                <w:color w:val="auto"/>
              </w:rPr>
              <w:t>$32,000</w:t>
            </w:r>
          </w:p>
        </w:tc>
      </w:tr>
      <w:tr>
        <w:trPr>
          <w:trHeight w:val="228"/>
        </w:trPr>
        <w:tc>
          <w:tcPr>
            <w:tcW w:w="5320" w:type="dxa"/>
            <w:vAlign w:val="bottom"/>
            <w:tcBorders>
              <w:bottom w:val="single" w:sz="8" w:color="auto"/>
            </w:tcBorders>
            <w:shd w:val="clear" w:color="auto" w:fill="99C7E9"/>
          </w:tcPr>
          <w:p>
            <w:pPr>
              <w:ind w:left="28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shd w:val="clear" w:color="auto" w:fill="99C7E9"/>
          </w:tcPr>
          <w:p>
            <w:pPr>
              <w:jc w:val="center"/>
              <w:ind w:left="368"/>
              <w:spacing w:after="0"/>
              <w:rPr>
                <w:sz w:val="20"/>
                <w:szCs w:val="20"/>
                <w:color w:val="auto"/>
              </w:rPr>
            </w:pPr>
            <w:r>
              <w:rPr>
                <w:rFonts w:ascii="Arial" w:cs="Arial" w:eastAsia="Arial" w:hAnsi="Arial"/>
                <w:sz w:val="14"/>
                <w:szCs w:val="14"/>
                <w:b w:val="1"/>
                <w:bCs w:val="1"/>
                <w:color w:val="auto"/>
                <w:w w:val="99"/>
              </w:rPr>
              <w:t>—</w:t>
            </w:r>
          </w:p>
        </w:tc>
        <w:tc>
          <w:tcPr>
            <w:tcW w:w="2120" w:type="dxa"/>
            <w:vAlign w:val="bottom"/>
            <w:tcBorders>
              <w:bottom w:val="single" w:sz="8" w:color="auto"/>
            </w:tcBorders>
            <w:shd w:val="clear" w:color="auto" w:fill="99C7E9"/>
          </w:tcPr>
          <w:p>
            <w:pPr>
              <w:jc w:val="center"/>
              <w:ind w:left="128"/>
              <w:spacing w:after="0"/>
              <w:rPr>
                <w:sz w:val="20"/>
                <w:szCs w:val="20"/>
                <w:color w:val="auto"/>
              </w:rPr>
            </w:pPr>
            <w:r>
              <w:rPr>
                <w:rFonts w:ascii="Arial" w:cs="Arial" w:eastAsia="Arial" w:hAnsi="Arial"/>
                <w:sz w:val="14"/>
                <w:szCs w:val="14"/>
                <w:b w:val="1"/>
                <w:bCs w:val="1"/>
                <w:color w:val="auto"/>
              </w:rPr>
              <w:t>$6,340,737</w:t>
            </w:r>
          </w:p>
        </w:tc>
        <w:tc>
          <w:tcPr>
            <w:tcW w:w="2320" w:type="dxa"/>
            <w:vAlign w:val="bottom"/>
            <w:tcBorders>
              <w:bottom w:val="single" w:sz="8" w:color="auto"/>
            </w:tcBorders>
            <w:shd w:val="clear" w:color="auto" w:fill="99C7E9"/>
          </w:tcPr>
          <w:p>
            <w:pPr>
              <w:jc w:val="center"/>
              <w:ind w:right="208"/>
              <w:spacing w:after="0"/>
              <w:rPr>
                <w:sz w:val="20"/>
                <w:szCs w:val="20"/>
                <w:color w:val="auto"/>
              </w:rPr>
            </w:pPr>
            <w:r>
              <w:rPr>
                <w:rFonts w:ascii="Arial" w:cs="Arial" w:eastAsia="Arial" w:hAnsi="Arial"/>
                <w:sz w:val="14"/>
                <w:szCs w:val="14"/>
                <w:b w:val="1"/>
                <w:bCs w:val="1"/>
                <w:color w:val="auto"/>
              </w:rPr>
              <w:t>$29,389,024</w:t>
            </w:r>
          </w:p>
        </w:tc>
      </w:tr>
      <w:tr>
        <w:trPr>
          <w:trHeight w:val="195"/>
        </w:trPr>
        <w:tc>
          <w:tcPr>
            <w:tcW w:w="5320" w:type="dxa"/>
            <w:vAlign w:val="bottom"/>
            <w:shd w:val="clear" w:color="auto" w:fill="E5F1F9"/>
          </w:tcPr>
          <w:p>
            <w:pPr>
              <w:ind w:left="80"/>
              <w:spacing w:after="0"/>
              <w:rPr>
                <w:sz w:val="20"/>
                <w:szCs w:val="20"/>
                <w:color w:val="auto"/>
              </w:rPr>
            </w:pPr>
            <w:r>
              <w:rPr>
                <w:rFonts w:ascii="Arial" w:cs="Arial" w:eastAsia="Arial" w:hAnsi="Arial"/>
                <w:sz w:val="14"/>
                <w:szCs w:val="14"/>
                <w:b w:val="1"/>
                <w:bCs w:val="1"/>
                <w:color w:val="auto"/>
              </w:rPr>
              <w:t>Robin C. Kramer</w:t>
            </w:r>
          </w:p>
        </w:tc>
        <w:tc>
          <w:tcPr>
            <w:tcW w:w="1260" w:type="dxa"/>
            <w:vAlign w:val="bottom"/>
            <w:shd w:val="clear" w:color="auto" w:fill="E5F1F9"/>
          </w:tcPr>
          <w:p>
            <w:pPr>
              <w:spacing w:after="0"/>
              <w:rPr>
                <w:sz w:val="16"/>
                <w:szCs w:val="16"/>
                <w:color w:val="auto"/>
              </w:rPr>
            </w:pPr>
          </w:p>
        </w:tc>
        <w:tc>
          <w:tcPr>
            <w:tcW w:w="2120" w:type="dxa"/>
            <w:vAlign w:val="bottom"/>
            <w:shd w:val="clear" w:color="auto" w:fill="E5F1F9"/>
          </w:tcPr>
          <w:p>
            <w:pPr>
              <w:spacing w:after="0"/>
              <w:rPr>
                <w:sz w:val="16"/>
                <w:szCs w:val="16"/>
                <w:color w:val="auto"/>
              </w:rPr>
            </w:pPr>
          </w:p>
        </w:tc>
        <w:tc>
          <w:tcPr>
            <w:tcW w:w="2320" w:type="dxa"/>
            <w:vAlign w:val="bottom"/>
            <w:shd w:val="clear" w:color="auto" w:fill="E5F1F9"/>
          </w:tcPr>
          <w:p>
            <w:pPr>
              <w:spacing w:after="0"/>
              <w:rPr>
                <w:sz w:val="16"/>
                <w:szCs w:val="16"/>
                <w:color w:val="auto"/>
              </w:rPr>
            </w:pPr>
          </w:p>
        </w:tc>
      </w:tr>
      <w:tr>
        <w:trPr>
          <w:trHeight w:val="210"/>
        </w:trPr>
        <w:tc>
          <w:tcPr>
            <w:tcW w:w="5320" w:type="dxa"/>
            <w:vAlign w:val="bottom"/>
            <w:shd w:val="clear" w:color="auto" w:fill="E5F1F9"/>
          </w:tcPr>
          <w:p>
            <w:pPr>
              <w:ind w:left="280"/>
              <w:spacing w:after="0"/>
              <w:rPr>
                <w:sz w:val="20"/>
                <w:szCs w:val="20"/>
                <w:color w:val="auto"/>
              </w:rPr>
            </w:pPr>
            <w:r>
              <w:rPr>
                <w:rFonts w:ascii="Arial" w:cs="Arial" w:eastAsia="Arial" w:hAnsi="Arial"/>
                <w:sz w:val="14"/>
                <w:szCs w:val="14"/>
                <w:color w:val="auto"/>
              </w:rPr>
              <w:t>Severance</w:t>
            </w:r>
          </w:p>
        </w:tc>
        <w:tc>
          <w:tcPr>
            <w:tcW w:w="1260" w:type="dxa"/>
            <w:vAlign w:val="bottom"/>
            <w:shd w:val="clear" w:color="auto" w:fill="E5F1F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E5F1F9"/>
          </w:tcPr>
          <w:p>
            <w:pPr>
              <w:jc w:val="center"/>
              <w:ind w:left="128"/>
              <w:spacing w:after="0"/>
              <w:rPr>
                <w:sz w:val="20"/>
                <w:szCs w:val="20"/>
                <w:color w:val="auto"/>
              </w:rPr>
            </w:pPr>
            <w:r>
              <w:rPr>
                <w:rFonts w:ascii="Arial" w:cs="Arial" w:eastAsia="Arial" w:hAnsi="Arial"/>
                <w:sz w:val="14"/>
                <w:szCs w:val="14"/>
                <w:color w:val="auto"/>
              </w:rPr>
              <w:t>$2,362,500</w:t>
            </w:r>
          </w:p>
        </w:tc>
        <w:tc>
          <w:tcPr>
            <w:tcW w:w="2320" w:type="dxa"/>
            <w:vAlign w:val="bottom"/>
            <w:shd w:val="clear" w:color="auto" w:fill="E5F1F9"/>
          </w:tcPr>
          <w:p>
            <w:pPr>
              <w:jc w:val="center"/>
              <w:ind w:right="208"/>
              <w:spacing w:after="0"/>
              <w:rPr>
                <w:sz w:val="20"/>
                <w:szCs w:val="20"/>
                <w:color w:val="auto"/>
              </w:rPr>
            </w:pPr>
            <w:r>
              <w:rPr>
                <w:rFonts w:ascii="Arial" w:cs="Arial" w:eastAsia="Arial" w:hAnsi="Arial"/>
                <w:sz w:val="14"/>
                <w:szCs w:val="14"/>
                <w:color w:val="auto"/>
              </w:rPr>
              <w:t>$2,700,000</w:t>
            </w:r>
          </w:p>
        </w:tc>
      </w:tr>
      <w:tr>
        <w:trPr>
          <w:trHeight w:val="216"/>
        </w:trPr>
        <w:tc>
          <w:tcPr>
            <w:tcW w:w="5320" w:type="dxa"/>
            <w:vAlign w:val="bottom"/>
            <w:shd w:val="clear" w:color="auto" w:fill="E5F1F9"/>
          </w:tcPr>
          <w:p>
            <w:pPr>
              <w:ind w:left="280"/>
              <w:spacing w:after="0"/>
              <w:rPr>
                <w:sz w:val="20"/>
                <w:szCs w:val="20"/>
                <w:color w:val="auto"/>
              </w:rPr>
            </w:pPr>
            <w:r>
              <w:rPr>
                <w:rFonts w:ascii="Arial" w:cs="Arial" w:eastAsia="Arial" w:hAnsi="Arial"/>
                <w:sz w:val="14"/>
                <w:szCs w:val="14"/>
                <w:color w:val="auto"/>
              </w:rPr>
              <w:t>Performance-based Restricted Stock Units</w:t>
            </w:r>
          </w:p>
        </w:tc>
        <w:tc>
          <w:tcPr>
            <w:tcW w:w="1260" w:type="dxa"/>
            <w:vAlign w:val="bottom"/>
            <w:shd w:val="clear" w:color="auto" w:fill="E5F1F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E5F1F9"/>
          </w:tcPr>
          <w:p>
            <w:pPr>
              <w:jc w:val="center"/>
              <w:ind w:left="148"/>
              <w:spacing w:after="0"/>
              <w:rPr>
                <w:sz w:val="20"/>
                <w:szCs w:val="20"/>
                <w:color w:val="auto"/>
              </w:rPr>
            </w:pPr>
            <w:r>
              <w:rPr>
                <w:rFonts w:ascii="Arial" w:cs="Arial" w:eastAsia="Arial" w:hAnsi="Arial"/>
                <w:sz w:val="14"/>
                <w:szCs w:val="14"/>
                <w:color w:val="auto"/>
                <w:w w:val="99"/>
              </w:rPr>
              <w:t>—</w:t>
            </w:r>
          </w:p>
        </w:tc>
        <w:tc>
          <w:tcPr>
            <w:tcW w:w="2320" w:type="dxa"/>
            <w:vAlign w:val="bottom"/>
            <w:shd w:val="clear" w:color="auto" w:fill="E5F1F9"/>
          </w:tcPr>
          <w:p>
            <w:pPr>
              <w:jc w:val="center"/>
              <w:ind w:right="208"/>
              <w:spacing w:after="0"/>
              <w:rPr>
                <w:sz w:val="20"/>
                <w:szCs w:val="20"/>
                <w:color w:val="auto"/>
              </w:rPr>
            </w:pPr>
            <w:r>
              <w:rPr>
                <w:rFonts w:ascii="Arial" w:cs="Arial" w:eastAsia="Arial" w:hAnsi="Arial"/>
                <w:sz w:val="14"/>
                <w:szCs w:val="14"/>
                <w:color w:val="auto"/>
              </w:rPr>
              <w:t>$2,184,750</w:t>
            </w:r>
          </w:p>
        </w:tc>
      </w:tr>
      <w:tr>
        <w:trPr>
          <w:trHeight w:val="216"/>
        </w:trPr>
        <w:tc>
          <w:tcPr>
            <w:tcW w:w="5320" w:type="dxa"/>
            <w:vAlign w:val="bottom"/>
            <w:shd w:val="clear" w:color="auto" w:fill="E5F1F9"/>
          </w:tcPr>
          <w:p>
            <w:pPr>
              <w:ind w:left="280"/>
              <w:spacing w:after="0"/>
              <w:rPr>
                <w:sz w:val="20"/>
                <w:szCs w:val="20"/>
                <w:color w:val="auto"/>
              </w:rPr>
            </w:pPr>
            <w:r>
              <w:rPr>
                <w:rFonts w:ascii="Arial" w:cs="Arial" w:eastAsia="Arial" w:hAnsi="Arial"/>
                <w:sz w:val="14"/>
                <w:szCs w:val="14"/>
                <w:color w:val="auto"/>
              </w:rPr>
              <w:t>Time-based Restricted Stock Units</w:t>
            </w:r>
          </w:p>
        </w:tc>
        <w:tc>
          <w:tcPr>
            <w:tcW w:w="1260" w:type="dxa"/>
            <w:vAlign w:val="bottom"/>
            <w:shd w:val="clear" w:color="auto" w:fill="E5F1F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E5F1F9"/>
          </w:tcPr>
          <w:p>
            <w:pPr>
              <w:jc w:val="center"/>
              <w:ind w:left="148"/>
              <w:spacing w:after="0"/>
              <w:rPr>
                <w:sz w:val="20"/>
                <w:szCs w:val="20"/>
                <w:color w:val="auto"/>
              </w:rPr>
            </w:pPr>
            <w:r>
              <w:rPr>
                <w:rFonts w:ascii="Arial" w:cs="Arial" w:eastAsia="Arial" w:hAnsi="Arial"/>
                <w:sz w:val="14"/>
                <w:szCs w:val="14"/>
                <w:color w:val="auto"/>
                <w:w w:val="99"/>
              </w:rPr>
              <w:t>—</w:t>
            </w:r>
          </w:p>
        </w:tc>
        <w:tc>
          <w:tcPr>
            <w:tcW w:w="2320" w:type="dxa"/>
            <w:vAlign w:val="bottom"/>
            <w:shd w:val="clear" w:color="auto" w:fill="E5F1F9"/>
          </w:tcPr>
          <w:p>
            <w:pPr>
              <w:jc w:val="center"/>
              <w:ind w:right="208"/>
              <w:spacing w:after="0"/>
              <w:rPr>
                <w:sz w:val="20"/>
                <w:szCs w:val="20"/>
                <w:color w:val="auto"/>
              </w:rPr>
            </w:pPr>
            <w:r>
              <w:rPr>
                <w:rFonts w:ascii="Arial" w:cs="Arial" w:eastAsia="Arial" w:hAnsi="Arial"/>
                <w:sz w:val="14"/>
                <w:szCs w:val="14"/>
                <w:color w:val="auto"/>
              </w:rPr>
              <w:t>$2,240,529</w:t>
            </w:r>
          </w:p>
        </w:tc>
      </w:tr>
      <w:tr>
        <w:trPr>
          <w:trHeight w:val="216"/>
        </w:trPr>
        <w:tc>
          <w:tcPr>
            <w:tcW w:w="5320" w:type="dxa"/>
            <w:vAlign w:val="bottom"/>
            <w:shd w:val="clear" w:color="auto" w:fill="E5F1F9"/>
          </w:tcPr>
          <w:p>
            <w:pPr>
              <w:ind w:left="280"/>
              <w:spacing w:after="0"/>
              <w:rPr>
                <w:sz w:val="20"/>
                <w:szCs w:val="20"/>
                <w:color w:val="auto"/>
              </w:rPr>
            </w:pPr>
            <w:r>
              <w:rPr>
                <w:rFonts w:ascii="Arial" w:cs="Arial" w:eastAsia="Arial" w:hAnsi="Arial"/>
                <w:sz w:val="14"/>
                <w:szCs w:val="14"/>
                <w:color w:val="auto"/>
              </w:rPr>
              <w:t>Medical, Dental and Vision</w:t>
            </w:r>
          </w:p>
        </w:tc>
        <w:tc>
          <w:tcPr>
            <w:tcW w:w="1260" w:type="dxa"/>
            <w:vAlign w:val="bottom"/>
            <w:shd w:val="clear" w:color="auto" w:fill="E5F1F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E5F1F9"/>
          </w:tcPr>
          <w:p>
            <w:pPr>
              <w:jc w:val="center"/>
              <w:ind w:left="128"/>
              <w:spacing w:after="0"/>
              <w:rPr>
                <w:sz w:val="20"/>
                <w:szCs w:val="20"/>
                <w:color w:val="auto"/>
              </w:rPr>
            </w:pPr>
            <w:r>
              <w:rPr>
                <w:rFonts w:ascii="Arial" w:cs="Arial" w:eastAsia="Arial" w:hAnsi="Arial"/>
                <w:sz w:val="14"/>
                <w:szCs w:val="14"/>
                <w:color w:val="auto"/>
              </w:rPr>
              <w:t>$32,068</w:t>
            </w:r>
          </w:p>
        </w:tc>
        <w:tc>
          <w:tcPr>
            <w:tcW w:w="2320" w:type="dxa"/>
            <w:vAlign w:val="bottom"/>
            <w:shd w:val="clear" w:color="auto" w:fill="E5F1F9"/>
          </w:tcPr>
          <w:p>
            <w:pPr>
              <w:jc w:val="center"/>
              <w:ind w:right="208"/>
              <w:spacing w:after="0"/>
              <w:rPr>
                <w:sz w:val="20"/>
                <w:szCs w:val="20"/>
                <w:color w:val="auto"/>
              </w:rPr>
            </w:pPr>
            <w:r>
              <w:rPr>
                <w:rFonts w:ascii="Arial" w:cs="Arial" w:eastAsia="Arial" w:hAnsi="Arial"/>
                <w:sz w:val="14"/>
                <w:szCs w:val="14"/>
                <w:color w:val="auto"/>
              </w:rPr>
              <w:t>$36,649</w:t>
            </w:r>
          </w:p>
        </w:tc>
      </w:tr>
      <w:tr>
        <w:trPr>
          <w:trHeight w:val="224"/>
        </w:trPr>
        <w:tc>
          <w:tcPr>
            <w:tcW w:w="5320" w:type="dxa"/>
            <w:vAlign w:val="bottom"/>
            <w:shd w:val="clear" w:color="auto" w:fill="E5F1F9"/>
          </w:tcPr>
          <w:p>
            <w:pPr>
              <w:ind w:left="280"/>
              <w:spacing w:after="0" w:line="224" w:lineRule="exact"/>
              <w:rPr>
                <w:sz w:val="20"/>
                <w:szCs w:val="20"/>
                <w:color w:val="auto"/>
              </w:rPr>
            </w:pPr>
            <w:r>
              <w:rPr>
                <w:rFonts w:ascii="Arial" w:cs="Arial" w:eastAsia="Arial" w:hAnsi="Arial"/>
                <w:sz w:val="14"/>
                <w:szCs w:val="14"/>
                <w:color w:val="auto"/>
              </w:rPr>
              <w:t>Outplacement</w:t>
            </w:r>
            <w:r>
              <w:rPr>
                <w:rFonts w:ascii="Arial" w:cs="Arial" w:eastAsia="Arial" w:hAnsi="Arial"/>
                <w:sz w:val="21"/>
                <w:szCs w:val="21"/>
                <w:color w:val="auto"/>
                <w:vertAlign w:val="superscript"/>
              </w:rPr>
              <w:t>(5)</w:t>
            </w:r>
          </w:p>
        </w:tc>
        <w:tc>
          <w:tcPr>
            <w:tcW w:w="1260" w:type="dxa"/>
            <w:vAlign w:val="bottom"/>
            <w:shd w:val="clear" w:color="auto" w:fill="E5F1F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E5F1F9"/>
          </w:tcPr>
          <w:p>
            <w:pPr>
              <w:jc w:val="center"/>
              <w:ind w:left="128"/>
              <w:spacing w:after="0"/>
              <w:rPr>
                <w:sz w:val="20"/>
                <w:szCs w:val="20"/>
                <w:color w:val="auto"/>
              </w:rPr>
            </w:pPr>
            <w:r>
              <w:rPr>
                <w:rFonts w:ascii="Arial" w:cs="Arial" w:eastAsia="Arial" w:hAnsi="Arial"/>
                <w:sz w:val="14"/>
                <w:szCs w:val="14"/>
                <w:color w:val="auto"/>
              </w:rPr>
              <w:t>$32,000</w:t>
            </w:r>
          </w:p>
        </w:tc>
        <w:tc>
          <w:tcPr>
            <w:tcW w:w="2320" w:type="dxa"/>
            <w:vAlign w:val="bottom"/>
            <w:shd w:val="clear" w:color="auto" w:fill="E5F1F9"/>
          </w:tcPr>
          <w:p>
            <w:pPr>
              <w:jc w:val="center"/>
              <w:ind w:right="208"/>
              <w:spacing w:after="0"/>
              <w:rPr>
                <w:sz w:val="20"/>
                <w:szCs w:val="20"/>
                <w:color w:val="auto"/>
              </w:rPr>
            </w:pPr>
            <w:r>
              <w:rPr>
                <w:rFonts w:ascii="Arial" w:cs="Arial" w:eastAsia="Arial" w:hAnsi="Arial"/>
                <w:sz w:val="14"/>
                <w:szCs w:val="14"/>
                <w:color w:val="auto"/>
              </w:rPr>
              <w:t>$32,000</w:t>
            </w:r>
          </w:p>
        </w:tc>
      </w:tr>
      <w:tr>
        <w:trPr>
          <w:trHeight w:val="228"/>
        </w:trPr>
        <w:tc>
          <w:tcPr>
            <w:tcW w:w="5320" w:type="dxa"/>
            <w:vAlign w:val="bottom"/>
            <w:tcBorders>
              <w:bottom w:val="single" w:sz="8" w:color="auto"/>
            </w:tcBorders>
            <w:shd w:val="clear" w:color="auto" w:fill="E5F1F9"/>
          </w:tcPr>
          <w:p>
            <w:pPr>
              <w:ind w:left="28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shd w:val="clear" w:color="auto" w:fill="E5F1F9"/>
          </w:tcPr>
          <w:p>
            <w:pPr>
              <w:jc w:val="center"/>
              <w:ind w:left="368"/>
              <w:spacing w:after="0"/>
              <w:rPr>
                <w:sz w:val="20"/>
                <w:szCs w:val="20"/>
                <w:color w:val="auto"/>
              </w:rPr>
            </w:pPr>
            <w:r>
              <w:rPr>
                <w:rFonts w:ascii="Arial" w:cs="Arial" w:eastAsia="Arial" w:hAnsi="Arial"/>
                <w:sz w:val="14"/>
                <w:szCs w:val="14"/>
                <w:b w:val="1"/>
                <w:bCs w:val="1"/>
                <w:color w:val="auto"/>
                <w:w w:val="99"/>
              </w:rPr>
              <w:t>—</w:t>
            </w:r>
          </w:p>
        </w:tc>
        <w:tc>
          <w:tcPr>
            <w:tcW w:w="2120" w:type="dxa"/>
            <w:vAlign w:val="bottom"/>
            <w:tcBorders>
              <w:bottom w:val="single" w:sz="8" w:color="auto"/>
            </w:tcBorders>
            <w:shd w:val="clear" w:color="auto" w:fill="E5F1F9"/>
          </w:tcPr>
          <w:p>
            <w:pPr>
              <w:jc w:val="center"/>
              <w:ind w:left="128"/>
              <w:spacing w:after="0"/>
              <w:rPr>
                <w:sz w:val="20"/>
                <w:szCs w:val="20"/>
                <w:color w:val="auto"/>
              </w:rPr>
            </w:pPr>
            <w:r>
              <w:rPr>
                <w:rFonts w:ascii="Arial" w:cs="Arial" w:eastAsia="Arial" w:hAnsi="Arial"/>
                <w:sz w:val="14"/>
                <w:szCs w:val="14"/>
                <w:b w:val="1"/>
                <w:bCs w:val="1"/>
                <w:color w:val="auto"/>
              </w:rPr>
              <w:t>$2,426,568</w:t>
            </w:r>
          </w:p>
        </w:tc>
        <w:tc>
          <w:tcPr>
            <w:tcW w:w="2320" w:type="dxa"/>
            <w:vAlign w:val="bottom"/>
            <w:tcBorders>
              <w:bottom w:val="single" w:sz="8" w:color="auto"/>
            </w:tcBorders>
            <w:shd w:val="clear" w:color="auto" w:fill="E5F1F9"/>
          </w:tcPr>
          <w:p>
            <w:pPr>
              <w:jc w:val="center"/>
              <w:ind w:right="208"/>
              <w:spacing w:after="0"/>
              <w:rPr>
                <w:sz w:val="20"/>
                <w:szCs w:val="20"/>
                <w:color w:val="auto"/>
              </w:rPr>
            </w:pPr>
            <w:r>
              <w:rPr>
                <w:rFonts w:ascii="Arial" w:cs="Arial" w:eastAsia="Arial" w:hAnsi="Arial"/>
                <w:sz w:val="14"/>
                <w:szCs w:val="14"/>
                <w:b w:val="1"/>
                <w:bCs w:val="1"/>
                <w:color w:val="auto"/>
              </w:rPr>
              <w:t>$7,193,928</w:t>
            </w:r>
          </w:p>
        </w:tc>
      </w:tr>
      <w:tr>
        <w:trPr>
          <w:trHeight w:val="195"/>
        </w:trPr>
        <w:tc>
          <w:tcPr>
            <w:tcW w:w="5320" w:type="dxa"/>
            <w:vAlign w:val="bottom"/>
            <w:shd w:val="clear" w:color="auto" w:fill="99C7E9"/>
          </w:tcPr>
          <w:p>
            <w:pPr>
              <w:ind w:left="80"/>
              <w:spacing w:after="0"/>
              <w:rPr>
                <w:sz w:val="20"/>
                <w:szCs w:val="20"/>
                <w:color w:val="auto"/>
              </w:rPr>
            </w:pPr>
            <w:r>
              <w:rPr>
                <w:rFonts w:ascii="Arial" w:cs="Arial" w:eastAsia="Arial" w:hAnsi="Arial"/>
                <w:sz w:val="14"/>
                <w:szCs w:val="14"/>
                <w:b w:val="1"/>
                <w:bCs w:val="1"/>
                <w:color w:val="auto"/>
              </w:rPr>
              <w:t>Susan H. Alexander</w:t>
            </w:r>
          </w:p>
        </w:tc>
        <w:tc>
          <w:tcPr>
            <w:tcW w:w="1260" w:type="dxa"/>
            <w:vAlign w:val="bottom"/>
            <w:shd w:val="clear" w:color="auto" w:fill="99C7E9"/>
          </w:tcPr>
          <w:p>
            <w:pPr>
              <w:spacing w:after="0"/>
              <w:rPr>
                <w:sz w:val="16"/>
                <w:szCs w:val="16"/>
                <w:color w:val="auto"/>
              </w:rPr>
            </w:pPr>
          </w:p>
        </w:tc>
        <w:tc>
          <w:tcPr>
            <w:tcW w:w="2120" w:type="dxa"/>
            <w:vAlign w:val="bottom"/>
            <w:shd w:val="clear" w:color="auto" w:fill="99C7E9"/>
          </w:tcPr>
          <w:p>
            <w:pPr>
              <w:spacing w:after="0"/>
              <w:rPr>
                <w:sz w:val="16"/>
                <w:szCs w:val="16"/>
                <w:color w:val="auto"/>
              </w:rPr>
            </w:pPr>
          </w:p>
        </w:tc>
        <w:tc>
          <w:tcPr>
            <w:tcW w:w="2320" w:type="dxa"/>
            <w:vAlign w:val="bottom"/>
            <w:shd w:val="clear" w:color="auto" w:fill="99C7E9"/>
          </w:tcPr>
          <w:p>
            <w:pPr>
              <w:spacing w:after="0"/>
              <w:rPr>
                <w:sz w:val="16"/>
                <w:szCs w:val="16"/>
                <w:color w:val="auto"/>
              </w:rPr>
            </w:pPr>
          </w:p>
        </w:tc>
      </w:tr>
      <w:tr>
        <w:trPr>
          <w:trHeight w:val="210"/>
        </w:trPr>
        <w:tc>
          <w:tcPr>
            <w:tcW w:w="53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Severance</w:t>
            </w:r>
          </w:p>
        </w:tc>
        <w:tc>
          <w:tcPr>
            <w:tcW w:w="1260" w:type="dxa"/>
            <w:vAlign w:val="bottom"/>
            <w:shd w:val="clear" w:color="auto" w:fill="99C7E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99C7E9"/>
          </w:tcPr>
          <w:p>
            <w:pPr>
              <w:jc w:val="center"/>
              <w:ind w:left="128"/>
              <w:spacing w:after="0"/>
              <w:rPr>
                <w:sz w:val="20"/>
                <w:szCs w:val="20"/>
                <w:color w:val="auto"/>
              </w:rPr>
            </w:pPr>
            <w:r>
              <w:rPr>
                <w:rFonts w:ascii="Arial" w:cs="Arial" w:eastAsia="Arial" w:hAnsi="Arial"/>
                <w:sz w:val="14"/>
                <w:szCs w:val="14"/>
                <w:color w:val="auto"/>
              </w:rPr>
              <w:t>$3,136,474</w:t>
            </w:r>
          </w:p>
        </w:tc>
        <w:tc>
          <w:tcPr>
            <w:tcW w:w="2320" w:type="dxa"/>
            <w:vAlign w:val="bottom"/>
            <w:shd w:val="clear" w:color="auto" w:fill="99C7E9"/>
          </w:tcPr>
          <w:p>
            <w:pPr>
              <w:jc w:val="center"/>
              <w:ind w:right="208"/>
              <w:spacing w:after="0"/>
              <w:rPr>
                <w:sz w:val="20"/>
                <w:szCs w:val="20"/>
                <w:color w:val="auto"/>
              </w:rPr>
            </w:pPr>
            <w:r>
              <w:rPr>
                <w:rFonts w:ascii="Arial" w:cs="Arial" w:eastAsia="Arial" w:hAnsi="Arial"/>
                <w:sz w:val="14"/>
                <w:szCs w:val="14"/>
                <w:color w:val="auto"/>
              </w:rPr>
              <w:t>$3,584,542</w:t>
            </w:r>
          </w:p>
        </w:tc>
      </w:tr>
      <w:tr>
        <w:trPr>
          <w:trHeight w:val="216"/>
        </w:trPr>
        <w:tc>
          <w:tcPr>
            <w:tcW w:w="53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Performance-based Restricted Stock Units</w:t>
            </w:r>
          </w:p>
        </w:tc>
        <w:tc>
          <w:tcPr>
            <w:tcW w:w="1260" w:type="dxa"/>
            <w:vAlign w:val="bottom"/>
            <w:shd w:val="clear" w:color="auto" w:fill="99C7E9"/>
          </w:tcPr>
          <w:p>
            <w:pPr>
              <w:jc w:val="center"/>
              <w:ind w:left="368"/>
              <w:spacing w:after="0"/>
              <w:rPr>
                <w:sz w:val="20"/>
                <w:szCs w:val="20"/>
                <w:color w:val="auto"/>
              </w:rPr>
            </w:pPr>
            <w:r>
              <w:rPr>
                <w:rFonts w:ascii="Arial" w:cs="Arial" w:eastAsia="Arial" w:hAnsi="Arial"/>
                <w:sz w:val="14"/>
                <w:szCs w:val="14"/>
                <w:color w:val="auto"/>
                <w:w w:val="99"/>
              </w:rPr>
              <w:t>$1,020,011</w:t>
            </w:r>
          </w:p>
        </w:tc>
        <w:tc>
          <w:tcPr>
            <w:tcW w:w="2120" w:type="dxa"/>
            <w:vAlign w:val="bottom"/>
            <w:shd w:val="clear" w:color="auto" w:fill="99C7E9"/>
          </w:tcPr>
          <w:p>
            <w:pPr>
              <w:jc w:val="center"/>
              <w:ind w:left="148"/>
              <w:spacing w:after="0"/>
              <w:rPr>
                <w:sz w:val="20"/>
                <w:szCs w:val="20"/>
                <w:color w:val="auto"/>
              </w:rPr>
            </w:pPr>
            <w:r>
              <w:rPr>
                <w:rFonts w:ascii="Arial" w:cs="Arial" w:eastAsia="Arial" w:hAnsi="Arial"/>
                <w:sz w:val="14"/>
                <w:szCs w:val="14"/>
                <w:color w:val="auto"/>
                <w:w w:val="99"/>
              </w:rPr>
              <w:t>$1,020,011</w:t>
            </w:r>
          </w:p>
        </w:tc>
        <w:tc>
          <w:tcPr>
            <w:tcW w:w="2320" w:type="dxa"/>
            <w:vAlign w:val="bottom"/>
            <w:shd w:val="clear" w:color="auto" w:fill="99C7E9"/>
          </w:tcPr>
          <w:p>
            <w:pPr>
              <w:jc w:val="center"/>
              <w:ind w:right="208"/>
              <w:spacing w:after="0"/>
              <w:rPr>
                <w:sz w:val="20"/>
                <w:szCs w:val="20"/>
                <w:color w:val="auto"/>
              </w:rPr>
            </w:pPr>
            <w:r>
              <w:rPr>
                <w:rFonts w:ascii="Arial" w:cs="Arial" w:eastAsia="Arial" w:hAnsi="Arial"/>
                <w:sz w:val="14"/>
                <w:szCs w:val="14"/>
                <w:color w:val="auto"/>
              </w:rPr>
              <w:t>$3,060,033</w:t>
            </w:r>
          </w:p>
        </w:tc>
      </w:tr>
      <w:tr>
        <w:trPr>
          <w:trHeight w:val="216"/>
        </w:trPr>
        <w:tc>
          <w:tcPr>
            <w:tcW w:w="53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Time-based Restricted Stock Units</w:t>
            </w:r>
          </w:p>
        </w:tc>
        <w:tc>
          <w:tcPr>
            <w:tcW w:w="1260" w:type="dxa"/>
            <w:vAlign w:val="bottom"/>
            <w:shd w:val="clear" w:color="auto" w:fill="99C7E9"/>
          </w:tcPr>
          <w:p>
            <w:pPr>
              <w:jc w:val="center"/>
              <w:ind w:left="388"/>
              <w:spacing w:after="0"/>
              <w:rPr>
                <w:sz w:val="20"/>
                <w:szCs w:val="20"/>
                <w:color w:val="auto"/>
              </w:rPr>
            </w:pPr>
            <w:r>
              <w:rPr>
                <w:rFonts w:ascii="Arial" w:cs="Arial" w:eastAsia="Arial" w:hAnsi="Arial"/>
                <w:sz w:val="14"/>
                <w:szCs w:val="14"/>
                <w:color w:val="auto"/>
              </w:rPr>
              <w:t>$1,933,543</w:t>
            </w:r>
          </w:p>
        </w:tc>
        <w:tc>
          <w:tcPr>
            <w:tcW w:w="2120" w:type="dxa"/>
            <w:vAlign w:val="bottom"/>
            <w:shd w:val="clear" w:color="auto" w:fill="99C7E9"/>
          </w:tcPr>
          <w:p>
            <w:pPr>
              <w:jc w:val="center"/>
              <w:ind w:left="128"/>
              <w:spacing w:after="0"/>
              <w:rPr>
                <w:sz w:val="20"/>
                <w:szCs w:val="20"/>
                <w:color w:val="auto"/>
              </w:rPr>
            </w:pPr>
            <w:r>
              <w:rPr>
                <w:rFonts w:ascii="Arial" w:cs="Arial" w:eastAsia="Arial" w:hAnsi="Arial"/>
                <w:sz w:val="14"/>
                <w:szCs w:val="14"/>
                <w:color w:val="auto"/>
              </w:rPr>
              <w:t>$1,933,543</w:t>
            </w:r>
          </w:p>
        </w:tc>
        <w:tc>
          <w:tcPr>
            <w:tcW w:w="2320" w:type="dxa"/>
            <w:vAlign w:val="bottom"/>
            <w:shd w:val="clear" w:color="auto" w:fill="99C7E9"/>
          </w:tcPr>
          <w:p>
            <w:pPr>
              <w:jc w:val="center"/>
              <w:ind w:right="208"/>
              <w:spacing w:after="0"/>
              <w:rPr>
                <w:sz w:val="20"/>
                <w:szCs w:val="20"/>
                <w:color w:val="auto"/>
              </w:rPr>
            </w:pPr>
            <w:r>
              <w:rPr>
                <w:rFonts w:ascii="Arial" w:cs="Arial" w:eastAsia="Arial" w:hAnsi="Arial"/>
                <w:sz w:val="14"/>
                <w:szCs w:val="14"/>
                <w:color w:val="auto"/>
              </w:rPr>
              <w:t>$3,664,112</w:t>
            </w:r>
          </w:p>
        </w:tc>
      </w:tr>
      <w:tr>
        <w:trPr>
          <w:trHeight w:val="216"/>
        </w:trPr>
        <w:tc>
          <w:tcPr>
            <w:tcW w:w="53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Medical, Dental and Vision</w:t>
            </w:r>
          </w:p>
        </w:tc>
        <w:tc>
          <w:tcPr>
            <w:tcW w:w="1260" w:type="dxa"/>
            <w:vAlign w:val="bottom"/>
            <w:shd w:val="clear" w:color="auto" w:fill="99C7E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99C7E9"/>
          </w:tcPr>
          <w:p>
            <w:pPr>
              <w:jc w:val="center"/>
              <w:ind w:left="128"/>
              <w:spacing w:after="0"/>
              <w:rPr>
                <w:sz w:val="20"/>
                <w:szCs w:val="20"/>
                <w:color w:val="auto"/>
              </w:rPr>
            </w:pPr>
            <w:r>
              <w:rPr>
                <w:rFonts w:ascii="Arial" w:cs="Arial" w:eastAsia="Arial" w:hAnsi="Arial"/>
                <w:sz w:val="14"/>
                <w:szCs w:val="14"/>
                <w:color w:val="auto"/>
              </w:rPr>
              <w:t>$32,045</w:t>
            </w:r>
          </w:p>
        </w:tc>
        <w:tc>
          <w:tcPr>
            <w:tcW w:w="2320" w:type="dxa"/>
            <w:vAlign w:val="bottom"/>
            <w:shd w:val="clear" w:color="auto" w:fill="99C7E9"/>
          </w:tcPr>
          <w:p>
            <w:pPr>
              <w:jc w:val="center"/>
              <w:ind w:right="208"/>
              <w:spacing w:after="0"/>
              <w:rPr>
                <w:sz w:val="20"/>
                <w:szCs w:val="20"/>
                <w:color w:val="auto"/>
              </w:rPr>
            </w:pPr>
            <w:r>
              <w:rPr>
                <w:rFonts w:ascii="Arial" w:cs="Arial" w:eastAsia="Arial" w:hAnsi="Arial"/>
                <w:sz w:val="14"/>
                <w:szCs w:val="14"/>
                <w:color w:val="auto"/>
              </w:rPr>
              <w:t>$36,623</w:t>
            </w:r>
          </w:p>
        </w:tc>
      </w:tr>
      <w:tr>
        <w:trPr>
          <w:trHeight w:val="224"/>
        </w:trPr>
        <w:tc>
          <w:tcPr>
            <w:tcW w:w="5320" w:type="dxa"/>
            <w:vAlign w:val="bottom"/>
            <w:shd w:val="clear" w:color="auto" w:fill="99C7E9"/>
          </w:tcPr>
          <w:p>
            <w:pPr>
              <w:ind w:left="280"/>
              <w:spacing w:after="0" w:line="224" w:lineRule="exact"/>
              <w:rPr>
                <w:sz w:val="20"/>
                <w:szCs w:val="20"/>
                <w:color w:val="auto"/>
              </w:rPr>
            </w:pPr>
            <w:r>
              <w:rPr>
                <w:rFonts w:ascii="Arial" w:cs="Arial" w:eastAsia="Arial" w:hAnsi="Arial"/>
                <w:sz w:val="14"/>
                <w:szCs w:val="14"/>
                <w:color w:val="auto"/>
              </w:rPr>
              <w:t>Outplacement</w:t>
            </w:r>
            <w:r>
              <w:rPr>
                <w:rFonts w:ascii="Arial" w:cs="Arial" w:eastAsia="Arial" w:hAnsi="Arial"/>
                <w:sz w:val="21"/>
                <w:szCs w:val="21"/>
                <w:color w:val="auto"/>
                <w:vertAlign w:val="superscript"/>
              </w:rPr>
              <w:t>(5)</w:t>
            </w:r>
          </w:p>
        </w:tc>
        <w:tc>
          <w:tcPr>
            <w:tcW w:w="1260" w:type="dxa"/>
            <w:vAlign w:val="bottom"/>
            <w:shd w:val="clear" w:color="auto" w:fill="99C7E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99C7E9"/>
          </w:tcPr>
          <w:p>
            <w:pPr>
              <w:jc w:val="center"/>
              <w:ind w:left="128"/>
              <w:spacing w:after="0"/>
              <w:rPr>
                <w:sz w:val="20"/>
                <w:szCs w:val="20"/>
                <w:color w:val="auto"/>
              </w:rPr>
            </w:pPr>
            <w:r>
              <w:rPr>
                <w:rFonts w:ascii="Arial" w:cs="Arial" w:eastAsia="Arial" w:hAnsi="Arial"/>
                <w:sz w:val="14"/>
                <w:szCs w:val="14"/>
                <w:color w:val="auto"/>
              </w:rPr>
              <w:t>$32,000</w:t>
            </w:r>
          </w:p>
        </w:tc>
        <w:tc>
          <w:tcPr>
            <w:tcW w:w="2320" w:type="dxa"/>
            <w:vAlign w:val="bottom"/>
            <w:shd w:val="clear" w:color="auto" w:fill="99C7E9"/>
          </w:tcPr>
          <w:p>
            <w:pPr>
              <w:jc w:val="center"/>
              <w:ind w:right="208"/>
              <w:spacing w:after="0"/>
              <w:rPr>
                <w:sz w:val="20"/>
                <w:szCs w:val="20"/>
                <w:color w:val="auto"/>
              </w:rPr>
            </w:pPr>
            <w:r>
              <w:rPr>
                <w:rFonts w:ascii="Arial" w:cs="Arial" w:eastAsia="Arial" w:hAnsi="Arial"/>
                <w:sz w:val="14"/>
                <w:szCs w:val="14"/>
                <w:color w:val="auto"/>
              </w:rPr>
              <w:t>$32,000</w:t>
            </w:r>
          </w:p>
        </w:tc>
      </w:tr>
      <w:tr>
        <w:trPr>
          <w:trHeight w:val="228"/>
        </w:trPr>
        <w:tc>
          <w:tcPr>
            <w:tcW w:w="5320" w:type="dxa"/>
            <w:vAlign w:val="bottom"/>
            <w:tcBorders>
              <w:bottom w:val="single" w:sz="8" w:color="auto"/>
            </w:tcBorders>
            <w:shd w:val="clear" w:color="auto" w:fill="99C7E9"/>
          </w:tcPr>
          <w:p>
            <w:pPr>
              <w:ind w:left="28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shd w:val="clear" w:color="auto" w:fill="99C7E9"/>
          </w:tcPr>
          <w:p>
            <w:pPr>
              <w:jc w:val="center"/>
              <w:ind w:left="388"/>
              <w:spacing w:after="0"/>
              <w:rPr>
                <w:sz w:val="20"/>
                <w:szCs w:val="20"/>
                <w:color w:val="auto"/>
              </w:rPr>
            </w:pPr>
            <w:r>
              <w:rPr>
                <w:rFonts w:ascii="Arial" w:cs="Arial" w:eastAsia="Arial" w:hAnsi="Arial"/>
                <w:sz w:val="14"/>
                <w:szCs w:val="14"/>
                <w:b w:val="1"/>
                <w:bCs w:val="1"/>
                <w:color w:val="auto"/>
              </w:rPr>
              <w:t>$2,953,554</w:t>
            </w:r>
          </w:p>
        </w:tc>
        <w:tc>
          <w:tcPr>
            <w:tcW w:w="2120" w:type="dxa"/>
            <w:vAlign w:val="bottom"/>
            <w:tcBorders>
              <w:bottom w:val="single" w:sz="8" w:color="auto"/>
            </w:tcBorders>
            <w:shd w:val="clear" w:color="auto" w:fill="99C7E9"/>
          </w:tcPr>
          <w:p>
            <w:pPr>
              <w:jc w:val="center"/>
              <w:ind w:left="128"/>
              <w:spacing w:after="0"/>
              <w:rPr>
                <w:sz w:val="20"/>
                <w:szCs w:val="20"/>
                <w:color w:val="auto"/>
              </w:rPr>
            </w:pPr>
            <w:r>
              <w:rPr>
                <w:rFonts w:ascii="Arial" w:cs="Arial" w:eastAsia="Arial" w:hAnsi="Arial"/>
                <w:sz w:val="14"/>
                <w:szCs w:val="14"/>
                <w:b w:val="1"/>
                <w:bCs w:val="1"/>
                <w:color w:val="auto"/>
              </w:rPr>
              <w:t>$6,154,073</w:t>
            </w:r>
          </w:p>
        </w:tc>
        <w:tc>
          <w:tcPr>
            <w:tcW w:w="2320" w:type="dxa"/>
            <w:vAlign w:val="bottom"/>
            <w:tcBorders>
              <w:bottom w:val="single" w:sz="8" w:color="auto"/>
            </w:tcBorders>
            <w:shd w:val="clear" w:color="auto" w:fill="99C7E9"/>
          </w:tcPr>
          <w:p>
            <w:pPr>
              <w:jc w:val="center"/>
              <w:ind w:right="208"/>
              <w:spacing w:after="0"/>
              <w:rPr>
                <w:sz w:val="20"/>
                <w:szCs w:val="20"/>
                <w:color w:val="auto"/>
              </w:rPr>
            </w:pPr>
            <w:r>
              <w:rPr>
                <w:rFonts w:ascii="Arial" w:cs="Arial" w:eastAsia="Arial" w:hAnsi="Arial"/>
                <w:sz w:val="14"/>
                <w:szCs w:val="14"/>
                <w:b w:val="1"/>
                <w:bCs w:val="1"/>
                <w:color w:val="auto"/>
              </w:rPr>
              <w:t>$10,377,310</w:t>
            </w:r>
          </w:p>
        </w:tc>
      </w:tr>
      <w:tr>
        <w:trPr>
          <w:trHeight w:val="195"/>
        </w:trPr>
        <w:tc>
          <w:tcPr>
            <w:tcW w:w="5320" w:type="dxa"/>
            <w:vAlign w:val="bottom"/>
            <w:shd w:val="clear" w:color="auto" w:fill="E5F1F9"/>
          </w:tcPr>
          <w:p>
            <w:pPr>
              <w:ind w:left="80"/>
              <w:spacing w:after="0"/>
              <w:rPr>
                <w:sz w:val="20"/>
                <w:szCs w:val="20"/>
                <w:color w:val="auto"/>
              </w:rPr>
            </w:pPr>
            <w:r>
              <w:rPr>
                <w:rFonts w:ascii="Arial" w:cs="Arial" w:eastAsia="Arial" w:hAnsi="Arial"/>
                <w:sz w:val="14"/>
                <w:szCs w:val="14"/>
                <w:b w:val="1"/>
                <w:bCs w:val="1"/>
                <w:color w:val="auto"/>
              </w:rPr>
              <w:t>Priya A. Singhal</w:t>
            </w:r>
          </w:p>
        </w:tc>
        <w:tc>
          <w:tcPr>
            <w:tcW w:w="1260" w:type="dxa"/>
            <w:vAlign w:val="bottom"/>
            <w:shd w:val="clear" w:color="auto" w:fill="E5F1F9"/>
          </w:tcPr>
          <w:p>
            <w:pPr>
              <w:spacing w:after="0"/>
              <w:rPr>
                <w:sz w:val="16"/>
                <w:szCs w:val="16"/>
                <w:color w:val="auto"/>
              </w:rPr>
            </w:pPr>
          </w:p>
        </w:tc>
        <w:tc>
          <w:tcPr>
            <w:tcW w:w="2120" w:type="dxa"/>
            <w:vAlign w:val="bottom"/>
            <w:shd w:val="clear" w:color="auto" w:fill="E5F1F9"/>
          </w:tcPr>
          <w:p>
            <w:pPr>
              <w:spacing w:after="0"/>
              <w:rPr>
                <w:sz w:val="16"/>
                <w:szCs w:val="16"/>
                <w:color w:val="auto"/>
              </w:rPr>
            </w:pPr>
          </w:p>
        </w:tc>
        <w:tc>
          <w:tcPr>
            <w:tcW w:w="2320" w:type="dxa"/>
            <w:vAlign w:val="bottom"/>
            <w:shd w:val="clear" w:color="auto" w:fill="E5F1F9"/>
          </w:tcPr>
          <w:p>
            <w:pPr>
              <w:spacing w:after="0"/>
              <w:rPr>
                <w:sz w:val="16"/>
                <w:szCs w:val="16"/>
                <w:color w:val="auto"/>
              </w:rPr>
            </w:pPr>
          </w:p>
        </w:tc>
      </w:tr>
      <w:tr>
        <w:trPr>
          <w:trHeight w:val="210"/>
        </w:trPr>
        <w:tc>
          <w:tcPr>
            <w:tcW w:w="5320" w:type="dxa"/>
            <w:vAlign w:val="bottom"/>
            <w:shd w:val="clear" w:color="auto" w:fill="E5F1F9"/>
          </w:tcPr>
          <w:p>
            <w:pPr>
              <w:ind w:left="280"/>
              <w:spacing w:after="0"/>
              <w:rPr>
                <w:sz w:val="20"/>
                <w:szCs w:val="20"/>
                <w:color w:val="auto"/>
              </w:rPr>
            </w:pPr>
            <w:r>
              <w:rPr>
                <w:rFonts w:ascii="Arial" w:cs="Arial" w:eastAsia="Arial" w:hAnsi="Arial"/>
                <w:sz w:val="14"/>
                <w:szCs w:val="14"/>
                <w:color w:val="auto"/>
              </w:rPr>
              <w:t>Severance</w:t>
            </w:r>
          </w:p>
        </w:tc>
        <w:tc>
          <w:tcPr>
            <w:tcW w:w="1260" w:type="dxa"/>
            <w:vAlign w:val="bottom"/>
            <w:shd w:val="clear" w:color="auto" w:fill="E5F1F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E5F1F9"/>
          </w:tcPr>
          <w:p>
            <w:pPr>
              <w:jc w:val="center"/>
              <w:ind w:left="128"/>
              <w:spacing w:after="0"/>
              <w:rPr>
                <w:sz w:val="20"/>
                <w:szCs w:val="20"/>
                <w:color w:val="auto"/>
              </w:rPr>
            </w:pPr>
            <w:r>
              <w:rPr>
                <w:rFonts w:ascii="Arial" w:cs="Arial" w:eastAsia="Arial" w:hAnsi="Arial"/>
                <w:sz w:val="14"/>
                <w:szCs w:val="14"/>
                <w:color w:val="auto"/>
              </w:rPr>
              <w:t>$2,779,219</w:t>
            </w:r>
          </w:p>
        </w:tc>
        <w:tc>
          <w:tcPr>
            <w:tcW w:w="2320" w:type="dxa"/>
            <w:vAlign w:val="bottom"/>
            <w:shd w:val="clear" w:color="auto" w:fill="E5F1F9"/>
          </w:tcPr>
          <w:p>
            <w:pPr>
              <w:jc w:val="center"/>
              <w:ind w:right="208"/>
              <w:spacing w:after="0"/>
              <w:rPr>
                <w:sz w:val="20"/>
                <w:szCs w:val="20"/>
                <w:color w:val="auto"/>
              </w:rPr>
            </w:pPr>
            <w:r>
              <w:rPr>
                <w:rFonts w:ascii="Arial" w:cs="Arial" w:eastAsia="Arial" w:hAnsi="Arial"/>
                <w:sz w:val="14"/>
                <w:szCs w:val="14"/>
                <w:color w:val="auto"/>
              </w:rPr>
              <w:t>$3,176,250</w:t>
            </w:r>
          </w:p>
        </w:tc>
      </w:tr>
      <w:tr>
        <w:trPr>
          <w:trHeight w:val="216"/>
        </w:trPr>
        <w:tc>
          <w:tcPr>
            <w:tcW w:w="5320" w:type="dxa"/>
            <w:vAlign w:val="bottom"/>
            <w:shd w:val="clear" w:color="auto" w:fill="E5F1F9"/>
          </w:tcPr>
          <w:p>
            <w:pPr>
              <w:ind w:left="280"/>
              <w:spacing w:after="0"/>
              <w:rPr>
                <w:sz w:val="20"/>
                <w:szCs w:val="20"/>
                <w:color w:val="auto"/>
              </w:rPr>
            </w:pPr>
            <w:r>
              <w:rPr>
                <w:rFonts w:ascii="Arial" w:cs="Arial" w:eastAsia="Arial" w:hAnsi="Arial"/>
                <w:sz w:val="14"/>
                <w:szCs w:val="14"/>
                <w:color w:val="auto"/>
              </w:rPr>
              <w:t>Performance-based Restricted Stock Units</w:t>
            </w:r>
          </w:p>
        </w:tc>
        <w:tc>
          <w:tcPr>
            <w:tcW w:w="1260" w:type="dxa"/>
            <w:vAlign w:val="bottom"/>
            <w:shd w:val="clear" w:color="auto" w:fill="E5F1F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E5F1F9"/>
          </w:tcPr>
          <w:p>
            <w:pPr>
              <w:jc w:val="center"/>
              <w:ind w:left="148"/>
              <w:spacing w:after="0"/>
              <w:rPr>
                <w:sz w:val="20"/>
                <w:szCs w:val="20"/>
                <w:color w:val="auto"/>
              </w:rPr>
            </w:pPr>
            <w:r>
              <w:rPr>
                <w:rFonts w:ascii="Arial" w:cs="Arial" w:eastAsia="Arial" w:hAnsi="Arial"/>
                <w:sz w:val="14"/>
                <w:szCs w:val="14"/>
                <w:color w:val="auto"/>
                <w:w w:val="99"/>
              </w:rPr>
              <w:t>—</w:t>
            </w:r>
          </w:p>
        </w:tc>
        <w:tc>
          <w:tcPr>
            <w:tcW w:w="2320" w:type="dxa"/>
            <w:vAlign w:val="bottom"/>
            <w:shd w:val="clear" w:color="auto" w:fill="E5F1F9"/>
          </w:tcPr>
          <w:p>
            <w:pPr>
              <w:jc w:val="center"/>
              <w:ind w:right="208"/>
              <w:spacing w:after="0"/>
              <w:rPr>
                <w:sz w:val="20"/>
                <w:szCs w:val="20"/>
                <w:color w:val="auto"/>
              </w:rPr>
            </w:pPr>
            <w:r>
              <w:rPr>
                <w:rFonts w:ascii="Arial" w:cs="Arial" w:eastAsia="Arial" w:hAnsi="Arial"/>
                <w:sz w:val="14"/>
                <w:szCs w:val="14"/>
                <w:color w:val="auto"/>
              </w:rPr>
              <w:t>$2,913,461</w:t>
            </w:r>
          </w:p>
        </w:tc>
      </w:tr>
      <w:tr>
        <w:trPr>
          <w:trHeight w:val="216"/>
        </w:trPr>
        <w:tc>
          <w:tcPr>
            <w:tcW w:w="5320" w:type="dxa"/>
            <w:vAlign w:val="bottom"/>
            <w:shd w:val="clear" w:color="auto" w:fill="E5F1F9"/>
          </w:tcPr>
          <w:p>
            <w:pPr>
              <w:ind w:left="280"/>
              <w:spacing w:after="0"/>
              <w:rPr>
                <w:sz w:val="20"/>
                <w:szCs w:val="20"/>
                <w:color w:val="auto"/>
              </w:rPr>
            </w:pPr>
            <w:r>
              <w:rPr>
                <w:rFonts w:ascii="Arial" w:cs="Arial" w:eastAsia="Arial" w:hAnsi="Arial"/>
                <w:sz w:val="14"/>
                <w:szCs w:val="14"/>
                <w:color w:val="auto"/>
              </w:rPr>
              <w:t>Time-based Restricted Stock Units</w:t>
            </w:r>
          </w:p>
        </w:tc>
        <w:tc>
          <w:tcPr>
            <w:tcW w:w="1260" w:type="dxa"/>
            <w:vAlign w:val="bottom"/>
            <w:shd w:val="clear" w:color="auto" w:fill="E5F1F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E5F1F9"/>
          </w:tcPr>
          <w:p>
            <w:pPr>
              <w:jc w:val="center"/>
              <w:ind w:left="148"/>
              <w:spacing w:after="0"/>
              <w:rPr>
                <w:sz w:val="20"/>
                <w:szCs w:val="20"/>
                <w:color w:val="auto"/>
              </w:rPr>
            </w:pPr>
            <w:r>
              <w:rPr>
                <w:rFonts w:ascii="Arial" w:cs="Arial" w:eastAsia="Arial" w:hAnsi="Arial"/>
                <w:sz w:val="14"/>
                <w:szCs w:val="14"/>
                <w:color w:val="auto"/>
                <w:w w:val="99"/>
              </w:rPr>
              <w:t>—</w:t>
            </w:r>
          </w:p>
        </w:tc>
        <w:tc>
          <w:tcPr>
            <w:tcW w:w="2320" w:type="dxa"/>
            <w:vAlign w:val="bottom"/>
            <w:shd w:val="clear" w:color="auto" w:fill="E5F1F9"/>
          </w:tcPr>
          <w:p>
            <w:pPr>
              <w:jc w:val="center"/>
              <w:ind w:right="208"/>
              <w:spacing w:after="0"/>
              <w:rPr>
                <w:sz w:val="20"/>
                <w:szCs w:val="20"/>
                <w:color w:val="auto"/>
              </w:rPr>
            </w:pPr>
            <w:r>
              <w:rPr>
                <w:rFonts w:ascii="Arial" w:cs="Arial" w:eastAsia="Arial" w:hAnsi="Arial"/>
                <w:sz w:val="14"/>
                <w:szCs w:val="14"/>
                <w:color w:val="auto"/>
              </w:rPr>
              <w:t>$3,574,885</w:t>
            </w:r>
          </w:p>
        </w:tc>
      </w:tr>
      <w:tr>
        <w:trPr>
          <w:trHeight w:val="216"/>
        </w:trPr>
        <w:tc>
          <w:tcPr>
            <w:tcW w:w="5320" w:type="dxa"/>
            <w:vAlign w:val="bottom"/>
            <w:shd w:val="clear" w:color="auto" w:fill="E5F1F9"/>
          </w:tcPr>
          <w:p>
            <w:pPr>
              <w:ind w:left="280"/>
              <w:spacing w:after="0"/>
              <w:rPr>
                <w:sz w:val="20"/>
                <w:szCs w:val="20"/>
                <w:color w:val="auto"/>
              </w:rPr>
            </w:pPr>
            <w:r>
              <w:rPr>
                <w:rFonts w:ascii="Arial" w:cs="Arial" w:eastAsia="Arial" w:hAnsi="Arial"/>
                <w:sz w:val="14"/>
                <w:szCs w:val="14"/>
                <w:color w:val="auto"/>
              </w:rPr>
              <w:t>Medical, Dental and Vision</w:t>
            </w:r>
          </w:p>
        </w:tc>
        <w:tc>
          <w:tcPr>
            <w:tcW w:w="1260" w:type="dxa"/>
            <w:vAlign w:val="bottom"/>
            <w:shd w:val="clear" w:color="auto" w:fill="E5F1F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E5F1F9"/>
          </w:tcPr>
          <w:p>
            <w:pPr>
              <w:jc w:val="center"/>
              <w:ind w:left="128"/>
              <w:spacing w:after="0"/>
              <w:rPr>
                <w:sz w:val="20"/>
                <w:szCs w:val="20"/>
                <w:color w:val="auto"/>
              </w:rPr>
            </w:pPr>
            <w:r>
              <w:rPr>
                <w:rFonts w:ascii="Arial" w:cs="Arial" w:eastAsia="Arial" w:hAnsi="Arial"/>
                <w:sz w:val="14"/>
                <w:szCs w:val="14"/>
                <w:color w:val="auto"/>
              </w:rPr>
              <w:t>$1,809</w:t>
            </w:r>
          </w:p>
        </w:tc>
        <w:tc>
          <w:tcPr>
            <w:tcW w:w="2320" w:type="dxa"/>
            <w:vAlign w:val="bottom"/>
            <w:shd w:val="clear" w:color="auto" w:fill="E5F1F9"/>
          </w:tcPr>
          <w:p>
            <w:pPr>
              <w:jc w:val="center"/>
              <w:ind w:right="208"/>
              <w:spacing w:after="0"/>
              <w:rPr>
                <w:sz w:val="20"/>
                <w:szCs w:val="20"/>
                <w:color w:val="auto"/>
              </w:rPr>
            </w:pPr>
            <w:r>
              <w:rPr>
                <w:rFonts w:ascii="Arial" w:cs="Arial" w:eastAsia="Arial" w:hAnsi="Arial"/>
                <w:sz w:val="14"/>
                <w:szCs w:val="14"/>
                <w:color w:val="auto"/>
              </w:rPr>
              <w:t>$2,068</w:t>
            </w:r>
          </w:p>
        </w:tc>
      </w:tr>
      <w:tr>
        <w:trPr>
          <w:trHeight w:val="224"/>
        </w:trPr>
        <w:tc>
          <w:tcPr>
            <w:tcW w:w="5320" w:type="dxa"/>
            <w:vAlign w:val="bottom"/>
            <w:shd w:val="clear" w:color="auto" w:fill="E5F1F9"/>
          </w:tcPr>
          <w:p>
            <w:pPr>
              <w:ind w:left="280"/>
              <w:spacing w:after="0" w:line="224" w:lineRule="exact"/>
              <w:rPr>
                <w:sz w:val="20"/>
                <w:szCs w:val="20"/>
                <w:color w:val="auto"/>
              </w:rPr>
            </w:pPr>
            <w:r>
              <w:rPr>
                <w:rFonts w:ascii="Arial" w:cs="Arial" w:eastAsia="Arial" w:hAnsi="Arial"/>
                <w:sz w:val="14"/>
                <w:szCs w:val="14"/>
                <w:color w:val="auto"/>
              </w:rPr>
              <w:t>Outplacement</w:t>
            </w:r>
            <w:r>
              <w:rPr>
                <w:rFonts w:ascii="Arial" w:cs="Arial" w:eastAsia="Arial" w:hAnsi="Arial"/>
                <w:sz w:val="21"/>
                <w:szCs w:val="21"/>
                <w:color w:val="auto"/>
                <w:vertAlign w:val="superscript"/>
              </w:rPr>
              <w:t>(5)</w:t>
            </w:r>
          </w:p>
        </w:tc>
        <w:tc>
          <w:tcPr>
            <w:tcW w:w="1260" w:type="dxa"/>
            <w:vAlign w:val="bottom"/>
            <w:shd w:val="clear" w:color="auto" w:fill="E5F1F9"/>
          </w:tcPr>
          <w:p>
            <w:pPr>
              <w:jc w:val="center"/>
              <w:ind w:left="368"/>
              <w:spacing w:after="0"/>
              <w:rPr>
                <w:sz w:val="20"/>
                <w:szCs w:val="20"/>
                <w:color w:val="auto"/>
              </w:rPr>
            </w:pPr>
            <w:r>
              <w:rPr>
                <w:rFonts w:ascii="Arial" w:cs="Arial" w:eastAsia="Arial" w:hAnsi="Arial"/>
                <w:sz w:val="14"/>
                <w:szCs w:val="14"/>
                <w:color w:val="auto"/>
                <w:w w:val="99"/>
              </w:rPr>
              <w:t>—</w:t>
            </w:r>
          </w:p>
        </w:tc>
        <w:tc>
          <w:tcPr>
            <w:tcW w:w="2120" w:type="dxa"/>
            <w:vAlign w:val="bottom"/>
            <w:shd w:val="clear" w:color="auto" w:fill="E5F1F9"/>
          </w:tcPr>
          <w:p>
            <w:pPr>
              <w:jc w:val="center"/>
              <w:ind w:left="128"/>
              <w:spacing w:after="0"/>
              <w:rPr>
                <w:sz w:val="20"/>
                <w:szCs w:val="20"/>
                <w:color w:val="auto"/>
              </w:rPr>
            </w:pPr>
            <w:r>
              <w:rPr>
                <w:rFonts w:ascii="Arial" w:cs="Arial" w:eastAsia="Arial" w:hAnsi="Arial"/>
                <w:sz w:val="14"/>
                <w:szCs w:val="14"/>
                <w:color w:val="auto"/>
              </w:rPr>
              <w:t>$32,000</w:t>
            </w:r>
          </w:p>
        </w:tc>
        <w:tc>
          <w:tcPr>
            <w:tcW w:w="2320" w:type="dxa"/>
            <w:vAlign w:val="bottom"/>
            <w:shd w:val="clear" w:color="auto" w:fill="E5F1F9"/>
          </w:tcPr>
          <w:p>
            <w:pPr>
              <w:jc w:val="center"/>
              <w:ind w:right="208"/>
              <w:spacing w:after="0"/>
              <w:rPr>
                <w:sz w:val="20"/>
                <w:szCs w:val="20"/>
                <w:color w:val="auto"/>
              </w:rPr>
            </w:pPr>
            <w:r>
              <w:rPr>
                <w:rFonts w:ascii="Arial" w:cs="Arial" w:eastAsia="Arial" w:hAnsi="Arial"/>
                <w:sz w:val="14"/>
                <w:szCs w:val="14"/>
                <w:color w:val="auto"/>
              </w:rPr>
              <w:t>$32,000</w:t>
            </w:r>
          </w:p>
        </w:tc>
      </w:tr>
      <w:tr>
        <w:trPr>
          <w:trHeight w:val="228"/>
        </w:trPr>
        <w:tc>
          <w:tcPr>
            <w:tcW w:w="5320" w:type="dxa"/>
            <w:vAlign w:val="bottom"/>
            <w:tcBorders>
              <w:bottom w:val="single" w:sz="8" w:color="auto"/>
            </w:tcBorders>
            <w:shd w:val="clear" w:color="auto" w:fill="E5F1F9"/>
          </w:tcPr>
          <w:p>
            <w:pPr>
              <w:ind w:left="28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shd w:val="clear" w:color="auto" w:fill="E5F1F9"/>
          </w:tcPr>
          <w:p>
            <w:pPr>
              <w:jc w:val="center"/>
              <w:ind w:left="368"/>
              <w:spacing w:after="0"/>
              <w:rPr>
                <w:sz w:val="20"/>
                <w:szCs w:val="20"/>
                <w:color w:val="auto"/>
              </w:rPr>
            </w:pPr>
            <w:r>
              <w:rPr>
                <w:rFonts w:ascii="Arial" w:cs="Arial" w:eastAsia="Arial" w:hAnsi="Arial"/>
                <w:sz w:val="14"/>
                <w:szCs w:val="14"/>
                <w:b w:val="1"/>
                <w:bCs w:val="1"/>
                <w:color w:val="auto"/>
                <w:w w:val="99"/>
              </w:rPr>
              <w:t>—</w:t>
            </w:r>
          </w:p>
        </w:tc>
        <w:tc>
          <w:tcPr>
            <w:tcW w:w="2120" w:type="dxa"/>
            <w:vAlign w:val="bottom"/>
            <w:tcBorders>
              <w:bottom w:val="single" w:sz="8" w:color="auto"/>
            </w:tcBorders>
            <w:shd w:val="clear" w:color="auto" w:fill="E5F1F9"/>
          </w:tcPr>
          <w:p>
            <w:pPr>
              <w:jc w:val="center"/>
              <w:ind w:left="128"/>
              <w:spacing w:after="0"/>
              <w:rPr>
                <w:sz w:val="20"/>
                <w:szCs w:val="20"/>
                <w:color w:val="auto"/>
              </w:rPr>
            </w:pPr>
            <w:r>
              <w:rPr>
                <w:rFonts w:ascii="Arial" w:cs="Arial" w:eastAsia="Arial" w:hAnsi="Arial"/>
                <w:sz w:val="14"/>
                <w:szCs w:val="14"/>
                <w:b w:val="1"/>
                <w:bCs w:val="1"/>
                <w:color w:val="auto"/>
              </w:rPr>
              <w:t>$2,813,028</w:t>
            </w:r>
          </w:p>
        </w:tc>
        <w:tc>
          <w:tcPr>
            <w:tcW w:w="2320" w:type="dxa"/>
            <w:vAlign w:val="bottom"/>
            <w:tcBorders>
              <w:bottom w:val="single" w:sz="8" w:color="auto"/>
            </w:tcBorders>
            <w:shd w:val="clear" w:color="auto" w:fill="E5F1F9"/>
          </w:tcPr>
          <w:p>
            <w:pPr>
              <w:jc w:val="center"/>
              <w:ind w:right="208"/>
              <w:spacing w:after="0"/>
              <w:rPr>
                <w:sz w:val="20"/>
                <w:szCs w:val="20"/>
                <w:color w:val="auto"/>
              </w:rPr>
            </w:pPr>
            <w:r>
              <w:rPr>
                <w:rFonts w:ascii="Arial" w:cs="Arial" w:eastAsia="Arial" w:hAnsi="Arial"/>
                <w:sz w:val="14"/>
                <w:szCs w:val="14"/>
                <w:b w:val="1"/>
                <w:bCs w:val="1"/>
                <w:color w:val="auto"/>
              </w:rPr>
              <w:t>$9,698,664</w:t>
            </w:r>
          </w:p>
        </w:tc>
      </w:tr>
    </w:tbl>
    <w:p>
      <w:pPr>
        <w:spacing w:after="0" w:line="14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-59-</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4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820" w:type="dxa"/>
            <w:vAlign w:val="bottom"/>
            <w:gridSpan w:val="2"/>
          </w:tcPr>
          <w:p>
            <w:pPr>
              <w:ind w:left="2000"/>
              <w:spacing w:after="0"/>
              <w:rPr>
                <w:sz w:val="20"/>
                <w:szCs w:val="20"/>
                <w:color w:val="auto"/>
              </w:rPr>
            </w:pPr>
            <w:r>
              <w:rPr>
                <w:rFonts w:ascii="Arial" w:cs="Arial" w:eastAsia="Arial" w:hAnsi="Arial"/>
                <w:sz w:val="20"/>
                <w:szCs w:val="20"/>
                <w:color w:val="0075C9"/>
                <w:w w:val="97"/>
              </w:rPr>
              <w:t>Executive Compensation Tables</w:t>
            </w:r>
          </w:p>
        </w:tc>
      </w:tr>
      <w:tr>
        <w:trPr>
          <w:trHeight w:val="125"/>
        </w:trPr>
        <w:tc>
          <w:tcPr>
            <w:tcW w:w="4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520" w:type="dxa"/>
            <w:vAlign w:val="bottom"/>
          </w:tcPr>
          <w:p>
            <w:pPr>
              <w:spacing w:after="0"/>
              <w:rPr>
                <w:sz w:val="10"/>
                <w:szCs w:val="10"/>
                <w:color w:val="auto"/>
              </w:rPr>
            </w:pPr>
          </w:p>
        </w:tc>
      </w:tr>
      <w:tr>
        <w:trPr>
          <w:trHeight w:val="328"/>
        </w:trPr>
        <w:tc>
          <w:tcPr>
            <w:tcW w:w="4820" w:type="dxa"/>
            <w:vAlign w:val="bottom"/>
            <w:shd w:val="clear" w:color="auto" w:fill="0075C9"/>
          </w:tcPr>
          <w:p>
            <w:pPr>
              <w:spacing w:after="0"/>
              <w:rPr>
                <w:sz w:val="24"/>
                <w:szCs w:val="24"/>
                <w:color w:val="auto"/>
              </w:rPr>
            </w:pPr>
          </w:p>
        </w:tc>
        <w:tc>
          <w:tcPr>
            <w:tcW w:w="1380" w:type="dxa"/>
            <w:vAlign w:val="bottom"/>
            <w:shd w:val="clear" w:color="auto" w:fill="0075C9"/>
          </w:tcPr>
          <w:p>
            <w:pPr>
              <w:spacing w:after="0"/>
              <w:rPr>
                <w:sz w:val="24"/>
                <w:szCs w:val="24"/>
                <w:color w:val="auto"/>
              </w:rPr>
            </w:pPr>
          </w:p>
        </w:tc>
        <w:tc>
          <w:tcPr>
            <w:tcW w:w="2300" w:type="dxa"/>
            <w:vAlign w:val="bottom"/>
            <w:shd w:val="clear" w:color="auto" w:fill="0075C9"/>
          </w:tcPr>
          <w:p>
            <w:pPr>
              <w:jc w:val="center"/>
              <w:ind w:left="206"/>
              <w:spacing w:after="0"/>
              <w:rPr>
                <w:sz w:val="20"/>
                <w:szCs w:val="20"/>
                <w:color w:val="auto"/>
              </w:rPr>
            </w:pPr>
            <w:r>
              <w:rPr>
                <w:rFonts w:ascii="Arial" w:cs="Arial" w:eastAsia="Arial" w:hAnsi="Arial"/>
                <w:sz w:val="14"/>
                <w:szCs w:val="14"/>
                <w:color w:val="FFFFFF"/>
              </w:rPr>
              <w:t>Qualifying Termination</w:t>
            </w:r>
          </w:p>
        </w:tc>
        <w:tc>
          <w:tcPr>
            <w:tcW w:w="2520" w:type="dxa"/>
            <w:vAlign w:val="bottom"/>
            <w:shd w:val="clear" w:color="auto" w:fill="0075C9"/>
          </w:tcPr>
          <w:p>
            <w:pPr>
              <w:spacing w:after="0"/>
              <w:rPr>
                <w:sz w:val="24"/>
                <w:szCs w:val="24"/>
                <w:color w:val="auto"/>
              </w:rPr>
            </w:pPr>
          </w:p>
        </w:tc>
      </w:tr>
      <w:tr>
        <w:trPr>
          <w:trHeight w:val="162"/>
        </w:trPr>
        <w:tc>
          <w:tcPr>
            <w:tcW w:w="4820" w:type="dxa"/>
            <w:vAlign w:val="bottom"/>
            <w:shd w:val="clear" w:color="auto" w:fill="0075C9"/>
          </w:tcPr>
          <w:p>
            <w:pPr>
              <w:spacing w:after="0"/>
              <w:rPr>
                <w:sz w:val="14"/>
                <w:szCs w:val="14"/>
                <w:color w:val="auto"/>
              </w:rPr>
            </w:pPr>
          </w:p>
        </w:tc>
        <w:tc>
          <w:tcPr>
            <w:tcW w:w="1380" w:type="dxa"/>
            <w:vAlign w:val="bottom"/>
            <w:shd w:val="clear" w:color="auto" w:fill="0075C9"/>
          </w:tcPr>
          <w:p>
            <w:pPr>
              <w:spacing w:after="0"/>
              <w:rPr>
                <w:sz w:val="14"/>
                <w:szCs w:val="14"/>
                <w:color w:val="auto"/>
              </w:rPr>
            </w:pPr>
          </w:p>
        </w:tc>
        <w:tc>
          <w:tcPr>
            <w:tcW w:w="2300" w:type="dxa"/>
            <w:vAlign w:val="bottom"/>
            <w:shd w:val="clear" w:color="auto" w:fill="0075C9"/>
          </w:tcPr>
          <w:p>
            <w:pPr>
              <w:jc w:val="center"/>
              <w:ind w:left="186"/>
              <w:spacing w:after="0"/>
              <w:rPr>
                <w:sz w:val="20"/>
                <w:szCs w:val="20"/>
                <w:color w:val="auto"/>
              </w:rPr>
            </w:pPr>
            <w:r>
              <w:rPr>
                <w:rFonts w:ascii="Arial" w:cs="Arial" w:eastAsia="Arial" w:hAnsi="Arial"/>
                <w:sz w:val="14"/>
                <w:szCs w:val="14"/>
                <w:color w:val="FFFFFF"/>
              </w:rPr>
              <w:t>of Employment</w:t>
            </w:r>
          </w:p>
        </w:tc>
        <w:tc>
          <w:tcPr>
            <w:tcW w:w="2520" w:type="dxa"/>
            <w:vAlign w:val="bottom"/>
            <w:shd w:val="clear" w:color="auto" w:fill="0075C9"/>
          </w:tcPr>
          <w:p>
            <w:pPr>
              <w:jc w:val="center"/>
              <w:ind w:right="268"/>
              <w:spacing w:after="0"/>
              <w:rPr>
                <w:sz w:val="20"/>
                <w:szCs w:val="20"/>
                <w:color w:val="auto"/>
              </w:rPr>
            </w:pPr>
            <w:r>
              <w:rPr>
                <w:rFonts w:ascii="Arial" w:cs="Arial" w:eastAsia="Arial" w:hAnsi="Arial"/>
                <w:sz w:val="14"/>
                <w:szCs w:val="14"/>
                <w:color w:val="FFFFFF"/>
              </w:rPr>
              <w:t>Qualifying Termination of</w:t>
            </w:r>
          </w:p>
        </w:tc>
      </w:tr>
      <w:tr>
        <w:trPr>
          <w:trHeight w:val="162"/>
        </w:trPr>
        <w:tc>
          <w:tcPr>
            <w:tcW w:w="4820" w:type="dxa"/>
            <w:vAlign w:val="bottom"/>
            <w:shd w:val="clear" w:color="auto" w:fill="0075C9"/>
          </w:tcPr>
          <w:p>
            <w:pPr>
              <w:spacing w:after="0"/>
              <w:rPr>
                <w:sz w:val="14"/>
                <w:szCs w:val="14"/>
                <w:color w:val="auto"/>
              </w:rPr>
            </w:pPr>
          </w:p>
        </w:tc>
        <w:tc>
          <w:tcPr>
            <w:tcW w:w="1380" w:type="dxa"/>
            <w:vAlign w:val="bottom"/>
            <w:shd w:val="clear" w:color="auto" w:fill="0075C9"/>
          </w:tcPr>
          <w:p>
            <w:pPr>
              <w:spacing w:after="0"/>
              <w:rPr>
                <w:sz w:val="14"/>
                <w:szCs w:val="14"/>
                <w:color w:val="auto"/>
              </w:rPr>
            </w:pPr>
          </w:p>
        </w:tc>
        <w:tc>
          <w:tcPr>
            <w:tcW w:w="2300" w:type="dxa"/>
            <w:vAlign w:val="bottom"/>
            <w:shd w:val="clear" w:color="auto" w:fill="0075C9"/>
          </w:tcPr>
          <w:p>
            <w:pPr>
              <w:jc w:val="center"/>
              <w:ind w:left="206"/>
              <w:spacing w:after="0"/>
              <w:rPr>
                <w:sz w:val="20"/>
                <w:szCs w:val="20"/>
                <w:color w:val="auto"/>
              </w:rPr>
            </w:pPr>
            <w:r>
              <w:rPr>
                <w:rFonts w:ascii="Arial" w:cs="Arial" w:eastAsia="Arial" w:hAnsi="Arial"/>
                <w:sz w:val="14"/>
                <w:szCs w:val="14"/>
                <w:color w:val="FFFFFF"/>
              </w:rPr>
              <w:t>Not Following</w:t>
            </w:r>
          </w:p>
        </w:tc>
        <w:tc>
          <w:tcPr>
            <w:tcW w:w="2520" w:type="dxa"/>
            <w:vAlign w:val="bottom"/>
            <w:shd w:val="clear" w:color="auto" w:fill="0075C9"/>
          </w:tcPr>
          <w:p>
            <w:pPr>
              <w:jc w:val="center"/>
              <w:ind w:right="288"/>
              <w:spacing w:after="0"/>
              <w:rPr>
                <w:sz w:val="20"/>
                <w:szCs w:val="20"/>
                <w:color w:val="auto"/>
              </w:rPr>
            </w:pPr>
            <w:r>
              <w:rPr>
                <w:rFonts w:ascii="Arial" w:cs="Arial" w:eastAsia="Arial" w:hAnsi="Arial"/>
                <w:sz w:val="14"/>
                <w:szCs w:val="14"/>
                <w:color w:val="FFFFFF"/>
              </w:rPr>
              <w:t>Employment Following</w:t>
            </w:r>
          </w:p>
        </w:tc>
      </w:tr>
      <w:tr>
        <w:trPr>
          <w:trHeight w:val="162"/>
        </w:trPr>
        <w:tc>
          <w:tcPr>
            <w:tcW w:w="4820" w:type="dxa"/>
            <w:vAlign w:val="bottom"/>
            <w:shd w:val="clear" w:color="auto" w:fill="0075C9"/>
          </w:tcPr>
          <w:p>
            <w:pPr>
              <w:spacing w:after="0"/>
              <w:rPr>
                <w:sz w:val="14"/>
                <w:szCs w:val="14"/>
                <w:color w:val="auto"/>
              </w:rPr>
            </w:pPr>
          </w:p>
        </w:tc>
        <w:tc>
          <w:tcPr>
            <w:tcW w:w="1380" w:type="dxa"/>
            <w:vAlign w:val="bottom"/>
            <w:shd w:val="clear" w:color="auto" w:fill="0075C9"/>
          </w:tcPr>
          <w:p>
            <w:pPr>
              <w:spacing w:after="0"/>
              <w:rPr>
                <w:sz w:val="14"/>
                <w:szCs w:val="14"/>
                <w:color w:val="auto"/>
              </w:rPr>
            </w:pPr>
          </w:p>
        </w:tc>
        <w:tc>
          <w:tcPr>
            <w:tcW w:w="2300" w:type="dxa"/>
            <w:vAlign w:val="bottom"/>
            <w:shd w:val="clear" w:color="auto" w:fill="0075C9"/>
          </w:tcPr>
          <w:p>
            <w:pPr>
              <w:jc w:val="center"/>
              <w:ind w:left="186"/>
              <w:spacing w:after="0"/>
              <w:rPr>
                <w:sz w:val="20"/>
                <w:szCs w:val="20"/>
                <w:color w:val="auto"/>
              </w:rPr>
            </w:pPr>
            <w:r>
              <w:rPr>
                <w:rFonts w:ascii="Arial" w:cs="Arial" w:eastAsia="Arial" w:hAnsi="Arial"/>
                <w:sz w:val="14"/>
                <w:szCs w:val="14"/>
                <w:color w:val="FFFFFF"/>
              </w:rPr>
              <w:t>a Corporate</w:t>
            </w:r>
          </w:p>
        </w:tc>
        <w:tc>
          <w:tcPr>
            <w:tcW w:w="2520" w:type="dxa"/>
            <w:vAlign w:val="bottom"/>
            <w:shd w:val="clear" w:color="auto" w:fill="0075C9"/>
          </w:tcPr>
          <w:p>
            <w:pPr>
              <w:jc w:val="center"/>
              <w:ind w:right="288"/>
              <w:spacing w:after="0"/>
              <w:rPr>
                <w:sz w:val="20"/>
                <w:szCs w:val="20"/>
                <w:color w:val="auto"/>
              </w:rPr>
            </w:pPr>
            <w:r>
              <w:rPr>
                <w:rFonts w:ascii="Arial" w:cs="Arial" w:eastAsia="Arial" w:hAnsi="Arial"/>
                <w:sz w:val="14"/>
                <w:szCs w:val="14"/>
                <w:color w:val="FFFFFF"/>
              </w:rPr>
              <w:t>a Corporate</w:t>
            </w:r>
          </w:p>
        </w:tc>
      </w:tr>
      <w:tr>
        <w:trPr>
          <w:trHeight w:val="162"/>
        </w:trPr>
        <w:tc>
          <w:tcPr>
            <w:tcW w:w="4820" w:type="dxa"/>
            <w:vAlign w:val="bottom"/>
            <w:shd w:val="clear" w:color="auto" w:fill="0075C9"/>
          </w:tcPr>
          <w:p>
            <w:pPr>
              <w:spacing w:after="0"/>
              <w:rPr>
                <w:sz w:val="14"/>
                <w:szCs w:val="14"/>
                <w:color w:val="auto"/>
              </w:rPr>
            </w:pPr>
          </w:p>
        </w:tc>
        <w:tc>
          <w:tcPr>
            <w:tcW w:w="1380" w:type="dxa"/>
            <w:vAlign w:val="bottom"/>
            <w:shd w:val="clear" w:color="auto" w:fill="0075C9"/>
          </w:tcPr>
          <w:p>
            <w:pPr>
              <w:spacing w:after="0"/>
              <w:rPr>
                <w:sz w:val="14"/>
                <w:szCs w:val="14"/>
                <w:color w:val="auto"/>
              </w:rPr>
            </w:pPr>
          </w:p>
        </w:tc>
        <w:tc>
          <w:tcPr>
            <w:tcW w:w="2300" w:type="dxa"/>
            <w:vAlign w:val="bottom"/>
            <w:shd w:val="clear" w:color="auto" w:fill="0075C9"/>
          </w:tcPr>
          <w:p>
            <w:pPr>
              <w:jc w:val="center"/>
              <w:ind w:left="206"/>
              <w:spacing w:after="0"/>
              <w:rPr>
                <w:sz w:val="20"/>
                <w:szCs w:val="20"/>
                <w:color w:val="auto"/>
              </w:rPr>
            </w:pPr>
            <w:r>
              <w:rPr>
                <w:rFonts w:ascii="Arial" w:cs="Arial" w:eastAsia="Arial" w:hAnsi="Arial"/>
                <w:sz w:val="14"/>
                <w:szCs w:val="14"/>
                <w:color w:val="FFFFFF"/>
              </w:rPr>
              <w:t>Transaction or</w:t>
            </w:r>
          </w:p>
        </w:tc>
        <w:tc>
          <w:tcPr>
            <w:tcW w:w="2520" w:type="dxa"/>
            <w:vAlign w:val="bottom"/>
            <w:shd w:val="clear" w:color="auto" w:fill="0075C9"/>
          </w:tcPr>
          <w:p>
            <w:pPr>
              <w:jc w:val="center"/>
              <w:ind w:right="288"/>
              <w:spacing w:after="0"/>
              <w:rPr>
                <w:sz w:val="20"/>
                <w:szCs w:val="20"/>
                <w:color w:val="auto"/>
              </w:rPr>
            </w:pPr>
            <w:r>
              <w:rPr>
                <w:rFonts w:ascii="Arial" w:cs="Arial" w:eastAsia="Arial" w:hAnsi="Arial"/>
                <w:sz w:val="14"/>
                <w:szCs w:val="14"/>
                <w:color w:val="FFFFFF"/>
              </w:rPr>
              <w:t>Transaction or</w:t>
            </w:r>
          </w:p>
        </w:tc>
      </w:tr>
      <w:tr>
        <w:trPr>
          <w:trHeight w:val="190"/>
        </w:trPr>
        <w:tc>
          <w:tcPr>
            <w:tcW w:w="4820" w:type="dxa"/>
            <w:vAlign w:val="bottom"/>
            <w:shd w:val="clear" w:color="auto" w:fill="0075C9"/>
          </w:tcPr>
          <w:p>
            <w:pPr>
              <w:ind w:left="80"/>
              <w:spacing w:after="0"/>
              <w:rPr>
                <w:sz w:val="20"/>
                <w:szCs w:val="20"/>
                <w:color w:val="auto"/>
              </w:rPr>
            </w:pPr>
            <w:r>
              <w:rPr>
                <w:rFonts w:ascii="Arial" w:cs="Arial" w:eastAsia="Arial" w:hAnsi="Arial"/>
                <w:sz w:val="14"/>
                <w:szCs w:val="14"/>
                <w:color w:val="FFFFFF"/>
              </w:rPr>
              <w:t>Name and Payment Elements</w:t>
            </w:r>
            <w:r>
              <w:rPr>
                <w:rFonts w:ascii="Arial" w:cs="Arial" w:eastAsia="Arial" w:hAnsi="Arial"/>
                <w:sz w:val="14"/>
                <w:szCs w:val="14"/>
                <w:color w:val="FFFFFF"/>
                <w:vertAlign w:val="superscript"/>
              </w:rPr>
              <w:t>(1)</w:t>
            </w:r>
          </w:p>
        </w:tc>
        <w:tc>
          <w:tcPr>
            <w:tcW w:w="1380" w:type="dxa"/>
            <w:vAlign w:val="bottom"/>
            <w:shd w:val="clear" w:color="auto" w:fill="0075C9"/>
          </w:tcPr>
          <w:p>
            <w:pPr>
              <w:jc w:val="center"/>
              <w:ind w:left="488"/>
              <w:spacing w:after="0"/>
              <w:rPr>
                <w:sz w:val="20"/>
                <w:szCs w:val="20"/>
                <w:color w:val="auto"/>
              </w:rPr>
            </w:pPr>
            <w:r>
              <w:rPr>
                <w:rFonts w:ascii="Arial" w:cs="Arial" w:eastAsia="Arial" w:hAnsi="Arial"/>
                <w:sz w:val="14"/>
                <w:szCs w:val="14"/>
                <w:color w:val="FFFFFF"/>
                <w:w w:val="97"/>
              </w:rPr>
              <w:t>Retirement</w:t>
            </w:r>
            <w:r>
              <w:rPr>
                <w:rFonts w:ascii="Arial" w:cs="Arial" w:eastAsia="Arial" w:hAnsi="Arial"/>
                <w:sz w:val="14"/>
                <w:szCs w:val="14"/>
                <w:color w:val="FFFFFF"/>
                <w:w w:val="97"/>
                <w:vertAlign w:val="superscript"/>
              </w:rPr>
              <w:t>(2)</w:t>
            </w:r>
          </w:p>
        </w:tc>
        <w:tc>
          <w:tcPr>
            <w:tcW w:w="2300" w:type="dxa"/>
            <w:vAlign w:val="bottom"/>
            <w:shd w:val="clear" w:color="auto" w:fill="0075C9"/>
          </w:tcPr>
          <w:p>
            <w:pPr>
              <w:jc w:val="center"/>
              <w:ind w:left="186"/>
              <w:spacing w:after="0"/>
              <w:rPr>
                <w:sz w:val="20"/>
                <w:szCs w:val="20"/>
                <w:color w:val="auto"/>
              </w:rPr>
            </w:pPr>
            <w:r>
              <w:rPr>
                <w:rFonts w:ascii="Arial" w:cs="Arial" w:eastAsia="Arial" w:hAnsi="Arial"/>
                <w:sz w:val="14"/>
                <w:szCs w:val="14"/>
                <w:color w:val="FFFFFF"/>
                <w:w w:val="99"/>
              </w:rPr>
              <w:t>Change in Control</w:t>
            </w:r>
            <w:r>
              <w:rPr>
                <w:rFonts w:ascii="Arial" w:cs="Arial" w:eastAsia="Arial" w:hAnsi="Arial"/>
                <w:sz w:val="14"/>
                <w:szCs w:val="14"/>
                <w:color w:val="FFFFFF"/>
                <w:w w:val="99"/>
                <w:vertAlign w:val="superscript"/>
              </w:rPr>
              <w:t>(3)</w:t>
            </w:r>
          </w:p>
        </w:tc>
        <w:tc>
          <w:tcPr>
            <w:tcW w:w="2520" w:type="dxa"/>
            <w:vAlign w:val="bottom"/>
            <w:shd w:val="clear" w:color="auto" w:fill="0075C9"/>
          </w:tcPr>
          <w:p>
            <w:pPr>
              <w:jc w:val="center"/>
              <w:ind w:right="288"/>
              <w:spacing w:after="0"/>
              <w:rPr>
                <w:sz w:val="20"/>
                <w:szCs w:val="20"/>
                <w:color w:val="auto"/>
              </w:rPr>
            </w:pPr>
            <w:r>
              <w:rPr>
                <w:rFonts w:ascii="Arial" w:cs="Arial" w:eastAsia="Arial" w:hAnsi="Arial"/>
                <w:sz w:val="14"/>
                <w:szCs w:val="14"/>
                <w:color w:val="FFFFFF"/>
                <w:w w:val="99"/>
              </w:rPr>
              <w:t>Change in Control</w:t>
            </w:r>
            <w:r>
              <w:rPr>
                <w:rFonts w:ascii="Arial" w:cs="Arial" w:eastAsia="Arial" w:hAnsi="Arial"/>
                <w:sz w:val="14"/>
                <w:szCs w:val="14"/>
                <w:color w:val="FFFFFF"/>
                <w:w w:val="99"/>
                <w:vertAlign w:val="superscript"/>
              </w:rPr>
              <w:t>(3)</w:t>
            </w:r>
          </w:p>
        </w:tc>
      </w:tr>
      <w:tr>
        <w:trPr>
          <w:trHeight w:val="230"/>
        </w:trPr>
        <w:tc>
          <w:tcPr>
            <w:tcW w:w="4820" w:type="dxa"/>
            <w:vAlign w:val="bottom"/>
            <w:shd w:val="clear" w:color="auto" w:fill="0075C9"/>
          </w:tcPr>
          <w:p>
            <w:pPr>
              <w:ind w:left="80"/>
              <w:spacing w:after="0"/>
              <w:rPr>
                <w:sz w:val="20"/>
                <w:szCs w:val="20"/>
                <w:color w:val="auto"/>
              </w:rPr>
            </w:pPr>
            <w:r>
              <w:rPr>
                <w:rFonts w:ascii="Arial" w:cs="Arial" w:eastAsia="Arial" w:hAnsi="Arial"/>
                <w:sz w:val="14"/>
                <w:szCs w:val="14"/>
                <w:color w:val="FFFFFF"/>
              </w:rPr>
              <w:t>(a)</w:t>
            </w:r>
          </w:p>
        </w:tc>
        <w:tc>
          <w:tcPr>
            <w:tcW w:w="1380" w:type="dxa"/>
            <w:vAlign w:val="bottom"/>
            <w:shd w:val="clear" w:color="auto" w:fill="0075C9"/>
          </w:tcPr>
          <w:p>
            <w:pPr>
              <w:jc w:val="center"/>
              <w:ind w:left="488"/>
              <w:spacing w:after="0"/>
              <w:rPr>
                <w:sz w:val="20"/>
                <w:szCs w:val="20"/>
                <w:color w:val="auto"/>
              </w:rPr>
            </w:pPr>
            <w:r>
              <w:rPr>
                <w:rFonts w:ascii="Arial" w:cs="Arial" w:eastAsia="Arial" w:hAnsi="Arial"/>
                <w:sz w:val="14"/>
                <w:szCs w:val="14"/>
                <w:color w:val="FFFFFF"/>
              </w:rPr>
              <w:t>(b)</w:t>
            </w:r>
          </w:p>
        </w:tc>
        <w:tc>
          <w:tcPr>
            <w:tcW w:w="2300" w:type="dxa"/>
            <w:vAlign w:val="bottom"/>
            <w:shd w:val="clear" w:color="auto" w:fill="0075C9"/>
          </w:tcPr>
          <w:p>
            <w:pPr>
              <w:jc w:val="center"/>
              <w:ind w:left="206"/>
              <w:spacing w:after="0"/>
              <w:rPr>
                <w:sz w:val="20"/>
                <w:szCs w:val="20"/>
                <w:color w:val="auto"/>
              </w:rPr>
            </w:pPr>
            <w:r>
              <w:rPr>
                <w:rFonts w:ascii="Arial" w:cs="Arial" w:eastAsia="Arial" w:hAnsi="Arial"/>
                <w:sz w:val="14"/>
                <w:szCs w:val="14"/>
                <w:color w:val="FFFFFF"/>
              </w:rPr>
              <w:t>(c)</w:t>
            </w:r>
          </w:p>
        </w:tc>
        <w:tc>
          <w:tcPr>
            <w:tcW w:w="2520" w:type="dxa"/>
            <w:vAlign w:val="bottom"/>
            <w:shd w:val="clear" w:color="auto" w:fill="0075C9"/>
          </w:tcPr>
          <w:p>
            <w:pPr>
              <w:jc w:val="center"/>
              <w:ind w:right="288"/>
              <w:spacing w:after="0"/>
              <w:rPr>
                <w:sz w:val="20"/>
                <w:szCs w:val="20"/>
                <w:color w:val="auto"/>
              </w:rPr>
            </w:pPr>
            <w:r>
              <w:rPr>
                <w:rFonts w:ascii="Arial" w:cs="Arial" w:eastAsia="Arial" w:hAnsi="Arial"/>
                <w:sz w:val="14"/>
                <w:szCs w:val="14"/>
                <w:color w:val="FFFFFF"/>
                <w:w w:val="93"/>
              </w:rPr>
              <w:t>(d)</w:t>
            </w:r>
          </w:p>
        </w:tc>
      </w:tr>
      <w:tr>
        <w:trPr>
          <w:trHeight w:val="62"/>
        </w:trPr>
        <w:tc>
          <w:tcPr>
            <w:tcW w:w="4820" w:type="dxa"/>
            <w:vAlign w:val="bottom"/>
            <w:shd w:val="clear" w:color="auto" w:fill="0075C9"/>
          </w:tcPr>
          <w:p>
            <w:pPr>
              <w:spacing w:after="0"/>
              <w:rPr>
                <w:sz w:val="5"/>
                <w:szCs w:val="5"/>
                <w:color w:val="auto"/>
              </w:rPr>
            </w:pPr>
          </w:p>
        </w:tc>
        <w:tc>
          <w:tcPr>
            <w:tcW w:w="1380" w:type="dxa"/>
            <w:vAlign w:val="bottom"/>
            <w:shd w:val="clear" w:color="auto" w:fill="0075C9"/>
          </w:tcPr>
          <w:p>
            <w:pPr>
              <w:spacing w:after="0"/>
              <w:rPr>
                <w:sz w:val="5"/>
                <w:szCs w:val="5"/>
                <w:color w:val="auto"/>
              </w:rPr>
            </w:pPr>
          </w:p>
        </w:tc>
        <w:tc>
          <w:tcPr>
            <w:tcW w:w="2300" w:type="dxa"/>
            <w:vAlign w:val="bottom"/>
            <w:shd w:val="clear" w:color="auto" w:fill="0075C9"/>
          </w:tcPr>
          <w:p>
            <w:pPr>
              <w:spacing w:after="0"/>
              <w:rPr>
                <w:sz w:val="5"/>
                <w:szCs w:val="5"/>
                <w:color w:val="auto"/>
              </w:rPr>
            </w:pPr>
          </w:p>
        </w:tc>
        <w:tc>
          <w:tcPr>
            <w:tcW w:w="2520" w:type="dxa"/>
            <w:vAlign w:val="bottom"/>
            <w:shd w:val="clear" w:color="auto" w:fill="0075C9"/>
          </w:tcPr>
          <w:p>
            <w:pPr>
              <w:spacing w:after="0"/>
              <w:rPr>
                <w:sz w:val="5"/>
                <w:szCs w:val="5"/>
                <w:color w:val="auto"/>
              </w:rPr>
            </w:pPr>
          </w:p>
        </w:tc>
      </w:tr>
      <w:tr>
        <w:trPr>
          <w:trHeight w:val="214"/>
        </w:trPr>
        <w:tc>
          <w:tcPr>
            <w:tcW w:w="4820" w:type="dxa"/>
            <w:vAlign w:val="bottom"/>
            <w:shd w:val="clear" w:color="auto" w:fill="99C7E9"/>
          </w:tcPr>
          <w:p>
            <w:pPr>
              <w:ind w:left="80"/>
              <w:spacing w:after="0"/>
              <w:rPr>
                <w:sz w:val="20"/>
                <w:szCs w:val="20"/>
                <w:color w:val="auto"/>
              </w:rPr>
            </w:pPr>
            <w:r>
              <w:rPr>
                <w:rFonts w:ascii="Arial" w:cs="Arial" w:eastAsia="Arial" w:hAnsi="Arial"/>
                <w:sz w:val="14"/>
                <w:szCs w:val="14"/>
                <w:b w:val="1"/>
                <w:bCs w:val="1"/>
                <w:color w:val="auto"/>
              </w:rPr>
              <w:t>Nicole C. Murphy</w:t>
            </w:r>
          </w:p>
        </w:tc>
        <w:tc>
          <w:tcPr>
            <w:tcW w:w="1380" w:type="dxa"/>
            <w:vAlign w:val="bottom"/>
            <w:shd w:val="clear" w:color="auto" w:fill="99C7E9"/>
          </w:tcPr>
          <w:p>
            <w:pPr>
              <w:spacing w:after="0"/>
              <w:rPr>
                <w:sz w:val="18"/>
                <w:szCs w:val="18"/>
                <w:color w:val="auto"/>
              </w:rPr>
            </w:pPr>
          </w:p>
        </w:tc>
        <w:tc>
          <w:tcPr>
            <w:tcW w:w="2300" w:type="dxa"/>
            <w:vAlign w:val="bottom"/>
            <w:shd w:val="clear" w:color="auto" w:fill="99C7E9"/>
          </w:tcPr>
          <w:p>
            <w:pPr>
              <w:spacing w:after="0"/>
              <w:rPr>
                <w:sz w:val="18"/>
                <w:szCs w:val="18"/>
                <w:color w:val="auto"/>
              </w:rPr>
            </w:pPr>
          </w:p>
        </w:tc>
        <w:tc>
          <w:tcPr>
            <w:tcW w:w="2520" w:type="dxa"/>
            <w:vAlign w:val="bottom"/>
            <w:shd w:val="clear" w:color="auto" w:fill="99C7E9"/>
          </w:tcPr>
          <w:p>
            <w:pPr>
              <w:spacing w:after="0"/>
              <w:rPr>
                <w:sz w:val="18"/>
                <w:szCs w:val="18"/>
                <w:color w:val="auto"/>
              </w:rPr>
            </w:pPr>
          </w:p>
        </w:tc>
      </w:tr>
      <w:tr>
        <w:trPr>
          <w:trHeight w:val="210"/>
        </w:trPr>
        <w:tc>
          <w:tcPr>
            <w:tcW w:w="48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Severance</w:t>
            </w:r>
          </w:p>
        </w:tc>
        <w:tc>
          <w:tcPr>
            <w:tcW w:w="1380" w:type="dxa"/>
            <w:vAlign w:val="bottom"/>
            <w:shd w:val="clear" w:color="auto" w:fill="99C7E9"/>
          </w:tcPr>
          <w:p>
            <w:pPr>
              <w:jc w:val="center"/>
              <w:ind w:left="488"/>
              <w:spacing w:after="0"/>
              <w:rPr>
                <w:sz w:val="20"/>
                <w:szCs w:val="20"/>
                <w:color w:val="auto"/>
              </w:rPr>
            </w:pPr>
            <w:r>
              <w:rPr>
                <w:rFonts w:ascii="Arial" w:cs="Arial" w:eastAsia="Arial" w:hAnsi="Arial"/>
                <w:sz w:val="14"/>
                <w:szCs w:val="14"/>
                <w:color w:val="auto"/>
                <w:w w:val="99"/>
              </w:rPr>
              <w:t>—</w:t>
            </w:r>
          </w:p>
        </w:tc>
        <w:tc>
          <w:tcPr>
            <w:tcW w:w="2300" w:type="dxa"/>
            <w:vAlign w:val="bottom"/>
            <w:shd w:val="clear" w:color="auto" w:fill="99C7E9"/>
          </w:tcPr>
          <w:p>
            <w:pPr>
              <w:jc w:val="center"/>
              <w:ind w:left="186"/>
              <w:spacing w:after="0"/>
              <w:rPr>
                <w:sz w:val="20"/>
                <w:szCs w:val="20"/>
                <w:color w:val="auto"/>
              </w:rPr>
            </w:pPr>
            <w:r>
              <w:rPr>
                <w:rFonts w:ascii="Arial" w:cs="Arial" w:eastAsia="Arial" w:hAnsi="Arial"/>
                <w:sz w:val="14"/>
                <w:szCs w:val="14"/>
                <w:color w:val="auto"/>
              </w:rPr>
              <w:t>$2,733,857</w:t>
            </w:r>
          </w:p>
        </w:tc>
        <w:tc>
          <w:tcPr>
            <w:tcW w:w="2520" w:type="dxa"/>
            <w:vAlign w:val="bottom"/>
            <w:shd w:val="clear" w:color="auto" w:fill="99C7E9"/>
          </w:tcPr>
          <w:p>
            <w:pPr>
              <w:jc w:val="center"/>
              <w:ind w:right="288"/>
              <w:spacing w:after="0"/>
              <w:rPr>
                <w:sz w:val="20"/>
                <w:szCs w:val="20"/>
                <w:color w:val="auto"/>
              </w:rPr>
            </w:pPr>
            <w:r>
              <w:rPr>
                <w:rFonts w:ascii="Arial" w:cs="Arial" w:eastAsia="Arial" w:hAnsi="Arial"/>
                <w:sz w:val="14"/>
                <w:szCs w:val="14"/>
                <w:color w:val="auto"/>
              </w:rPr>
              <w:t>$3,124,408</w:t>
            </w:r>
          </w:p>
        </w:tc>
      </w:tr>
      <w:tr>
        <w:trPr>
          <w:trHeight w:val="216"/>
        </w:trPr>
        <w:tc>
          <w:tcPr>
            <w:tcW w:w="48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Performance-based Restricted Stock Units</w:t>
            </w:r>
          </w:p>
        </w:tc>
        <w:tc>
          <w:tcPr>
            <w:tcW w:w="1380" w:type="dxa"/>
            <w:vAlign w:val="bottom"/>
            <w:shd w:val="clear" w:color="auto" w:fill="99C7E9"/>
          </w:tcPr>
          <w:p>
            <w:pPr>
              <w:jc w:val="center"/>
              <w:ind w:left="488"/>
              <w:spacing w:after="0"/>
              <w:rPr>
                <w:sz w:val="20"/>
                <w:szCs w:val="20"/>
                <w:color w:val="auto"/>
              </w:rPr>
            </w:pPr>
            <w:r>
              <w:rPr>
                <w:rFonts w:ascii="Arial" w:cs="Arial" w:eastAsia="Arial" w:hAnsi="Arial"/>
                <w:sz w:val="14"/>
                <w:szCs w:val="14"/>
                <w:color w:val="auto"/>
                <w:w w:val="99"/>
              </w:rPr>
              <w:t>—</w:t>
            </w:r>
          </w:p>
        </w:tc>
        <w:tc>
          <w:tcPr>
            <w:tcW w:w="2300" w:type="dxa"/>
            <w:vAlign w:val="bottom"/>
            <w:shd w:val="clear" w:color="auto" w:fill="99C7E9"/>
          </w:tcPr>
          <w:p>
            <w:pPr>
              <w:jc w:val="center"/>
              <w:ind w:left="206"/>
              <w:spacing w:after="0"/>
              <w:rPr>
                <w:sz w:val="20"/>
                <w:szCs w:val="20"/>
                <w:color w:val="auto"/>
              </w:rPr>
            </w:pPr>
            <w:r>
              <w:rPr>
                <w:rFonts w:ascii="Arial" w:cs="Arial" w:eastAsia="Arial" w:hAnsi="Arial"/>
                <w:sz w:val="14"/>
                <w:szCs w:val="14"/>
                <w:color w:val="auto"/>
                <w:w w:val="99"/>
              </w:rPr>
              <w:t>—</w:t>
            </w:r>
          </w:p>
        </w:tc>
        <w:tc>
          <w:tcPr>
            <w:tcW w:w="2520" w:type="dxa"/>
            <w:vAlign w:val="bottom"/>
            <w:shd w:val="clear" w:color="auto" w:fill="99C7E9"/>
          </w:tcPr>
          <w:p>
            <w:pPr>
              <w:jc w:val="center"/>
              <w:ind w:right="288"/>
              <w:spacing w:after="0"/>
              <w:rPr>
                <w:sz w:val="20"/>
                <w:szCs w:val="20"/>
                <w:color w:val="auto"/>
              </w:rPr>
            </w:pPr>
            <w:r>
              <w:rPr>
                <w:rFonts w:ascii="Arial" w:cs="Arial" w:eastAsia="Arial" w:hAnsi="Arial"/>
                <w:sz w:val="14"/>
                <w:szCs w:val="14"/>
                <w:color w:val="auto"/>
              </w:rPr>
              <w:t>$2,913,461</w:t>
            </w:r>
          </w:p>
        </w:tc>
      </w:tr>
      <w:tr>
        <w:trPr>
          <w:trHeight w:val="216"/>
        </w:trPr>
        <w:tc>
          <w:tcPr>
            <w:tcW w:w="48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Time-based Restricted Stock Units</w:t>
            </w:r>
          </w:p>
        </w:tc>
        <w:tc>
          <w:tcPr>
            <w:tcW w:w="1380" w:type="dxa"/>
            <w:vAlign w:val="bottom"/>
            <w:shd w:val="clear" w:color="auto" w:fill="99C7E9"/>
          </w:tcPr>
          <w:p>
            <w:pPr>
              <w:jc w:val="center"/>
              <w:ind w:left="488"/>
              <w:spacing w:after="0"/>
              <w:rPr>
                <w:sz w:val="20"/>
                <w:szCs w:val="20"/>
                <w:color w:val="auto"/>
              </w:rPr>
            </w:pPr>
            <w:r>
              <w:rPr>
                <w:rFonts w:ascii="Arial" w:cs="Arial" w:eastAsia="Arial" w:hAnsi="Arial"/>
                <w:sz w:val="14"/>
                <w:szCs w:val="14"/>
                <w:color w:val="auto"/>
                <w:w w:val="99"/>
              </w:rPr>
              <w:t>—</w:t>
            </w:r>
          </w:p>
        </w:tc>
        <w:tc>
          <w:tcPr>
            <w:tcW w:w="2300" w:type="dxa"/>
            <w:vAlign w:val="bottom"/>
            <w:shd w:val="clear" w:color="auto" w:fill="99C7E9"/>
          </w:tcPr>
          <w:p>
            <w:pPr>
              <w:jc w:val="center"/>
              <w:ind w:left="206"/>
              <w:spacing w:after="0"/>
              <w:rPr>
                <w:sz w:val="20"/>
                <w:szCs w:val="20"/>
                <w:color w:val="auto"/>
              </w:rPr>
            </w:pPr>
            <w:r>
              <w:rPr>
                <w:rFonts w:ascii="Arial" w:cs="Arial" w:eastAsia="Arial" w:hAnsi="Arial"/>
                <w:sz w:val="14"/>
                <w:szCs w:val="14"/>
                <w:color w:val="auto"/>
                <w:w w:val="99"/>
              </w:rPr>
              <w:t>—</w:t>
            </w:r>
          </w:p>
        </w:tc>
        <w:tc>
          <w:tcPr>
            <w:tcW w:w="2520" w:type="dxa"/>
            <w:vAlign w:val="bottom"/>
            <w:shd w:val="clear" w:color="auto" w:fill="99C7E9"/>
          </w:tcPr>
          <w:p>
            <w:pPr>
              <w:jc w:val="center"/>
              <w:ind w:right="288"/>
              <w:spacing w:after="0"/>
              <w:rPr>
                <w:sz w:val="20"/>
                <w:szCs w:val="20"/>
                <w:color w:val="auto"/>
              </w:rPr>
            </w:pPr>
            <w:r>
              <w:rPr>
                <w:rFonts w:ascii="Arial" w:cs="Arial" w:eastAsia="Arial" w:hAnsi="Arial"/>
                <w:sz w:val="14"/>
                <w:szCs w:val="14"/>
                <w:color w:val="auto"/>
              </w:rPr>
              <w:t>$3,525,432</w:t>
            </w:r>
          </w:p>
        </w:tc>
      </w:tr>
      <w:tr>
        <w:trPr>
          <w:trHeight w:val="216"/>
        </w:trPr>
        <w:tc>
          <w:tcPr>
            <w:tcW w:w="4820" w:type="dxa"/>
            <w:vAlign w:val="bottom"/>
            <w:shd w:val="clear" w:color="auto" w:fill="99C7E9"/>
          </w:tcPr>
          <w:p>
            <w:pPr>
              <w:ind w:left="280"/>
              <w:spacing w:after="0"/>
              <w:rPr>
                <w:sz w:val="20"/>
                <w:szCs w:val="20"/>
                <w:color w:val="auto"/>
              </w:rPr>
            </w:pPr>
            <w:r>
              <w:rPr>
                <w:rFonts w:ascii="Arial" w:cs="Arial" w:eastAsia="Arial" w:hAnsi="Arial"/>
                <w:sz w:val="14"/>
                <w:szCs w:val="14"/>
                <w:color w:val="auto"/>
              </w:rPr>
              <w:t>Medical, Dental and Vision</w:t>
            </w:r>
          </w:p>
        </w:tc>
        <w:tc>
          <w:tcPr>
            <w:tcW w:w="1380" w:type="dxa"/>
            <w:vAlign w:val="bottom"/>
            <w:shd w:val="clear" w:color="auto" w:fill="99C7E9"/>
          </w:tcPr>
          <w:p>
            <w:pPr>
              <w:jc w:val="center"/>
              <w:ind w:left="488"/>
              <w:spacing w:after="0"/>
              <w:rPr>
                <w:sz w:val="20"/>
                <w:szCs w:val="20"/>
                <w:color w:val="auto"/>
              </w:rPr>
            </w:pPr>
            <w:r>
              <w:rPr>
                <w:rFonts w:ascii="Arial" w:cs="Arial" w:eastAsia="Arial" w:hAnsi="Arial"/>
                <w:sz w:val="14"/>
                <w:szCs w:val="14"/>
                <w:color w:val="auto"/>
                <w:w w:val="99"/>
              </w:rPr>
              <w:t>—</w:t>
            </w:r>
          </w:p>
        </w:tc>
        <w:tc>
          <w:tcPr>
            <w:tcW w:w="2300" w:type="dxa"/>
            <w:vAlign w:val="bottom"/>
            <w:shd w:val="clear" w:color="auto" w:fill="99C7E9"/>
          </w:tcPr>
          <w:p>
            <w:pPr>
              <w:jc w:val="center"/>
              <w:ind w:left="186"/>
              <w:spacing w:after="0"/>
              <w:rPr>
                <w:sz w:val="20"/>
                <w:szCs w:val="20"/>
                <w:color w:val="auto"/>
              </w:rPr>
            </w:pPr>
            <w:r>
              <w:rPr>
                <w:rFonts w:ascii="Arial" w:cs="Arial" w:eastAsia="Arial" w:hAnsi="Arial"/>
                <w:sz w:val="14"/>
                <w:szCs w:val="14"/>
                <w:color w:val="auto"/>
              </w:rPr>
              <w:t>$44,277</w:t>
            </w:r>
          </w:p>
        </w:tc>
        <w:tc>
          <w:tcPr>
            <w:tcW w:w="2520" w:type="dxa"/>
            <w:vAlign w:val="bottom"/>
            <w:shd w:val="clear" w:color="auto" w:fill="99C7E9"/>
          </w:tcPr>
          <w:p>
            <w:pPr>
              <w:jc w:val="center"/>
              <w:ind w:right="288"/>
              <w:spacing w:after="0"/>
              <w:rPr>
                <w:sz w:val="20"/>
                <w:szCs w:val="20"/>
                <w:color w:val="auto"/>
              </w:rPr>
            </w:pPr>
            <w:r>
              <w:rPr>
                <w:rFonts w:ascii="Arial" w:cs="Arial" w:eastAsia="Arial" w:hAnsi="Arial"/>
                <w:sz w:val="14"/>
                <w:szCs w:val="14"/>
                <w:color w:val="auto"/>
              </w:rPr>
              <w:t>$50,602</w:t>
            </w:r>
          </w:p>
        </w:tc>
      </w:tr>
      <w:tr>
        <w:trPr>
          <w:trHeight w:val="224"/>
        </w:trPr>
        <w:tc>
          <w:tcPr>
            <w:tcW w:w="4820" w:type="dxa"/>
            <w:vAlign w:val="bottom"/>
            <w:shd w:val="clear" w:color="auto" w:fill="99C7E9"/>
          </w:tcPr>
          <w:p>
            <w:pPr>
              <w:ind w:left="280"/>
              <w:spacing w:after="0" w:line="224" w:lineRule="exact"/>
              <w:rPr>
                <w:sz w:val="20"/>
                <w:szCs w:val="20"/>
                <w:color w:val="auto"/>
              </w:rPr>
            </w:pPr>
            <w:r>
              <w:rPr>
                <w:rFonts w:ascii="Arial" w:cs="Arial" w:eastAsia="Arial" w:hAnsi="Arial"/>
                <w:sz w:val="14"/>
                <w:szCs w:val="14"/>
                <w:color w:val="auto"/>
              </w:rPr>
              <w:t>Outplacement</w:t>
            </w:r>
            <w:r>
              <w:rPr>
                <w:rFonts w:ascii="Arial" w:cs="Arial" w:eastAsia="Arial" w:hAnsi="Arial"/>
                <w:sz w:val="21"/>
                <w:szCs w:val="21"/>
                <w:color w:val="auto"/>
                <w:vertAlign w:val="superscript"/>
              </w:rPr>
              <w:t>(5)</w:t>
            </w:r>
          </w:p>
        </w:tc>
        <w:tc>
          <w:tcPr>
            <w:tcW w:w="1380" w:type="dxa"/>
            <w:vAlign w:val="bottom"/>
            <w:shd w:val="clear" w:color="auto" w:fill="99C7E9"/>
          </w:tcPr>
          <w:p>
            <w:pPr>
              <w:jc w:val="center"/>
              <w:ind w:left="488"/>
              <w:spacing w:after="0"/>
              <w:rPr>
                <w:sz w:val="20"/>
                <w:szCs w:val="20"/>
                <w:color w:val="auto"/>
              </w:rPr>
            </w:pPr>
            <w:r>
              <w:rPr>
                <w:rFonts w:ascii="Arial" w:cs="Arial" w:eastAsia="Arial" w:hAnsi="Arial"/>
                <w:sz w:val="14"/>
                <w:szCs w:val="14"/>
                <w:color w:val="auto"/>
                <w:w w:val="99"/>
              </w:rPr>
              <w:t>—</w:t>
            </w:r>
          </w:p>
        </w:tc>
        <w:tc>
          <w:tcPr>
            <w:tcW w:w="2300" w:type="dxa"/>
            <w:vAlign w:val="bottom"/>
            <w:shd w:val="clear" w:color="auto" w:fill="99C7E9"/>
          </w:tcPr>
          <w:p>
            <w:pPr>
              <w:jc w:val="center"/>
              <w:ind w:left="186"/>
              <w:spacing w:after="0"/>
              <w:rPr>
                <w:sz w:val="20"/>
                <w:szCs w:val="20"/>
                <w:color w:val="auto"/>
              </w:rPr>
            </w:pPr>
            <w:r>
              <w:rPr>
                <w:rFonts w:ascii="Arial" w:cs="Arial" w:eastAsia="Arial" w:hAnsi="Arial"/>
                <w:sz w:val="14"/>
                <w:szCs w:val="14"/>
                <w:color w:val="auto"/>
              </w:rPr>
              <w:t>$32,000</w:t>
            </w:r>
          </w:p>
        </w:tc>
        <w:tc>
          <w:tcPr>
            <w:tcW w:w="2520" w:type="dxa"/>
            <w:vAlign w:val="bottom"/>
            <w:shd w:val="clear" w:color="auto" w:fill="99C7E9"/>
          </w:tcPr>
          <w:p>
            <w:pPr>
              <w:jc w:val="center"/>
              <w:ind w:right="288"/>
              <w:spacing w:after="0"/>
              <w:rPr>
                <w:sz w:val="20"/>
                <w:szCs w:val="20"/>
                <w:color w:val="auto"/>
              </w:rPr>
            </w:pPr>
            <w:r>
              <w:rPr>
                <w:rFonts w:ascii="Arial" w:cs="Arial" w:eastAsia="Arial" w:hAnsi="Arial"/>
                <w:sz w:val="14"/>
                <w:szCs w:val="14"/>
                <w:color w:val="auto"/>
              </w:rPr>
              <w:t>$32,000</w:t>
            </w:r>
          </w:p>
        </w:tc>
      </w:tr>
      <w:tr>
        <w:trPr>
          <w:trHeight w:val="228"/>
        </w:trPr>
        <w:tc>
          <w:tcPr>
            <w:tcW w:w="4820" w:type="dxa"/>
            <w:vAlign w:val="bottom"/>
            <w:tcBorders>
              <w:bottom w:val="single" w:sz="8" w:color="auto"/>
            </w:tcBorders>
            <w:shd w:val="clear" w:color="auto" w:fill="99C7E9"/>
          </w:tcPr>
          <w:p>
            <w:pPr>
              <w:ind w:left="28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auto"/>
            </w:tcBorders>
            <w:shd w:val="clear" w:color="auto" w:fill="99C7E9"/>
          </w:tcPr>
          <w:p>
            <w:pPr>
              <w:jc w:val="center"/>
              <w:ind w:left="488"/>
              <w:spacing w:after="0"/>
              <w:rPr>
                <w:sz w:val="20"/>
                <w:szCs w:val="20"/>
                <w:color w:val="auto"/>
              </w:rPr>
            </w:pPr>
            <w:r>
              <w:rPr>
                <w:rFonts w:ascii="Arial" w:cs="Arial" w:eastAsia="Arial" w:hAnsi="Arial"/>
                <w:sz w:val="14"/>
                <w:szCs w:val="14"/>
                <w:b w:val="1"/>
                <w:bCs w:val="1"/>
                <w:color w:val="auto"/>
                <w:w w:val="99"/>
              </w:rPr>
              <w:t>—</w:t>
            </w:r>
          </w:p>
        </w:tc>
        <w:tc>
          <w:tcPr>
            <w:tcW w:w="2300" w:type="dxa"/>
            <w:vAlign w:val="bottom"/>
            <w:tcBorders>
              <w:bottom w:val="single" w:sz="8" w:color="auto"/>
            </w:tcBorders>
            <w:shd w:val="clear" w:color="auto" w:fill="99C7E9"/>
          </w:tcPr>
          <w:p>
            <w:pPr>
              <w:jc w:val="center"/>
              <w:ind w:left="186"/>
              <w:spacing w:after="0"/>
              <w:rPr>
                <w:sz w:val="20"/>
                <w:szCs w:val="20"/>
                <w:color w:val="auto"/>
              </w:rPr>
            </w:pPr>
            <w:r>
              <w:rPr>
                <w:rFonts w:ascii="Arial" w:cs="Arial" w:eastAsia="Arial" w:hAnsi="Arial"/>
                <w:sz w:val="14"/>
                <w:szCs w:val="14"/>
                <w:b w:val="1"/>
                <w:bCs w:val="1"/>
                <w:color w:val="auto"/>
              </w:rPr>
              <w:t>$2,810,134</w:t>
            </w:r>
          </w:p>
        </w:tc>
        <w:tc>
          <w:tcPr>
            <w:tcW w:w="2520" w:type="dxa"/>
            <w:vAlign w:val="bottom"/>
            <w:tcBorders>
              <w:bottom w:val="single" w:sz="8" w:color="auto"/>
            </w:tcBorders>
            <w:shd w:val="clear" w:color="auto" w:fill="99C7E9"/>
          </w:tcPr>
          <w:p>
            <w:pPr>
              <w:jc w:val="center"/>
              <w:ind w:right="288"/>
              <w:spacing w:after="0"/>
              <w:rPr>
                <w:sz w:val="20"/>
                <w:szCs w:val="20"/>
                <w:color w:val="auto"/>
              </w:rPr>
            </w:pPr>
            <w:r>
              <w:rPr>
                <w:rFonts w:ascii="Arial" w:cs="Arial" w:eastAsia="Arial" w:hAnsi="Arial"/>
                <w:sz w:val="14"/>
                <w:szCs w:val="14"/>
                <w:b w:val="1"/>
                <w:bCs w:val="1"/>
                <w:color w:val="auto"/>
              </w:rPr>
              <w:t>$9,645,903</w:t>
            </w: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 to the Potential Post-Termination Payments Table</w:t>
      </w:r>
    </w:p>
    <w:p>
      <w:pPr>
        <w:spacing w:after="0" w:line="13" w:lineRule="exact"/>
        <w:rPr>
          <w:sz w:val="20"/>
          <w:szCs w:val="20"/>
          <w:color w:val="auto"/>
        </w:rPr>
      </w:pPr>
    </w:p>
    <w:p>
      <w:pPr>
        <w:ind w:left="540" w:right="200" w:hanging="208"/>
        <w:spacing w:after="0" w:line="242" w:lineRule="auto"/>
        <w:tabs>
          <w:tab w:leader="none" w:pos="5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 the event of an executive’s death or disability, all outstanding time-based equity awards and earned performance-based equity awards under our LTI program will vest in full and all unearned performance-based equity awards will remain outstanding and eligible to vest based on actual performance. The value of such accelerated awards for all NEOs would be the same amount as shown in column (d) for such NEO (based on actual performance estimated as of December 31, 2025).</w:t>
      </w:r>
    </w:p>
    <w:p>
      <w:pPr>
        <w:spacing w:after="0" w:line="160" w:lineRule="exact"/>
        <w:rPr>
          <w:rFonts w:ascii="Arial" w:cs="Arial" w:eastAsia="Arial" w:hAnsi="Arial"/>
          <w:sz w:val="14"/>
          <w:szCs w:val="14"/>
          <w:color w:val="auto"/>
        </w:rPr>
      </w:pPr>
    </w:p>
    <w:p>
      <w:pPr>
        <w:ind w:left="540" w:right="40" w:hanging="208"/>
        <w:spacing w:after="0" w:line="241" w:lineRule="auto"/>
        <w:tabs>
          <w:tab w:leader="none" w:pos="5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At December 31, 2025, Ms. Alexander was eligible for potential payments upon retirement. Based on years of service, Ms. Alexander was eligible for accelerated vesting on 100% of outstanding equity awards as of December 31, 2025. Any unvested PSU awards would, subject to the achievement of any applicable performance goals, remain outstanding and eligible to be earned and vest in accordance with the terms of such awards based on actual performance as to 100% of the earned PSUs. The amount listed in column (b) is the estimated value of 100% of all unvested awards held by Ms. Alexander, based on actual performance estimated as of December 31, 2025, for unearned performance-based awards. Beginning with 2022 grants, if retirement occurs within the same calendar year of grant, only one-third of the grant will vest.</w:t>
      </w:r>
    </w:p>
    <w:p>
      <w:pPr>
        <w:spacing w:after="0" w:line="2" w:lineRule="exact"/>
        <w:rPr>
          <w:rFonts w:ascii="Arial" w:cs="Arial" w:eastAsia="Arial" w:hAnsi="Arial"/>
          <w:sz w:val="14"/>
          <w:szCs w:val="14"/>
          <w:color w:val="auto"/>
        </w:rPr>
      </w:pPr>
    </w:p>
    <w:p>
      <w:pPr>
        <w:ind w:left="540" w:right="400" w:hanging="208"/>
        <w:spacing w:after="0" w:line="241" w:lineRule="auto"/>
        <w:tabs>
          <w:tab w:leader="none" w:pos="5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amounts listed in column (c) and column (d) for performance-based RSUs for the applicable NEOs includes the value of applicable unvested awards based, where applicable, on actual performance estimated as of December 31, 2025.</w:t>
      </w:r>
    </w:p>
    <w:p>
      <w:pPr>
        <w:ind w:left="540" w:right="20" w:hanging="208"/>
        <w:spacing w:after="0" w:line="241" w:lineRule="auto"/>
        <w:tabs>
          <w:tab w:leader="none" w:pos="5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Pursuant to his Employment Agreement, upon a termination by the company without cause or his resignation for good reason, Mr. Viehbacher is entitled to receive a lump sum payment within 60 days of such termination consisting of the pro rata portion of the target bonus for the year of termination and an amount equal to the sum of the annual base salary rate and target bonus in effect at the time of termination multiplied by a factor of 1.5, continuation of medical, dental and vision insurance for up to 18 months, up to 12 months of executive outplacement services, and accelerated vesting of the pro rata portion of the initial options, initial PSUs and matching RSUs (with the pro rata portion defined as one-third for termination occurring within one year of hire). Upon an involuntary termination by the company without cause during a CIC period, Mr. Viehbacher is entitled to receive a lump sum payment within 60 days of such termination consisting of the pro rata portion of the target bonus for the year of termination and an amount equal to the sum of the annual base salary rate and target bonus in effect at the time of termination multiplied by a factor of 2.0, continuation of medical, dental and vision insurance for up to 24 months, up to 12 months of executive outplacement services, and accelerated vesting of the initial equity awards and matching RSUs. Mr. Viehbacher’s initial equity awards (PSUs and stock options) and matching RSUs, all granted on December 1, 2022, have been fully settled or vested as of December 31, 2025, and accordingly no value attributable to these initial awards is included in the amounts shown in column (d).</w:t>
      </w:r>
    </w:p>
    <w:p>
      <w:pPr>
        <w:spacing w:after="0" w:line="3"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Mr. Viehbacher is not currently eligible for retirement termination, which would occur upon achievement of age 55 and five years of service.</w:t>
      </w:r>
    </w:p>
    <w:p>
      <w:pPr>
        <w:spacing w:after="0" w:line="1" w:lineRule="exact"/>
        <w:rPr>
          <w:rFonts w:ascii="Arial" w:cs="Arial" w:eastAsia="Arial" w:hAnsi="Arial"/>
          <w:sz w:val="14"/>
          <w:szCs w:val="14"/>
          <w:color w:val="auto"/>
        </w:rPr>
      </w:pPr>
    </w:p>
    <w:p>
      <w:pPr>
        <w:ind w:left="540" w:hanging="208"/>
        <w:spacing w:after="0"/>
        <w:tabs>
          <w:tab w:leader="none" w:pos="5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NEOs are eligible for outplacement services at a cost of up to $32,000.</w:t>
      </w:r>
    </w:p>
    <w:p>
      <w:pPr>
        <w:spacing w:after="0" w:line="145"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-60-</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Executive Compensation Tables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CEO Pay Ratio</w:t>
      </w:r>
    </w:p>
    <w:p>
      <w:pPr>
        <w:spacing w:after="0" w:line="108"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We believe executive pay must be internally consistent and equitable to motivate our employees to create stockholder value, and we are committed to internal pay equity. As discussed earlier in this Proxy Statement, our compensation programs are designed to drive the creation of long-term stockholder value by delivering performance-based compensation. We invest in our employees at all levels in the company by rewarding performance that balances risk and reward, empowering professional growth and development and offering affordable benefits and programs that meet the diverse needs of our employees.</w:t>
      </w:r>
    </w:p>
    <w:p>
      <w:pPr>
        <w:spacing w:after="0" w:line="72" w:lineRule="exact"/>
        <w:rPr>
          <w:sz w:val="20"/>
          <w:szCs w:val="20"/>
          <w:color w:val="auto"/>
        </w:rPr>
      </w:pPr>
    </w:p>
    <w:p>
      <w:pPr>
        <w:ind w:left="120" w:right="440"/>
        <w:spacing w:after="0" w:line="259" w:lineRule="auto"/>
        <w:rPr>
          <w:sz w:val="20"/>
          <w:szCs w:val="20"/>
          <w:color w:val="auto"/>
        </w:rPr>
      </w:pPr>
      <w:r>
        <w:rPr>
          <w:rFonts w:ascii="Arial" w:cs="Arial" w:eastAsia="Arial" w:hAnsi="Arial"/>
          <w:sz w:val="16"/>
          <w:szCs w:val="16"/>
          <w:color w:val="auto"/>
        </w:rPr>
        <w:t>We believe strongly in pay-for-performance, and all of our employees are eligible to participate in our STI program, our LTI programs and our benefit plans. Our STI program incorporates achievement of company, individual and, in some cases, function or region-specific performance goals. Payout levels (as a percentage of target) are based upon employee level and administrative provisions are the same for all participants globally. Our LTI programs provide different forms of awards depending upon an employee’s level but are otherwise consistent throughout the company.</w:t>
      </w:r>
    </w:p>
    <w:p>
      <w:pPr>
        <w:spacing w:after="0" w:line="70"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The following is a reasonable estimate, prepared under applicable SEC rules, of the ratio of the annual total compensation of our CEO to the median of the annual total compensation of our other employees. We determined our median employee as of December 31, 2025, based on a consistently applied compensation measure defined as the sum of base salary, target bonus and LTI target value. We annualized pay for employees who commenced employment during 2025.</w:t>
      </w:r>
    </w:p>
    <w:p>
      <w:pPr>
        <w:spacing w:after="0" w:line="70"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Our median employee is a full-time employee based in the U.S. In December 2025, when we determined the median employee, approximately 56% of our workforce was based in the U.S. with the remaining approximately 44% of our workforce based in the rest of the world. In addition, approximately 98% of our workforce was full-time.</w:t>
      </w:r>
    </w:p>
    <w:p>
      <w:pPr>
        <w:spacing w:after="0" w:line="63"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For our median employee, annual total compensation was calculated in accordance with the SEC’s rules for the Summary Compensation Table, including salary, bonus, LTI grant date fair value and value of certain benefits provided. For Mr. Viehbacher, who was CEO at the time we identified our median employee, annual total compensation is equal to the amount included in the “Total” column of the Summary Compensation Table, which results in an annual total compensation for 2025 of $23,646,004. The annual total compensation of the median employee, as determined in accordance with the SEC’s rules, for 2025 was $208,335. Based on the foregoing, our estimate of the ratio of the annual total compensation of our CEO to the median of the annual total compensation of our other employees was 113 to 1. Given the different methodologies, estimates, assumptions and exclusions that other public companies use to determine an estimate of their pay ratio, the estimated ratio reported above should not be used as a basis for comparison between companies.</w:t>
      </w:r>
    </w:p>
    <w:p>
      <w:pPr>
        <w:spacing w:after="0" w:line="129"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-61-</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Pay Versus Performance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Pay Versus Performance</w:t>
      </w:r>
    </w:p>
    <w:p>
      <w:pPr>
        <w:spacing w:after="0" w:line="108" w:lineRule="exact"/>
        <w:rPr>
          <w:sz w:val="20"/>
          <w:szCs w:val="20"/>
          <w:color w:val="auto"/>
        </w:rPr>
      </w:pPr>
    </w:p>
    <w:p>
      <w:pPr>
        <w:ind w:left="120" w:right="360"/>
        <w:spacing w:after="0" w:line="259" w:lineRule="auto"/>
        <w:rPr>
          <w:sz w:val="20"/>
          <w:szCs w:val="20"/>
          <w:color w:val="auto"/>
        </w:rPr>
      </w:pPr>
      <w:r>
        <w:rPr>
          <w:rFonts w:ascii="Arial" w:cs="Arial" w:eastAsia="Arial" w:hAnsi="Arial"/>
          <w:sz w:val="16"/>
          <w:szCs w:val="16"/>
          <w:color w:val="auto"/>
        </w:rPr>
        <w:t>As discussed in our CD&amp;A above, our CMDC has implemented executive compensation programs designed to link a substantial part of our NEOs compensation to financial, strategic and market-based measures and align realizable compensation with stockholder returns. The following table sets forth additional compensation information for our NEOs, calculated in accordance with SEC regulations, for fiscal years 2025, 2024, 2023, 2022 and 2021.</w:t>
      </w:r>
    </w:p>
    <w:p>
      <w:pPr>
        <w:spacing w:after="0" w:line="70"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Pay versus Performance Tabular Disclosure: The table below contains information about the relationship between compensation actually paid, as computed in accordance with SEC rules, to our CEO and non-CEO NEOs as a group, and our financial performance for the five years 2021 – 2025. The cumulative Total Stockholder Return depicts a hypothetical $100 investment in our common stock on December 31, 2020, and shows the value of that investment over time for each calendar year. A hypothetical $100 investment in the NBI using the same methodology is shown for comparison.</w:t>
      </w:r>
    </w:p>
    <w:p>
      <w:pPr>
        <w:spacing w:after="0" w:line="70"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The CMDC did not consider the PVP disclosure below in making its pay decisions for any of the fiscal years shown. In addition, the average non-CEO NEO incumbents differ year to year and may comprise different roles with different individual and market-based considerations impacting compensation decisions. Comparing the summary compensation table total average and compensation actually paid average for the non-CEO NEOs year-over-year does not accurately depict changes in these values for the same individuals.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Narrative to Pay versus Performance Table</w:t>
      </w:r>
    </w:p>
    <w:p>
      <w:pPr>
        <w:spacing w:after="0" w:line="113"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For the fiscal year ending December 31, 2025, the most important financial measures we identified for the purposes of the PVP disclosure requirement linking compensation actually paid to our NEOs to company performance are TSR, total revenue and growth product revenue, EPS, and performance against our pipeline milestone metrics. CAP reflects, among other items, adjustments to the fair value of equity awards during the years presented as well as expired and unearned awards. Factors impacting the fair value of equity awards include the price of our common stock at year end, as well as the projected and actual achievement of performance goals under our equity awards. These adjustments contributed significantly to the CAP value reported for each year. LTI awards represent a large percentage of our NEOs’ target compensation. Because the value of our LTI awards is tied to the value of our common stock, rTSR will have a significant influence on the value of such awards and thereafter aligns the value of realizable pay to long-term stockholder value creation. This was demonstrated in both the 2022 and 2023 PSU Programs when rTSR achievement was below the 25th percentile resulting in no payout value, consistent with the program design. This had a significant impact on the realizable pay of our executives. It is important to note that the CMDC has not provided any special awards or adjustments to offset these results, further demonstrating our commitment to pay outcomes under our pay for performance programs. Revenue and EPS were significant components in the STI program scorecard for each of the presented years and are important measures of our company’s financial performance. Net income is included for disclosure requirements, but there is no relationship between net income and CAP in our incentive plans except where it applies to EPS. Successfully advancing therapies through our pipeline and performing against our pipeline milestone metrics are key value drivers for our company’s long-term growth. Pipeline performance has also driven significant changes in the price of our common stock, and therefore impacts the CAP calculation. We recognize our pipeline as a critical area of focus for our strategy and the long-term success of our company.</w:t>
      </w:r>
    </w:p>
    <w:p>
      <w:pPr>
        <w:spacing w:after="0" w:line="207" w:lineRule="exact"/>
        <w:rPr>
          <w:sz w:val="20"/>
          <w:szCs w:val="20"/>
          <w:color w:val="auto"/>
        </w:rPr>
      </w:pPr>
    </w:p>
    <w:tbl>
      <w:tblPr>
        <w:tblLayout w:type="fixed"/>
        <w:tblInd w:w="130" w:type="dxa"/>
        <w:tblCellMar>
          <w:top w:w="0" w:type="dxa"/>
          <w:left w:w="0" w:type="dxa"/>
          <w:bottom w:w="0" w:type="dxa"/>
          <w:right w:w="0" w:type="dxa"/>
        </w:tblCellMar>
      </w:tblPr>
      <w:tr>
        <w:trPr>
          <w:trHeight w:val="144"/>
        </w:trPr>
        <w:tc>
          <w:tcPr>
            <w:tcW w:w="1860" w:type="dxa"/>
            <w:vAlign w:val="bottom"/>
            <w:tcBorders>
              <w:top w:val="single" w:sz="8" w:color="auto"/>
              <w:left w:val="single" w:sz="8" w:color="auto"/>
            </w:tcBorders>
            <w:shd w:val="clear" w:color="auto" w:fill="0075C9"/>
          </w:tcPr>
          <w:p>
            <w:pPr>
              <w:spacing w:after="0"/>
              <w:rPr>
                <w:sz w:val="12"/>
                <w:szCs w:val="12"/>
                <w:color w:val="auto"/>
              </w:rPr>
            </w:pPr>
          </w:p>
        </w:tc>
        <w:tc>
          <w:tcPr>
            <w:tcW w:w="980" w:type="dxa"/>
            <w:vAlign w:val="bottom"/>
            <w:tcBorders>
              <w:top w:val="single" w:sz="8" w:color="auto"/>
            </w:tcBorders>
            <w:shd w:val="clear" w:color="auto" w:fill="0075C9"/>
          </w:tcPr>
          <w:p>
            <w:pPr>
              <w:spacing w:after="0"/>
              <w:rPr>
                <w:sz w:val="12"/>
                <w:szCs w:val="12"/>
                <w:color w:val="auto"/>
              </w:rPr>
            </w:pPr>
          </w:p>
        </w:tc>
        <w:tc>
          <w:tcPr>
            <w:tcW w:w="960" w:type="dxa"/>
            <w:vAlign w:val="bottom"/>
            <w:tcBorders>
              <w:top w:val="single" w:sz="8" w:color="auto"/>
            </w:tcBorders>
            <w:shd w:val="clear" w:color="auto" w:fill="0075C9"/>
          </w:tcPr>
          <w:p>
            <w:pPr>
              <w:spacing w:after="0"/>
              <w:rPr>
                <w:sz w:val="12"/>
                <w:szCs w:val="12"/>
                <w:color w:val="auto"/>
              </w:rPr>
            </w:pPr>
          </w:p>
        </w:tc>
        <w:tc>
          <w:tcPr>
            <w:tcW w:w="1060" w:type="dxa"/>
            <w:vAlign w:val="bottom"/>
            <w:tcBorders>
              <w:top w:val="single" w:sz="8" w:color="auto"/>
            </w:tcBorders>
            <w:shd w:val="clear" w:color="auto" w:fill="0075C9"/>
          </w:tcPr>
          <w:p>
            <w:pPr>
              <w:spacing w:after="0"/>
              <w:rPr>
                <w:sz w:val="12"/>
                <w:szCs w:val="12"/>
                <w:color w:val="auto"/>
              </w:rPr>
            </w:pPr>
          </w:p>
        </w:tc>
        <w:tc>
          <w:tcPr>
            <w:tcW w:w="1080" w:type="dxa"/>
            <w:vAlign w:val="bottom"/>
            <w:tcBorders>
              <w:top w:val="single" w:sz="8" w:color="auto"/>
            </w:tcBorders>
            <w:shd w:val="clear" w:color="auto" w:fill="0075C9"/>
          </w:tcPr>
          <w:p>
            <w:pPr>
              <w:spacing w:after="0"/>
              <w:rPr>
                <w:sz w:val="12"/>
                <w:szCs w:val="12"/>
                <w:color w:val="auto"/>
              </w:rPr>
            </w:pPr>
          </w:p>
        </w:tc>
        <w:tc>
          <w:tcPr>
            <w:tcW w:w="880" w:type="dxa"/>
            <w:vAlign w:val="bottom"/>
            <w:tcBorders>
              <w:top w:val="single" w:sz="8" w:color="auto"/>
            </w:tcBorders>
            <w:shd w:val="clear" w:color="auto" w:fill="0075C9"/>
          </w:tcPr>
          <w:p>
            <w:pPr>
              <w:spacing w:after="0"/>
              <w:rPr>
                <w:sz w:val="12"/>
                <w:szCs w:val="12"/>
                <w:color w:val="auto"/>
              </w:rPr>
            </w:pPr>
          </w:p>
        </w:tc>
        <w:tc>
          <w:tcPr>
            <w:tcW w:w="1080" w:type="dxa"/>
            <w:vAlign w:val="bottom"/>
            <w:tcBorders>
              <w:top w:val="single" w:sz="8" w:color="auto"/>
            </w:tcBorders>
            <w:shd w:val="clear" w:color="auto" w:fill="0075C9"/>
          </w:tcPr>
          <w:p>
            <w:pPr>
              <w:spacing w:after="0"/>
              <w:rPr>
                <w:sz w:val="12"/>
                <w:szCs w:val="12"/>
                <w:color w:val="auto"/>
              </w:rPr>
            </w:pPr>
          </w:p>
        </w:tc>
        <w:tc>
          <w:tcPr>
            <w:tcW w:w="860" w:type="dxa"/>
            <w:vAlign w:val="bottom"/>
            <w:tcBorders>
              <w:top w:val="single" w:sz="8" w:color="auto"/>
            </w:tcBorders>
            <w:shd w:val="clear" w:color="auto" w:fill="0075C9"/>
          </w:tcPr>
          <w:p>
            <w:pPr>
              <w:spacing w:after="0"/>
              <w:rPr>
                <w:sz w:val="12"/>
                <w:szCs w:val="12"/>
                <w:color w:val="auto"/>
              </w:rPr>
            </w:pPr>
          </w:p>
        </w:tc>
        <w:tc>
          <w:tcPr>
            <w:tcW w:w="840" w:type="dxa"/>
            <w:vAlign w:val="bottom"/>
            <w:tcBorders>
              <w:top w:val="single" w:sz="8" w:color="auto"/>
            </w:tcBorders>
            <w:shd w:val="clear" w:color="auto" w:fill="0075C9"/>
          </w:tcPr>
          <w:p>
            <w:pPr>
              <w:jc w:val="center"/>
              <w:spacing w:after="0" w:line="144" w:lineRule="exact"/>
              <w:rPr>
                <w:sz w:val="20"/>
                <w:szCs w:val="20"/>
                <w:color w:val="auto"/>
              </w:rPr>
            </w:pPr>
            <w:r>
              <w:rPr>
                <w:rFonts w:ascii="Arial" w:cs="Arial" w:eastAsia="Arial" w:hAnsi="Arial"/>
                <w:sz w:val="13"/>
                <w:szCs w:val="13"/>
                <w:color w:val="FFFFFF"/>
                <w:w w:val="92"/>
              </w:rPr>
              <w:t>Value of</w:t>
            </w:r>
          </w:p>
        </w:tc>
        <w:tc>
          <w:tcPr>
            <w:tcW w:w="620" w:type="dxa"/>
            <w:vAlign w:val="bottom"/>
            <w:tcBorders>
              <w:top w:val="single" w:sz="8" w:color="auto"/>
            </w:tcBorders>
            <w:shd w:val="clear" w:color="auto" w:fill="0075C9"/>
          </w:tcPr>
          <w:p>
            <w:pPr>
              <w:spacing w:after="0"/>
              <w:rPr>
                <w:sz w:val="12"/>
                <w:szCs w:val="12"/>
                <w:color w:val="auto"/>
              </w:rPr>
            </w:pPr>
          </w:p>
        </w:tc>
        <w:tc>
          <w:tcPr>
            <w:tcW w:w="820" w:type="dxa"/>
            <w:vAlign w:val="bottom"/>
            <w:tcBorders>
              <w:top w:val="single" w:sz="8" w:color="auto"/>
              <w:right w:val="single" w:sz="8" w:color="auto"/>
            </w:tcBorders>
            <w:shd w:val="clear" w:color="auto" w:fill="0075C9"/>
          </w:tcPr>
          <w:p>
            <w:pPr>
              <w:spacing w:after="0"/>
              <w:rPr>
                <w:sz w:val="12"/>
                <w:szCs w:val="12"/>
                <w:color w:val="auto"/>
              </w:rPr>
            </w:pPr>
          </w:p>
        </w:tc>
      </w:tr>
      <w:tr>
        <w:trPr>
          <w:trHeight w:val="135"/>
        </w:trPr>
        <w:tc>
          <w:tcPr>
            <w:tcW w:w="1860" w:type="dxa"/>
            <w:vAlign w:val="bottom"/>
            <w:tcBorders>
              <w:left w:val="single" w:sz="8" w:color="auto"/>
            </w:tcBorders>
            <w:shd w:val="clear" w:color="auto" w:fill="0075C9"/>
          </w:tcPr>
          <w:p>
            <w:pPr>
              <w:spacing w:after="0"/>
              <w:rPr>
                <w:sz w:val="11"/>
                <w:szCs w:val="11"/>
                <w:color w:val="auto"/>
              </w:rPr>
            </w:pPr>
          </w:p>
        </w:tc>
        <w:tc>
          <w:tcPr>
            <w:tcW w:w="980" w:type="dxa"/>
            <w:vAlign w:val="bottom"/>
            <w:shd w:val="clear" w:color="auto" w:fill="0075C9"/>
          </w:tcPr>
          <w:p>
            <w:pPr>
              <w:spacing w:after="0"/>
              <w:rPr>
                <w:sz w:val="11"/>
                <w:szCs w:val="11"/>
                <w:color w:val="auto"/>
              </w:rPr>
            </w:pPr>
          </w:p>
        </w:tc>
        <w:tc>
          <w:tcPr>
            <w:tcW w:w="960" w:type="dxa"/>
            <w:vAlign w:val="bottom"/>
            <w:shd w:val="clear" w:color="auto" w:fill="0075C9"/>
          </w:tcPr>
          <w:p>
            <w:pPr>
              <w:spacing w:after="0"/>
              <w:rPr>
                <w:sz w:val="11"/>
                <w:szCs w:val="11"/>
                <w:color w:val="auto"/>
              </w:rPr>
            </w:pPr>
          </w:p>
        </w:tc>
        <w:tc>
          <w:tcPr>
            <w:tcW w:w="1060" w:type="dxa"/>
            <w:vAlign w:val="bottom"/>
            <w:shd w:val="clear" w:color="auto" w:fill="0075C9"/>
          </w:tcPr>
          <w:p>
            <w:pPr>
              <w:spacing w:after="0"/>
              <w:rPr>
                <w:sz w:val="11"/>
                <w:szCs w:val="11"/>
                <w:color w:val="auto"/>
              </w:rPr>
            </w:pPr>
          </w:p>
        </w:tc>
        <w:tc>
          <w:tcPr>
            <w:tcW w:w="1080" w:type="dxa"/>
            <w:vAlign w:val="bottom"/>
            <w:shd w:val="clear" w:color="auto" w:fill="0075C9"/>
          </w:tcPr>
          <w:p>
            <w:pPr>
              <w:spacing w:after="0"/>
              <w:rPr>
                <w:sz w:val="11"/>
                <w:szCs w:val="11"/>
                <w:color w:val="auto"/>
              </w:rPr>
            </w:pPr>
          </w:p>
        </w:tc>
        <w:tc>
          <w:tcPr>
            <w:tcW w:w="880" w:type="dxa"/>
            <w:vAlign w:val="bottom"/>
            <w:shd w:val="clear" w:color="auto" w:fill="0075C9"/>
          </w:tcPr>
          <w:p>
            <w:pPr>
              <w:spacing w:after="0"/>
              <w:rPr>
                <w:sz w:val="11"/>
                <w:szCs w:val="11"/>
                <w:color w:val="auto"/>
              </w:rPr>
            </w:pPr>
          </w:p>
        </w:tc>
        <w:tc>
          <w:tcPr>
            <w:tcW w:w="1080" w:type="dxa"/>
            <w:vAlign w:val="bottom"/>
            <w:shd w:val="clear" w:color="auto" w:fill="0075C9"/>
          </w:tcPr>
          <w:p>
            <w:pPr>
              <w:spacing w:after="0"/>
              <w:rPr>
                <w:sz w:val="11"/>
                <w:szCs w:val="11"/>
                <w:color w:val="auto"/>
              </w:rPr>
            </w:pPr>
          </w:p>
        </w:tc>
        <w:tc>
          <w:tcPr>
            <w:tcW w:w="860" w:type="dxa"/>
            <w:vAlign w:val="bottom"/>
            <w:shd w:val="clear" w:color="auto" w:fill="0075C9"/>
          </w:tcPr>
          <w:p>
            <w:pPr>
              <w:spacing w:after="0"/>
              <w:rPr>
                <w:sz w:val="11"/>
                <w:szCs w:val="11"/>
                <w:color w:val="auto"/>
              </w:rPr>
            </w:pPr>
          </w:p>
        </w:tc>
        <w:tc>
          <w:tcPr>
            <w:tcW w:w="84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5"/>
              </w:rPr>
              <w:t>$100 Initial</w:t>
            </w:r>
          </w:p>
        </w:tc>
        <w:tc>
          <w:tcPr>
            <w:tcW w:w="620" w:type="dxa"/>
            <w:vAlign w:val="bottom"/>
            <w:shd w:val="clear" w:color="auto" w:fill="0075C9"/>
          </w:tcPr>
          <w:p>
            <w:pPr>
              <w:spacing w:after="0"/>
              <w:rPr>
                <w:sz w:val="11"/>
                <w:szCs w:val="11"/>
                <w:color w:val="auto"/>
              </w:rPr>
            </w:pPr>
          </w:p>
        </w:tc>
        <w:tc>
          <w:tcPr>
            <w:tcW w:w="820" w:type="dxa"/>
            <w:vAlign w:val="bottom"/>
            <w:tcBorders>
              <w:right w:val="single" w:sz="8" w:color="auto"/>
            </w:tcBorders>
            <w:shd w:val="clear" w:color="auto" w:fill="0075C9"/>
          </w:tcPr>
          <w:p>
            <w:pPr>
              <w:spacing w:after="0"/>
              <w:rPr>
                <w:sz w:val="11"/>
                <w:szCs w:val="11"/>
                <w:color w:val="auto"/>
              </w:rPr>
            </w:pPr>
          </w:p>
        </w:tc>
      </w:tr>
      <w:tr>
        <w:trPr>
          <w:trHeight w:val="135"/>
        </w:trPr>
        <w:tc>
          <w:tcPr>
            <w:tcW w:w="1860" w:type="dxa"/>
            <w:vAlign w:val="bottom"/>
            <w:tcBorders>
              <w:left w:val="single" w:sz="8" w:color="auto"/>
            </w:tcBorders>
            <w:shd w:val="clear" w:color="auto" w:fill="0075C9"/>
          </w:tcPr>
          <w:p>
            <w:pPr>
              <w:spacing w:after="0"/>
              <w:rPr>
                <w:sz w:val="11"/>
                <w:szCs w:val="11"/>
                <w:color w:val="auto"/>
              </w:rPr>
            </w:pPr>
          </w:p>
        </w:tc>
        <w:tc>
          <w:tcPr>
            <w:tcW w:w="980" w:type="dxa"/>
            <w:vAlign w:val="bottom"/>
            <w:shd w:val="clear" w:color="auto" w:fill="0075C9"/>
          </w:tcPr>
          <w:p>
            <w:pPr>
              <w:spacing w:after="0"/>
              <w:rPr>
                <w:sz w:val="11"/>
                <w:szCs w:val="11"/>
                <w:color w:val="auto"/>
              </w:rPr>
            </w:pPr>
          </w:p>
        </w:tc>
        <w:tc>
          <w:tcPr>
            <w:tcW w:w="960" w:type="dxa"/>
            <w:vAlign w:val="bottom"/>
            <w:shd w:val="clear" w:color="auto" w:fill="0075C9"/>
          </w:tcPr>
          <w:p>
            <w:pPr>
              <w:spacing w:after="0"/>
              <w:rPr>
                <w:sz w:val="11"/>
                <w:szCs w:val="11"/>
                <w:color w:val="auto"/>
              </w:rPr>
            </w:pPr>
          </w:p>
        </w:tc>
        <w:tc>
          <w:tcPr>
            <w:tcW w:w="1060" w:type="dxa"/>
            <w:vAlign w:val="bottom"/>
            <w:shd w:val="clear" w:color="auto" w:fill="0075C9"/>
          </w:tcPr>
          <w:p>
            <w:pPr>
              <w:spacing w:after="0"/>
              <w:rPr>
                <w:sz w:val="11"/>
                <w:szCs w:val="11"/>
                <w:color w:val="auto"/>
              </w:rPr>
            </w:pPr>
          </w:p>
        </w:tc>
        <w:tc>
          <w:tcPr>
            <w:tcW w:w="1080" w:type="dxa"/>
            <w:vAlign w:val="bottom"/>
            <w:shd w:val="clear" w:color="auto" w:fill="0075C9"/>
          </w:tcPr>
          <w:p>
            <w:pPr>
              <w:spacing w:after="0"/>
              <w:rPr>
                <w:sz w:val="11"/>
                <w:szCs w:val="11"/>
                <w:color w:val="auto"/>
              </w:rPr>
            </w:pPr>
          </w:p>
        </w:tc>
        <w:tc>
          <w:tcPr>
            <w:tcW w:w="880" w:type="dxa"/>
            <w:vAlign w:val="bottom"/>
            <w:shd w:val="clear" w:color="auto" w:fill="0075C9"/>
          </w:tcPr>
          <w:p>
            <w:pPr>
              <w:spacing w:after="0"/>
              <w:rPr>
                <w:sz w:val="11"/>
                <w:szCs w:val="11"/>
                <w:color w:val="auto"/>
              </w:rPr>
            </w:pPr>
          </w:p>
        </w:tc>
        <w:tc>
          <w:tcPr>
            <w:tcW w:w="1080" w:type="dxa"/>
            <w:vAlign w:val="bottom"/>
            <w:shd w:val="clear" w:color="auto" w:fill="0075C9"/>
          </w:tcPr>
          <w:p>
            <w:pPr>
              <w:spacing w:after="0"/>
              <w:rPr>
                <w:sz w:val="11"/>
                <w:szCs w:val="11"/>
                <w:color w:val="auto"/>
              </w:rPr>
            </w:pPr>
          </w:p>
        </w:tc>
        <w:tc>
          <w:tcPr>
            <w:tcW w:w="860" w:type="dxa"/>
            <w:vAlign w:val="bottom"/>
            <w:shd w:val="clear" w:color="auto" w:fill="0075C9"/>
          </w:tcPr>
          <w:p>
            <w:pPr>
              <w:spacing w:after="0"/>
              <w:rPr>
                <w:sz w:val="11"/>
                <w:szCs w:val="11"/>
                <w:color w:val="auto"/>
              </w:rPr>
            </w:pPr>
          </w:p>
        </w:tc>
        <w:tc>
          <w:tcPr>
            <w:tcW w:w="84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rPr>
              <w:t>Fixed</w:t>
            </w:r>
          </w:p>
        </w:tc>
        <w:tc>
          <w:tcPr>
            <w:tcW w:w="620" w:type="dxa"/>
            <w:vAlign w:val="bottom"/>
            <w:shd w:val="clear" w:color="auto" w:fill="0075C9"/>
          </w:tcPr>
          <w:p>
            <w:pPr>
              <w:spacing w:after="0"/>
              <w:rPr>
                <w:sz w:val="11"/>
                <w:szCs w:val="11"/>
                <w:color w:val="auto"/>
              </w:rPr>
            </w:pPr>
          </w:p>
        </w:tc>
        <w:tc>
          <w:tcPr>
            <w:tcW w:w="820" w:type="dxa"/>
            <w:vAlign w:val="bottom"/>
            <w:tcBorders>
              <w:right w:val="single" w:sz="8" w:color="auto"/>
            </w:tcBorders>
            <w:shd w:val="clear" w:color="auto" w:fill="0075C9"/>
          </w:tcPr>
          <w:p>
            <w:pPr>
              <w:spacing w:after="0"/>
              <w:rPr>
                <w:sz w:val="11"/>
                <w:szCs w:val="11"/>
                <w:color w:val="auto"/>
              </w:rPr>
            </w:pPr>
          </w:p>
        </w:tc>
      </w:tr>
      <w:tr>
        <w:trPr>
          <w:trHeight w:val="135"/>
        </w:trPr>
        <w:tc>
          <w:tcPr>
            <w:tcW w:w="1860" w:type="dxa"/>
            <w:vAlign w:val="bottom"/>
            <w:tcBorders>
              <w:left w:val="single" w:sz="8" w:color="auto"/>
            </w:tcBorders>
            <w:shd w:val="clear" w:color="auto" w:fill="0075C9"/>
          </w:tcPr>
          <w:p>
            <w:pPr>
              <w:spacing w:after="0"/>
              <w:rPr>
                <w:sz w:val="11"/>
                <w:szCs w:val="11"/>
                <w:color w:val="auto"/>
              </w:rPr>
            </w:pPr>
          </w:p>
        </w:tc>
        <w:tc>
          <w:tcPr>
            <w:tcW w:w="980" w:type="dxa"/>
            <w:vAlign w:val="bottom"/>
            <w:shd w:val="clear" w:color="auto" w:fill="0075C9"/>
          </w:tcPr>
          <w:p>
            <w:pPr>
              <w:spacing w:after="0"/>
              <w:rPr>
                <w:sz w:val="11"/>
                <w:szCs w:val="11"/>
                <w:color w:val="auto"/>
              </w:rPr>
            </w:pPr>
          </w:p>
        </w:tc>
        <w:tc>
          <w:tcPr>
            <w:tcW w:w="960" w:type="dxa"/>
            <w:vAlign w:val="bottom"/>
            <w:shd w:val="clear" w:color="auto" w:fill="0075C9"/>
          </w:tcPr>
          <w:p>
            <w:pPr>
              <w:spacing w:after="0"/>
              <w:rPr>
                <w:sz w:val="11"/>
                <w:szCs w:val="11"/>
                <w:color w:val="auto"/>
              </w:rPr>
            </w:pPr>
          </w:p>
        </w:tc>
        <w:tc>
          <w:tcPr>
            <w:tcW w:w="1060" w:type="dxa"/>
            <w:vAlign w:val="bottom"/>
            <w:shd w:val="clear" w:color="auto" w:fill="0075C9"/>
          </w:tcPr>
          <w:p>
            <w:pPr>
              <w:spacing w:after="0"/>
              <w:rPr>
                <w:sz w:val="11"/>
                <w:szCs w:val="11"/>
                <w:color w:val="auto"/>
              </w:rPr>
            </w:pPr>
          </w:p>
        </w:tc>
        <w:tc>
          <w:tcPr>
            <w:tcW w:w="1080" w:type="dxa"/>
            <w:vAlign w:val="bottom"/>
            <w:shd w:val="clear" w:color="auto" w:fill="0075C9"/>
          </w:tcPr>
          <w:p>
            <w:pPr>
              <w:spacing w:after="0"/>
              <w:rPr>
                <w:sz w:val="11"/>
                <w:szCs w:val="11"/>
                <w:color w:val="auto"/>
              </w:rPr>
            </w:pPr>
          </w:p>
        </w:tc>
        <w:tc>
          <w:tcPr>
            <w:tcW w:w="880" w:type="dxa"/>
            <w:vAlign w:val="bottom"/>
            <w:shd w:val="clear" w:color="auto" w:fill="0075C9"/>
          </w:tcPr>
          <w:p>
            <w:pPr>
              <w:spacing w:after="0"/>
              <w:rPr>
                <w:sz w:val="11"/>
                <w:szCs w:val="11"/>
                <w:color w:val="auto"/>
              </w:rPr>
            </w:pPr>
          </w:p>
        </w:tc>
        <w:tc>
          <w:tcPr>
            <w:tcW w:w="1080" w:type="dxa"/>
            <w:vAlign w:val="bottom"/>
            <w:shd w:val="clear" w:color="auto" w:fill="0075C9"/>
          </w:tcPr>
          <w:p>
            <w:pPr>
              <w:spacing w:after="0"/>
              <w:rPr>
                <w:sz w:val="11"/>
                <w:szCs w:val="11"/>
                <w:color w:val="auto"/>
              </w:rPr>
            </w:pPr>
          </w:p>
        </w:tc>
        <w:tc>
          <w:tcPr>
            <w:tcW w:w="8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6"/>
              </w:rPr>
              <w:t>Value of</w:t>
            </w:r>
          </w:p>
        </w:tc>
        <w:tc>
          <w:tcPr>
            <w:tcW w:w="84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7"/>
              </w:rPr>
              <w:t>Investment</w:t>
            </w:r>
          </w:p>
        </w:tc>
        <w:tc>
          <w:tcPr>
            <w:tcW w:w="620" w:type="dxa"/>
            <w:vAlign w:val="bottom"/>
            <w:shd w:val="clear" w:color="auto" w:fill="0075C9"/>
          </w:tcPr>
          <w:p>
            <w:pPr>
              <w:spacing w:after="0"/>
              <w:rPr>
                <w:sz w:val="11"/>
                <w:szCs w:val="11"/>
                <w:color w:val="auto"/>
              </w:rPr>
            </w:pPr>
          </w:p>
        </w:tc>
        <w:tc>
          <w:tcPr>
            <w:tcW w:w="820" w:type="dxa"/>
            <w:vAlign w:val="bottom"/>
            <w:tcBorders>
              <w:right w:val="single" w:sz="8" w:color="auto"/>
            </w:tcBorders>
            <w:shd w:val="clear" w:color="auto" w:fill="0075C9"/>
          </w:tcPr>
          <w:p>
            <w:pPr>
              <w:spacing w:after="0"/>
              <w:rPr>
                <w:sz w:val="11"/>
                <w:szCs w:val="11"/>
                <w:color w:val="auto"/>
              </w:rPr>
            </w:pPr>
          </w:p>
        </w:tc>
      </w:tr>
      <w:tr>
        <w:trPr>
          <w:trHeight w:val="135"/>
        </w:trPr>
        <w:tc>
          <w:tcPr>
            <w:tcW w:w="1860" w:type="dxa"/>
            <w:vAlign w:val="bottom"/>
            <w:tcBorders>
              <w:left w:val="single" w:sz="8" w:color="auto"/>
            </w:tcBorders>
            <w:shd w:val="clear" w:color="auto" w:fill="0075C9"/>
          </w:tcPr>
          <w:p>
            <w:pPr>
              <w:spacing w:after="0"/>
              <w:rPr>
                <w:sz w:val="11"/>
                <w:szCs w:val="11"/>
                <w:color w:val="auto"/>
              </w:rPr>
            </w:pPr>
          </w:p>
        </w:tc>
        <w:tc>
          <w:tcPr>
            <w:tcW w:w="980" w:type="dxa"/>
            <w:vAlign w:val="bottom"/>
            <w:shd w:val="clear" w:color="auto" w:fill="0075C9"/>
          </w:tcPr>
          <w:p>
            <w:pPr>
              <w:spacing w:after="0"/>
              <w:rPr>
                <w:sz w:val="11"/>
                <w:szCs w:val="11"/>
                <w:color w:val="auto"/>
              </w:rPr>
            </w:pPr>
          </w:p>
        </w:tc>
        <w:tc>
          <w:tcPr>
            <w:tcW w:w="960" w:type="dxa"/>
            <w:vAlign w:val="bottom"/>
            <w:shd w:val="clear" w:color="auto" w:fill="0075C9"/>
          </w:tcPr>
          <w:p>
            <w:pPr>
              <w:spacing w:after="0"/>
              <w:rPr>
                <w:sz w:val="11"/>
                <w:szCs w:val="11"/>
                <w:color w:val="auto"/>
              </w:rPr>
            </w:pPr>
          </w:p>
        </w:tc>
        <w:tc>
          <w:tcPr>
            <w:tcW w:w="1060" w:type="dxa"/>
            <w:vAlign w:val="bottom"/>
            <w:shd w:val="clear" w:color="auto" w:fill="0075C9"/>
          </w:tcPr>
          <w:p>
            <w:pPr>
              <w:spacing w:after="0"/>
              <w:rPr>
                <w:sz w:val="11"/>
                <w:szCs w:val="11"/>
                <w:color w:val="auto"/>
              </w:rPr>
            </w:pPr>
          </w:p>
        </w:tc>
        <w:tc>
          <w:tcPr>
            <w:tcW w:w="10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7"/>
              </w:rPr>
              <w:t>Compensation</w:t>
            </w:r>
          </w:p>
        </w:tc>
        <w:tc>
          <w:tcPr>
            <w:tcW w:w="880" w:type="dxa"/>
            <w:vAlign w:val="bottom"/>
            <w:shd w:val="clear" w:color="auto" w:fill="0075C9"/>
          </w:tcPr>
          <w:p>
            <w:pPr>
              <w:spacing w:after="0"/>
              <w:rPr>
                <w:sz w:val="11"/>
                <w:szCs w:val="11"/>
                <w:color w:val="auto"/>
              </w:rPr>
            </w:pPr>
          </w:p>
        </w:tc>
        <w:tc>
          <w:tcPr>
            <w:tcW w:w="10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9"/>
              </w:rPr>
              <w:t>Average</w:t>
            </w:r>
          </w:p>
        </w:tc>
        <w:tc>
          <w:tcPr>
            <w:tcW w:w="8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8"/>
              </w:rPr>
              <w:t>$100 Initial</w:t>
            </w:r>
          </w:p>
        </w:tc>
        <w:tc>
          <w:tcPr>
            <w:tcW w:w="84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4"/>
              </w:rPr>
              <w:t>Based on</w:t>
            </w:r>
          </w:p>
        </w:tc>
        <w:tc>
          <w:tcPr>
            <w:tcW w:w="620" w:type="dxa"/>
            <w:vAlign w:val="bottom"/>
            <w:shd w:val="clear" w:color="auto" w:fill="0075C9"/>
          </w:tcPr>
          <w:p>
            <w:pPr>
              <w:spacing w:after="0"/>
              <w:rPr>
                <w:sz w:val="11"/>
                <w:szCs w:val="11"/>
                <w:color w:val="auto"/>
              </w:rPr>
            </w:pPr>
          </w:p>
        </w:tc>
        <w:tc>
          <w:tcPr>
            <w:tcW w:w="820" w:type="dxa"/>
            <w:vAlign w:val="bottom"/>
            <w:tcBorders>
              <w:right w:val="single" w:sz="8" w:color="auto"/>
            </w:tcBorders>
            <w:shd w:val="clear" w:color="auto" w:fill="0075C9"/>
          </w:tcPr>
          <w:p>
            <w:pPr>
              <w:spacing w:after="0"/>
              <w:rPr>
                <w:sz w:val="11"/>
                <w:szCs w:val="11"/>
                <w:color w:val="auto"/>
              </w:rPr>
            </w:pPr>
          </w:p>
        </w:tc>
      </w:tr>
      <w:tr>
        <w:trPr>
          <w:trHeight w:val="135"/>
        </w:trPr>
        <w:tc>
          <w:tcPr>
            <w:tcW w:w="1860" w:type="dxa"/>
            <w:vAlign w:val="bottom"/>
            <w:tcBorders>
              <w:left w:val="single" w:sz="8" w:color="auto"/>
            </w:tcBorders>
            <w:shd w:val="clear" w:color="auto" w:fill="0075C9"/>
          </w:tcPr>
          <w:p>
            <w:pPr>
              <w:spacing w:after="0"/>
              <w:rPr>
                <w:sz w:val="11"/>
                <w:szCs w:val="11"/>
                <w:color w:val="auto"/>
              </w:rPr>
            </w:pPr>
          </w:p>
        </w:tc>
        <w:tc>
          <w:tcPr>
            <w:tcW w:w="980" w:type="dxa"/>
            <w:vAlign w:val="bottom"/>
            <w:shd w:val="clear" w:color="auto" w:fill="0075C9"/>
          </w:tcPr>
          <w:p>
            <w:pPr>
              <w:spacing w:after="0"/>
              <w:rPr>
                <w:sz w:val="11"/>
                <w:szCs w:val="11"/>
                <w:color w:val="auto"/>
              </w:rPr>
            </w:pPr>
          </w:p>
        </w:tc>
        <w:tc>
          <w:tcPr>
            <w:tcW w:w="9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5"/>
              </w:rPr>
              <w:t>SCT Total</w:t>
            </w:r>
          </w:p>
        </w:tc>
        <w:tc>
          <w:tcPr>
            <w:tcW w:w="10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7"/>
              </w:rPr>
              <w:t>Compensation</w:t>
            </w:r>
          </w:p>
        </w:tc>
        <w:tc>
          <w:tcPr>
            <w:tcW w:w="10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rPr>
              <w:t>Actually</w:t>
            </w:r>
          </w:p>
        </w:tc>
        <w:tc>
          <w:tcPr>
            <w:tcW w:w="8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9"/>
              </w:rPr>
              <w:t>Average</w:t>
            </w:r>
          </w:p>
        </w:tc>
        <w:tc>
          <w:tcPr>
            <w:tcW w:w="10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5"/>
              </w:rPr>
              <w:t>Compensation</w:t>
            </w:r>
          </w:p>
        </w:tc>
        <w:tc>
          <w:tcPr>
            <w:tcW w:w="8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4"/>
              </w:rPr>
              <w:t>Fixed</w:t>
            </w:r>
          </w:p>
        </w:tc>
        <w:tc>
          <w:tcPr>
            <w:tcW w:w="84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8"/>
              </w:rPr>
              <w:t>Nasdaq</w:t>
            </w:r>
          </w:p>
        </w:tc>
        <w:tc>
          <w:tcPr>
            <w:tcW w:w="620" w:type="dxa"/>
            <w:vAlign w:val="bottom"/>
            <w:shd w:val="clear" w:color="auto" w:fill="0075C9"/>
          </w:tcPr>
          <w:p>
            <w:pPr>
              <w:spacing w:after="0"/>
              <w:rPr>
                <w:sz w:val="11"/>
                <w:szCs w:val="11"/>
                <w:color w:val="auto"/>
              </w:rPr>
            </w:pPr>
          </w:p>
        </w:tc>
        <w:tc>
          <w:tcPr>
            <w:tcW w:w="820" w:type="dxa"/>
            <w:vAlign w:val="bottom"/>
            <w:tcBorders>
              <w:right w:val="single" w:sz="8" w:color="auto"/>
            </w:tcBorders>
            <w:shd w:val="clear" w:color="auto" w:fill="0075C9"/>
          </w:tcPr>
          <w:p>
            <w:pPr>
              <w:jc w:val="center"/>
              <w:spacing w:after="0" w:line="135" w:lineRule="exact"/>
              <w:rPr>
                <w:sz w:val="20"/>
                <w:szCs w:val="20"/>
                <w:color w:val="auto"/>
              </w:rPr>
            </w:pPr>
            <w:r>
              <w:rPr>
                <w:rFonts w:ascii="Arial" w:cs="Arial" w:eastAsia="Arial" w:hAnsi="Arial"/>
                <w:sz w:val="13"/>
                <w:szCs w:val="13"/>
                <w:color w:val="FFFFFF"/>
                <w:w w:val="96"/>
              </w:rPr>
              <w:t>Company</w:t>
            </w:r>
          </w:p>
        </w:tc>
      </w:tr>
      <w:tr>
        <w:trPr>
          <w:trHeight w:val="135"/>
        </w:trPr>
        <w:tc>
          <w:tcPr>
            <w:tcW w:w="1860" w:type="dxa"/>
            <w:vAlign w:val="bottom"/>
            <w:tcBorders>
              <w:left w:val="single" w:sz="8" w:color="auto"/>
            </w:tcBorders>
            <w:shd w:val="clear" w:color="auto" w:fill="0075C9"/>
          </w:tcPr>
          <w:p>
            <w:pPr>
              <w:spacing w:after="0"/>
              <w:rPr>
                <w:sz w:val="11"/>
                <w:szCs w:val="11"/>
                <w:color w:val="auto"/>
              </w:rPr>
            </w:pPr>
          </w:p>
        </w:tc>
        <w:tc>
          <w:tcPr>
            <w:tcW w:w="9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5"/>
              </w:rPr>
              <w:t>SCT Total</w:t>
            </w:r>
          </w:p>
        </w:tc>
        <w:tc>
          <w:tcPr>
            <w:tcW w:w="9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8"/>
              </w:rPr>
              <w:t>for Former</w:t>
            </w:r>
          </w:p>
        </w:tc>
        <w:tc>
          <w:tcPr>
            <w:tcW w:w="10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rPr>
              <w:t>Actually</w:t>
            </w:r>
          </w:p>
        </w:tc>
        <w:tc>
          <w:tcPr>
            <w:tcW w:w="10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3"/>
              </w:rPr>
              <w:t>Paid to</w:t>
            </w:r>
          </w:p>
        </w:tc>
        <w:tc>
          <w:tcPr>
            <w:tcW w:w="8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5"/>
              </w:rPr>
              <w:t>SCT Total</w:t>
            </w:r>
          </w:p>
        </w:tc>
        <w:tc>
          <w:tcPr>
            <w:tcW w:w="10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6"/>
              </w:rPr>
              <w:t>Actually</w:t>
            </w:r>
          </w:p>
        </w:tc>
        <w:tc>
          <w:tcPr>
            <w:tcW w:w="8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7"/>
              </w:rPr>
              <w:t>Investment</w:t>
            </w:r>
          </w:p>
        </w:tc>
        <w:tc>
          <w:tcPr>
            <w:tcW w:w="84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6"/>
              </w:rPr>
              <w:t>Biotech</w:t>
            </w:r>
          </w:p>
        </w:tc>
        <w:tc>
          <w:tcPr>
            <w:tcW w:w="62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88"/>
              </w:rPr>
              <w:t>Net</w:t>
            </w:r>
          </w:p>
        </w:tc>
        <w:tc>
          <w:tcPr>
            <w:tcW w:w="820" w:type="dxa"/>
            <w:vAlign w:val="bottom"/>
            <w:tcBorders>
              <w:right w:val="single" w:sz="8" w:color="auto"/>
            </w:tcBorders>
            <w:shd w:val="clear" w:color="auto" w:fill="0075C9"/>
          </w:tcPr>
          <w:p>
            <w:pPr>
              <w:jc w:val="center"/>
              <w:spacing w:after="0" w:line="135" w:lineRule="exact"/>
              <w:rPr>
                <w:sz w:val="20"/>
                <w:szCs w:val="20"/>
                <w:color w:val="auto"/>
              </w:rPr>
            </w:pPr>
            <w:r>
              <w:rPr>
                <w:rFonts w:ascii="Arial" w:cs="Arial" w:eastAsia="Arial" w:hAnsi="Arial"/>
                <w:sz w:val="13"/>
                <w:szCs w:val="13"/>
                <w:color w:val="FFFFFF"/>
                <w:w w:val="94"/>
              </w:rPr>
              <w:t>Selected</w:t>
            </w:r>
          </w:p>
        </w:tc>
      </w:tr>
      <w:tr>
        <w:trPr>
          <w:trHeight w:val="135"/>
        </w:trPr>
        <w:tc>
          <w:tcPr>
            <w:tcW w:w="1860" w:type="dxa"/>
            <w:vAlign w:val="bottom"/>
            <w:tcBorders>
              <w:left w:val="single" w:sz="8" w:color="auto"/>
            </w:tcBorders>
            <w:shd w:val="clear" w:color="auto" w:fill="0075C9"/>
          </w:tcPr>
          <w:p>
            <w:pPr>
              <w:ind w:left="160"/>
              <w:spacing w:after="0" w:line="135" w:lineRule="exact"/>
              <w:rPr>
                <w:sz w:val="20"/>
                <w:szCs w:val="20"/>
                <w:color w:val="auto"/>
              </w:rPr>
            </w:pPr>
            <w:r>
              <w:rPr>
                <w:rFonts w:ascii="Arial" w:cs="Arial" w:eastAsia="Arial" w:hAnsi="Arial"/>
                <w:sz w:val="13"/>
                <w:szCs w:val="13"/>
                <w:color w:val="FFFFFF"/>
              </w:rPr>
              <w:t>  Fiscal</w:t>
            </w:r>
          </w:p>
        </w:tc>
        <w:tc>
          <w:tcPr>
            <w:tcW w:w="9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5"/>
              </w:rPr>
              <w:t>for CEO: C.</w:t>
            </w:r>
          </w:p>
        </w:tc>
        <w:tc>
          <w:tcPr>
            <w:tcW w:w="9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6"/>
              </w:rPr>
              <w:t>CEO: M.</w:t>
            </w:r>
          </w:p>
        </w:tc>
        <w:tc>
          <w:tcPr>
            <w:tcW w:w="10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3"/>
              </w:rPr>
              <w:t>Paid to</w:t>
            </w:r>
          </w:p>
        </w:tc>
        <w:tc>
          <w:tcPr>
            <w:tcW w:w="10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rPr>
              <w:t>Former</w:t>
            </w:r>
          </w:p>
        </w:tc>
        <w:tc>
          <w:tcPr>
            <w:tcW w:w="8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7"/>
              </w:rPr>
              <w:t>for Other</w:t>
            </w:r>
          </w:p>
        </w:tc>
        <w:tc>
          <w:tcPr>
            <w:tcW w:w="108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8"/>
              </w:rPr>
              <w:t>Paid for Other</w:t>
            </w:r>
          </w:p>
        </w:tc>
        <w:tc>
          <w:tcPr>
            <w:tcW w:w="86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8"/>
              </w:rPr>
              <w:t>Based on</w:t>
            </w:r>
          </w:p>
        </w:tc>
        <w:tc>
          <w:tcPr>
            <w:tcW w:w="84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rPr>
              <w:t>Index</w:t>
            </w:r>
          </w:p>
        </w:tc>
        <w:tc>
          <w:tcPr>
            <w:tcW w:w="620" w:type="dxa"/>
            <w:vAlign w:val="bottom"/>
            <w:shd w:val="clear" w:color="auto" w:fill="0075C9"/>
          </w:tcPr>
          <w:p>
            <w:pPr>
              <w:jc w:val="center"/>
              <w:spacing w:after="0" w:line="135" w:lineRule="exact"/>
              <w:rPr>
                <w:sz w:val="20"/>
                <w:szCs w:val="20"/>
                <w:color w:val="auto"/>
              </w:rPr>
            </w:pPr>
            <w:r>
              <w:rPr>
                <w:rFonts w:ascii="Arial" w:cs="Arial" w:eastAsia="Arial" w:hAnsi="Arial"/>
                <w:sz w:val="13"/>
                <w:szCs w:val="13"/>
                <w:color w:val="FFFFFF"/>
                <w:w w:val="98"/>
              </w:rPr>
              <w:t>Income</w:t>
            </w:r>
          </w:p>
        </w:tc>
        <w:tc>
          <w:tcPr>
            <w:tcW w:w="820" w:type="dxa"/>
            <w:vAlign w:val="bottom"/>
            <w:tcBorders>
              <w:right w:val="single" w:sz="8" w:color="auto"/>
            </w:tcBorders>
            <w:shd w:val="clear" w:color="auto" w:fill="0075C9"/>
          </w:tcPr>
          <w:p>
            <w:pPr>
              <w:jc w:val="center"/>
              <w:spacing w:after="0" w:line="135" w:lineRule="exact"/>
              <w:rPr>
                <w:sz w:val="20"/>
                <w:szCs w:val="20"/>
                <w:color w:val="auto"/>
              </w:rPr>
            </w:pPr>
            <w:r>
              <w:rPr>
                <w:rFonts w:ascii="Arial" w:cs="Arial" w:eastAsia="Arial" w:hAnsi="Arial"/>
                <w:sz w:val="13"/>
                <w:szCs w:val="13"/>
                <w:color w:val="FFFFFF"/>
                <w:w w:val="95"/>
              </w:rPr>
              <w:t>Measure:</w:t>
            </w:r>
          </w:p>
        </w:tc>
      </w:tr>
      <w:tr>
        <w:trPr>
          <w:trHeight w:val="153"/>
        </w:trPr>
        <w:tc>
          <w:tcPr>
            <w:tcW w:w="1860" w:type="dxa"/>
            <w:vAlign w:val="bottom"/>
            <w:tcBorders>
              <w:left w:val="single" w:sz="8" w:color="auto"/>
            </w:tcBorders>
            <w:shd w:val="clear" w:color="auto" w:fill="0075C9"/>
          </w:tcPr>
          <w:p>
            <w:pPr>
              <w:ind w:left="160"/>
              <w:spacing w:after="0"/>
              <w:rPr>
                <w:sz w:val="20"/>
                <w:szCs w:val="20"/>
                <w:color w:val="auto"/>
              </w:rPr>
            </w:pPr>
            <w:r>
              <w:rPr>
                <w:rFonts w:ascii="Arial" w:cs="Arial" w:eastAsia="Arial" w:hAnsi="Arial"/>
                <w:sz w:val="13"/>
                <w:szCs w:val="13"/>
                <w:color w:val="FFFFFF"/>
              </w:rPr>
              <w:t>  Year</w:t>
            </w:r>
          </w:p>
        </w:tc>
        <w:tc>
          <w:tcPr>
            <w:tcW w:w="98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2"/>
              </w:rPr>
              <w:t>Viehbacher</w:t>
            </w:r>
            <w:r>
              <w:rPr>
                <w:rFonts w:ascii="Arial" w:cs="Arial" w:eastAsia="Arial" w:hAnsi="Arial"/>
                <w:sz w:val="9"/>
                <w:szCs w:val="9"/>
                <w:color w:val="FFFFFF"/>
                <w:w w:val="92"/>
                <w:vertAlign w:val="superscript"/>
              </w:rPr>
              <w:t>(1)</w:t>
            </w:r>
          </w:p>
        </w:tc>
        <w:tc>
          <w:tcPr>
            <w:tcW w:w="96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3"/>
              </w:rPr>
              <w:t>Vounatsos</w:t>
            </w:r>
            <w:r>
              <w:rPr>
                <w:rFonts w:ascii="Arial" w:cs="Arial" w:eastAsia="Arial" w:hAnsi="Arial"/>
                <w:sz w:val="9"/>
                <w:szCs w:val="9"/>
                <w:color w:val="FFFFFF"/>
                <w:w w:val="93"/>
                <w:vertAlign w:val="superscript"/>
              </w:rPr>
              <w:t>(1)</w:t>
            </w:r>
          </w:p>
        </w:tc>
        <w:tc>
          <w:tcPr>
            <w:tcW w:w="106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5"/>
              </w:rPr>
              <w:t>CEO</w:t>
            </w:r>
            <w:r>
              <w:rPr>
                <w:rFonts w:ascii="Arial" w:cs="Arial" w:eastAsia="Arial" w:hAnsi="Arial"/>
                <w:sz w:val="9"/>
                <w:szCs w:val="9"/>
                <w:color w:val="FFFFFF"/>
                <w:w w:val="95"/>
                <w:vertAlign w:val="superscript"/>
              </w:rPr>
              <w:t>(2)</w:t>
            </w:r>
          </w:p>
        </w:tc>
        <w:tc>
          <w:tcPr>
            <w:tcW w:w="108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5"/>
              </w:rPr>
              <w:t>CEO</w:t>
            </w:r>
            <w:r>
              <w:rPr>
                <w:rFonts w:ascii="Arial" w:cs="Arial" w:eastAsia="Arial" w:hAnsi="Arial"/>
                <w:sz w:val="9"/>
                <w:szCs w:val="9"/>
                <w:color w:val="FFFFFF"/>
                <w:w w:val="95"/>
                <w:vertAlign w:val="superscript"/>
              </w:rPr>
              <w:t>(2)</w:t>
            </w:r>
          </w:p>
        </w:tc>
        <w:tc>
          <w:tcPr>
            <w:tcW w:w="88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5"/>
              </w:rPr>
              <w:t>NEOs</w:t>
            </w:r>
            <w:r>
              <w:rPr>
                <w:rFonts w:ascii="Arial" w:cs="Arial" w:eastAsia="Arial" w:hAnsi="Arial"/>
                <w:sz w:val="9"/>
                <w:szCs w:val="9"/>
                <w:color w:val="FFFFFF"/>
                <w:w w:val="95"/>
                <w:vertAlign w:val="superscript"/>
              </w:rPr>
              <w:t>(3)</w:t>
            </w:r>
          </w:p>
        </w:tc>
        <w:tc>
          <w:tcPr>
            <w:tcW w:w="108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5"/>
              </w:rPr>
              <w:t>NEOs</w:t>
            </w:r>
            <w:r>
              <w:rPr>
                <w:rFonts w:ascii="Arial" w:cs="Arial" w:eastAsia="Arial" w:hAnsi="Arial"/>
                <w:sz w:val="9"/>
                <w:szCs w:val="9"/>
                <w:color w:val="FFFFFF"/>
                <w:w w:val="95"/>
                <w:vertAlign w:val="superscript"/>
              </w:rPr>
              <w:t>(3)</w:t>
            </w:r>
          </w:p>
        </w:tc>
        <w:tc>
          <w:tcPr>
            <w:tcW w:w="86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89"/>
              </w:rPr>
              <w:t>TSR</w:t>
            </w:r>
            <w:r>
              <w:rPr>
                <w:rFonts w:ascii="Arial" w:cs="Arial" w:eastAsia="Arial" w:hAnsi="Arial"/>
                <w:sz w:val="9"/>
                <w:szCs w:val="9"/>
                <w:color w:val="FFFFFF"/>
                <w:w w:val="89"/>
                <w:vertAlign w:val="superscript"/>
              </w:rPr>
              <w:t>(4)</w:t>
            </w:r>
          </w:p>
        </w:tc>
        <w:tc>
          <w:tcPr>
            <w:tcW w:w="84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5"/>
              </w:rPr>
              <w:t>TSR</w:t>
            </w:r>
            <w:r>
              <w:rPr>
                <w:rFonts w:ascii="Arial" w:cs="Arial" w:eastAsia="Arial" w:hAnsi="Arial"/>
                <w:sz w:val="9"/>
                <w:szCs w:val="9"/>
                <w:color w:val="FFFFFF"/>
                <w:w w:val="95"/>
                <w:vertAlign w:val="superscript"/>
              </w:rPr>
              <w:t>(4)</w:t>
            </w:r>
          </w:p>
        </w:tc>
        <w:tc>
          <w:tcPr>
            <w:tcW w:w="620" w:type="dxa"/>
            <w:vAlign w:val="bottom"/>
            <w:shd w:val="clear" w:color="auto" w:fill="0075C9"/>
          </w:tcPr>
          <w:p>
            <w:pPr>
              <w:jc w:val="center"/>
              <w:spacing w:after="0"/>
              <w:rPr>
                <w:sz w:val="20"/>
                <w:szCs w:val="20"/>
                <w:color w:val="auto"/>
              </w:rPr>
            </w:pPr>
            <w:r>
              <w:rPr>
                <w:rFonts w:ascii="Arial" w:cs="Arial" w:eastAsia="Arial" w:hAnsi="Arial"/>
                <w:sz w:val="13"/>
                <w:szCs w:val="13"/>
                <w:color w:val="FFFFFF"/>
                <w:w w:val="97"/>
              </w:rPr>
              <w:t>($M)</w:t>
            </w:r>
          </w:p>
        </w:tc>
        <w:tc>
          <w:tcPr>
            <w:tcW w:w="82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3"/>
                <w:szCs w:val="13"/>
                <w:color w:val="FFFFFF"/>
                <w:w w:val="94"/>
              </w:rPr>
              <w:t>Revenue</w:t>
            </w:r>
            <w:r>
              <w:rPr>
                <w:rFonts w:ascii="Arial" w:cs="Arial" w:eastAsia="Arial" w:hAnsi="Arial"/>
                <w:sz w:val="9"/>
                <w:szCs w:val="9"/>
                <w:color w:val="FFFFFF"/>
                <w:w w:val="94"/>
                <w:vertAlign w:val="superscript"/>
              </w:rPr>
              <w:t>(5)</w:t>
            </w:r>
          </w:p>
        </w:tc>
      </w:tr>
      <w:tr>
        <w:trPr>
          <w:trHeight w:val="223"/>
        </w:trPr>
        <w:tc>
          <w:tcPr>
            <w:tcW w:w="186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3"/>
                <w:szCs w:val="13"/>
                <w:color w:val="auto"/>
              </w:rPr>
              <w:t>  2025</w:t>
            </w:r>
          </w:p>
        </w:tc>
        <w:tc>
          <w:tcPr>
            <w:tcW w:w="9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6"/>
              </w:rPr>
              <w:t>$23,646,004</w:t>
            </w:r>
          </w:p>
        </w:tc>
        <w:tc>
          <w:tcPr>
            <w:tcW w:w="9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10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6"/>
              </w:rPr>
              <w:t>$27,664,592</w:t>
            </w:r>
          </w:p>
        </w:tc>
        <w:tc>
          <w:tcPr>
            <w:tcW w:w="10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8"/>
              </w:rPr>
              <w:t>$5,871,297</w:t>
            </w:r>
          </w:p>
        </w:tc>
        <w:tc>
          <w:tcPr>
            <w:tcW w:w="10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8"/>
              </w:rPr>
              <w:t>$6,296,156</w:t>
            </w:r>
          </w:p>
        </w:tc>
        <w:tc>
          <w:tcPr>
            <w:tcW w:w="8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5"/>
              </w:rPr>
              <w:t>$71.87</w:t>
            </w:r>
          </w:p>
        </w:tc>
        <w:tc>
          <w:tcPr>
            <w:tcW w:w="8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3"/>
              </w:rPr>
              <w:t>$119.92</w:t>
            </w:r>
          </w:p>
        </w:tc>
        <w:tc>
          <w:tcPr>
            <w:tcW w:w="6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5"/>
              </w:rPr>
              <w:t>$1,293</w:t>
            </w:r>
          </w:p>
        </w:tc>
        <w:tc>
          <w:tcPr>
            <w:tcW w:w="820" w:type="dxa"/>
            <w:vAlign w:val="bottom"/>
            <w:tcBorders>
              <w:bottom w:val="single" w:sz="8" w:color="E5F1F9"/>
              <w:right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4"/>
              </w:rPr>
              <w:t>$9,775M</w:t>
            </w:r>
          </w:p>
        </w:tc>
      </w:tr>
      <w:tr>
        <w:trPr>
          <w:trHeight w:val="223"/>
        </w:trPr>
        <w:tc>
          <w:tcPr>
            <w:tcW w:w="1860" w:type="dxa"/>
            <w:vAlign w:val="bottom"/>
            <w:tcBorders>
              <w:left w:val="single" w:sz="8" w:color="auto"/>
              <w:bottom w:val="single" w:sz="8" w:color="B2D5EE"/>
            </w:tcBorders>
            <w:shd w:val="clear" w:color="auto" w:fill="B2D5EE"/>
          </w:tcPr>
          <w:p>
            <w:pPr>
              <w:ind w:left="160"/>
              <w:spacing w:after="0"/>
              <w:rPr>
                <w:sz w:val="20"/>
                <w:szCs w:val="20"/>
                <w:color w:val="auto"/>
              </w:rPr>
            </w:pPr>
            <w:r>
              <w:rPr>
                <w:rFonts w:ascii="Arial" w:cs="Arial" w:eastAsia="Arial" w:hAnsi="Arial"/>
                <w:sz w:val="13"/>
                <w:szCs w:val="13"/>
                <w:color w:val="auto"/>
              </w:rPr>
              <w:t>  2024</w:t>
            </w:r>
          </w:p>
        </w:tc>
        <w:tc>
          <w:tcPr>
            <w:tcW w:w="9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6"/>
              </w:rPr>
              <w:t>$24,166,665</w:t>
            </w:r>
          </w:p>
        </w:tc>
        <w:tc>
          <w:tcPr>
            <w:tcW w:w="9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1"/>
              </w:rPr>
              <w:t>—</w:t>
            </w:r>
          </w:p>
        </w:tc>
        <w:tc>
          <w:tcPr>
            <w:tcW w:w="10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5"/>
              </w:rPr>
              <w:t>$1,250,864</w:t>
            </w:r>
          </w:p>
        </w:tc>
        <w:tc>
          <w:tcPr>
            <w:tcW w:w="10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8"/>
              </w:rPr>
              <w:t>$6,365,146</w:t>
            </w:r>
          </w:p>
        </w:tc>
        <w:tc>
          <w:tcPr>
            <w:tcW w:w="10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5"/>
              </w:rPr>
              <w:t>($228,942)</w:t>
            </w:r>
          </w:p>
        </w:tc>
        <w:tc>
          <w:tcPr>
            <w:tcW w:w="8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5"/>
              </w:rPr>
              <w:t>$62.45</w:t>
            </w:r>
          </w:p>
        </w:tc>
        <w:tc>
          <w:tcPr>
            <w:tcW w:w="84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5"/>
              </w:rPr>
              <w:t>$90.58</w:t>
            </w:r>
          </w:p>
        </w:tc>
        <w:tc>
          <w:tcPr>
            <w:tcW w:w="6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5"/>
              </w:rPr>
              <w:t>$1,632</w:t>
            </w:r>
          </w:p>
        </w:tc>
        <w:tc>
          <w:tcPr>
            <w:tcW w:w="820" w:type="dxa"/>
            <w:vAlign w:val="bottom"/>
            <w:tcBorders>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4"/>
              </w:rPr>
              <w:t>$9,032M</w:t>
            </w:r>
          </w:p>
        </w:tc>
      </w:tr>
      <w:tr>
        <w:trPr>
          <w:trHeight w:val="223"/>
        </w:trPr>
        <w:tc>
          <w:tcPr>
            <w:tcW w:w="186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3"/>
                <w:szCs w:val="13"/>
                <w:color w:val="auto"/>
              </w:rPr>
              <w:t>  2023</w:t>
            </w:r>
          </w:p>
        </w:tc>
        <w:tc>
          <w:tcPr>
            <w:tcW w:w="9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8"/>
              </w:rPr>
              <w:t>$4,069,913</w:t>
            </w:r>
          </w:p>
        </w:tc>
        <w:tc>
          <w:tcPr>
            <w:tcW w:w="9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10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4"/>
              </w:rPr>
              <w:t>($4,498,193)</w:t>
            </w:r>
          </w:p>
        </w:tc>
        <w:tc>
          <w:tcPr>
            <w:tcW w:w="10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8"/>
              </w:rPr>
              <w:t>$6,258,401</w:t>
            </w:r>
          </w:p>
        </w:tc>
        <w:tc>
          <w:tcPr>
            <w:tcW w:w="10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8"/>
              </w:rPr>
              <w:t>$4,222,331</w:t>
            </w:r>
          </w:p>
        </w:tc>
        <w:tc>
          <w:tcPr>
            <w:tcW w:w="8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7"/>
              </w:rPr>
              <w:t>$105.68</w:t>
            </w:r>
          </w:p>
        </w:tc>
        <w:tc>
          <w:tcPr>
            <w:tcW w:w="8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5"/>
              </w:rPr>
              <w:t>$91.84</w:t>
            </w:r>
          </w:p>
        </w:tc>
        <w:tc>
          <w:tcPr>
            <w:tcW w:w="6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5"/>
              </w:rPr>
              <w:t>$1,161</w:t>
            </w:r>
          </w:p>
        </w:tc>
        <w:tc>
          <w:tcPr>
            <w:tcW w:w="820" w:type="dxa"/>
            <w:vAlign w:val="bottom"/>
            <w:tcBorders>
              <w:bottom w:val="single" w:sz="8" w:color="E5F1F9"/>
              <w:right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4"/>
              </w:rPr>
              <w:t>$9,675M</w:t>
            </w:r>
          </w:p>
        </w:tc>
      </w:tr>
      <w:tr>
        <w:trPr>
          <w:trHeight w:val="223"/>
        </w:trPr>
        <w:tc>
          <w:tcPr>
            <w:tcW w:w="1860" w:type="dxa"/>
            <w:vAlign w:val="bottom"/>
            <w:tcBorders>
              <w:left w:val="single" w:sz="8" w:color="auto"/>
              <w:bottom w:val="single" w:sz="8" w:color="B2D5EE"/>
            </w:tcBorders>
            <w:shd w:val="clear" w:color="auto" w:fill="B2D5EE"/>
          </w:tcPr>
          <w:p>
            <w:pPr>
              <w:ind w:left="160"/>
              <w:spacing w:after="0"/>
              <w:rPr>
                <w:sz w:val="20"/>
                <w:szCs w:val="20"/>
                <w:color w:val="auto"/>
              </w:rPr>
            </w:pPr>
            <w:r>
              <w:rPr>
                <w:rFonts w:ascii="Arial" w:cs="Arial" w:eastAsia="Arial" w:hAnsi="Arial"/>
                <w:sz w:val="13"/>
                <w:szCs w:val="13"/>
                <w:color w:val="auto"/>
              </w:rPr>
              <w:t>  2022</w:t>
            </w:r>
          </w:p>
        </w:tc>
        <w:tc>
          <w:tcPr>
            <w:tcW w:w="9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6"/>
              </w:rPr>
              <w:t>$30,488,593</w:t>
            </w:r>
          </w:p>
        </w:tc>
        <w:tc>
          <w:tcPr>
            <w:tcW w:w="9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6"/>
              </w:rPr>
              <w:t>$26,625,221</w:t>
            </w:r>
          </w:p>
        </w:tc>
        <w:tc>
          <w:tcPr>
            <w:tcW w:w="10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6"/>
              </w:rPr>
              <w:t>$27,551,849</w:t>
            </w:r>
          </w:p>
        </w:tc>
        <w:tc>
          <w:tcPr>
            <w:tcW w:w="10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5"/>
              </w:rPr>
              <w:t>$5,898,711</w:t>
            </w:r>
          </w:p>
        </w:tc>
        <w:tc>
          <w:tcPr>
            <w:tcW w:w="8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8"/>
              </w:rPr>
              <w:t>$5,878,461</w:t>
            </w:r>
          </w:p>
        </w:tc>
        <w:tc>
          <w:tcPr>
            <w:tcW w:w="10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8"/>
              </w:rPr>
              <w:t>$4,969,529</w:t>
            </w:r>
          </w:p>
        </w:tc>
        <w:tc>
          <w:tcPr>
            <w:tcW w:w="8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7"/>
              </w:rPr>
              <w:t>$113.09</w:t>
            </w:r>
          </w:p>
        </w:tc>
        <w:tc>
          <w:tcPr>
            <w:tcW w:w="84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5"/>
              </w:rPr>
              <w:t>$88.53</w:t>
            </w:r>
          </w:p>
        </w:tc>
        <w:tc>
          <w:tcPr>
            <w:tcW w:w="6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3"/>
                <w:szCs w:val="13"/>
                <w:color w:val="auto"/>
                <w:w w:val="95"/>
              </w:rPr>
              <w:t>$3,047</w:t>
            </w:r>
          </w:p>
        </w:tc>
        <w:tc>
          <w:tcPr>
            <w:tcW w:w="820" w:type="dxa"/>
            <w:vAlign w:val="bottom"/>
            <w:tcBorders>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3"/>
                <w:szCs w:val="13"/>
                <w:color w:val="auto"/>
                <w:w w:val="96"/>
              </w:rPr>
              <w:t>$10,326M</w:t>
            </w:r>
          </w:p>
        </w:tc>
      </w:tr>
      <w:tr>
        <w:trPr>
          <w:trHeight w:val="223"/>
        </w:trPr>
        <w:tc>
          <w:tcPr>
            <w:tcW w:w="186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3"/>
                <w:szCs w:val="13"/>
                <w:color w:val="auto"/>
              </w:rPr>
              <w:t>  2021</w:t>
            </w:r>
          </w:p>
        </w:tc>
        <w:tc>
          <w:tcPr>
            <w:tcW w:w="9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6"/>
              </w:rPr>
              <w:t>$17,689,665</w:t>
            </w:r>
          </w:p>
        </w:tc>
        <w:tc>
          <w:tcPr>
            <w:tcW w:w="10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6"/>
              </w:rPr>
              <w:t>$15,211,025</w:t>
            </w:r>
          </w:p>
        </w:tc>
        <w:tc>
          <w:tcPr>
            <w:tcW w:w="8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8"/>
              </w:rPr>
              <w:t>$5,761,560</w:t>
            </w:r>
          </w:p>
        </w:tc>
        <w:tc>
          <w:tcPr>
            <w:tcW w:w="10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8"/>
              </w:rPr>
              <w:t>$5,081,944</w:t>
            </w:r>
          </w:p>
        </w:tc>
        <w:tc>
          <w:tcPr>
            <w:tcW w:w="8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5"/>
              </w:rPr>
              <w:t>$97.98</w:t>
            </w:r>
          </w:p>
        </w:tc>
        <w:tc>
          <w:tcPr>
            <w:tcW w:w="8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5"/>
              </w:rPr>
              <w:t>$99.37</w:t>
            </w:r>
          </w:p>
        </w:tc>
        <w:tc>
          <w:tcPr>
            <w:tcW w:w="6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3"/>
                <w:szCs w:val="13"/>
                <w:color w:val="auto"/>
                <w:w w:val="95"/>
              </w:rPr>
              <w:t>$1,556</w:t>
            </w:r>
          </w:p>
        </w:tc>
        <w:tc>
          <w:tcPr>
            <w:tcW w:w="820" w:type="dxa"/>
            <w:vAlign w:val="bottom"/>
            <w:tcBorders>
              <w:bottom w:val="single" w:sz="8" w:color="E5F1F9"/>
              <w:right w:val="single" w:sz="8" w:color="auto"/>
            </w:tcBorders>
            <w:shd w:val="clear" w:color="auto" w:fill="E5F1F9"/>
          </w:tcPr>
          <w:p>
            <w:pPr>
              <w:jc w:val="center"/>
              <w:spacing w:after="0"/>
              <w:rPr>
                <w:sz w:val="20"/>
                <w:szCs w:val="20"/>
                <w:color w:val="auto"/>
              </w:rPr>
            </w:pPr>
            <w:r>
              <w:rPr>
                <w:rFonts w:ascii="Arial" w:cs="Arial" w:eastAsia="Arial" w:hAnsi="Arial"/>
                <w:sz w:val="13"/>
                <w:szCs w:val="13"/>
                <w:color w:val="auto"/>
                <w:w w:val="96"/>
              </w:rPr>
              <w:t>$11,054M</w:t>
            </w:r>
          </w:p>
        </w:tc>
      </w:tr>
      <w:tr>
        <w:trPr>
          <w:trHeight w:val="20"/>
        </w:trPr>
        <w:tc>
          <w:tcPr>
            <w:tcW w:w="186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r>
    </w:tbl>
    <w:p>
      <w:pPr>
        <w:spacing w:after="0" w:line="101"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 to Pay Versus Performance Table</w:t>
      </w:r>
    </w:p>
    <w:p>
      <w:pPr>
        <w:spacing w:after="0" w:line="67" w:lineRule="exact"/>
        <w:rPr>
          <w:sz w:val="20"/>
          <w:szCs w:val="20"/>
          <w:color w:val="auto"/>
        </w:rPr>
      </w:pPr>
    </w:p>
    <w:p>
      <w:pPr>
        <w:ind w:left="540" w:right="460" w:hanging="424"/>
        <w:spacing w:after="0" w:line="248" w:lineRule="auto"/>
        <w:tabs>
          <w:tab w:leader="none" w:pos="5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dollar amounts reported are the amounts of total compensation reported for our CEO, Mr. Viehbacher, and our former CEO, Mr. Vounatsos in the Summary Compensation Table for fiscal years 2025, 2024, 2023, 2022 and 2021. Mr. Vounatsos served as CEO for the full fiscal year 2021, while Mr. Viehbacher and Mr. Vounatsos both served as CEO in fiscal year 2022.</w:t>
      </w:r>
    </w:p>
    <w:p>
      <w:pPr>
        <w:ind w:left="540" w:right="100" w:hanging="424"/>
        <w:spacing w:after="0" w:line="249" w:lineRule="auto"/>
        <w:tabs>
          <w:tab w:leader="none" w:pos="5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“compensation actually paid”, as computed in accordance with SEC rules. The dollar amounts do not reflect the actual amounts of compensation paid to our CEO and other NEOs during the applicable year, but also include (i) the year-end fair value of equity awards granted during the reported year and (ii) the change in fair value of equity awards that were unvested at the end of the prior year, measured through the date the awards vested or were forfeited, or through the end of the reported fiscal year.</w:t>
      </w:r>
    </w:p>
    <w:p>
      <w:pPr>
        <w:spacing w:after="0" w:line="12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-62-</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Pay Versus Performance</w:t>
      </w:r>
    </w:p>
    <w:p>
      <w:pPr>
        <w:spacing w:after="0" w:line="147" w:lineRule="exact"/>
        <w:rPr>
          <w:sz w:val="20"/>
          <w:szCs w:val="20"/>
          <w:color w:val="auto"/>
        </w:rPr>
      </w:pPr>
    </w:p>
    <w:p>
      <w:pPr>
        <w:ind w:left="540" w:right="20" w:hanging="424"/>
        <w:spacing w:after="0" w:line="247" w:lineRule="auto"/>
        <w:tabs>
          <w:tab w:leader="none" w:pos="5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For 2025, reflects compensation information for our NEOs, other than our CEO, as described in the CD&amp;A of this Proxy Statement. For 2024, reflects compensation information for Mr. McDonnell, Ms. Alexander, Dr. Singhal and Ms. Murphy. For 2023, reflects compensation information for Mr. McDonnell, Ms. Alexander, Ms. Murphy and Mr. Izzar. For 2022, reflects compensation information for Mr. McDonnell, Ms. Alexander, Dr. Gregory, Ms. Murphy and Mr. Guindo, our former EVP of Global Product Strategy and Commercialization. For 2021, reflects compensation information for Mr. McDonnell, Ms. Alexander, Mr. Guindo and Dr. Sandrock, our former EVP of R&amp;D.</w:t>
      </w:r>
    </w:p>
    <w:p>
      <w:pPr>
        <w:spacing w:after="0" w:line="161" w:lineRule="exact"/>
        <w:rPr>
          <w:rFonts w:ascii="Arial" w:cs="Arial" w:eastAsia="Arial" w:hAnsi="Arial"/>
          <w:sz w:val="14"/>
          <w:szCs w:val="14"/>
          <w:color w:val="auto"/>
        </w:rPr>
      </w:pPr>
    </w:p>
    <w:p>
      <w:pPr>
        <w:ind w:left="540" w:right="580" w:hanging="424"/>
        <w:spacing w:after="0" w:line="241" w:lineRule="auto"/>
        <w:tabs>
          <w:tab w:leader="none" w:pos="5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Reflects cumulative total stockholder return of the NBI as of December 31, 2025. The NBI is the peer group used by Biogen for the purposes of Item 201(e) of Regulation S-K under the Exchange Act in the Company’s Annual Report on Form 10-K for the year ended December 31, 2025.</w:t>
      </w:r>
    </w:p>
    <w:p>
      <w:pPr>
        <w:ind w:left="540" w:hanging="424"/>
        <w:spacing w:after="0"/>
        <w:tabs>
          <w:tab w:leader="none" w:pos="5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Revenue was adjusted to neutralize the effects of foreign exchange rate fluctuations.</w:t>
      </w:r>
    </w:p>
    <w:p>
      <w:pPr>
        <w:spacing w:after="0" w:line="90"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following tables set forth the adjustments made during each year in the PVP table to arrive at “compensation actually paid” to our Principal Executive Officer during each year.</w:t>
      </w:r>
    </w:p>
    <w:p>
      <w:pPr>
        <w:spacing w:after="0" w:line="55"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1860" w:type="dxa"/>
            <w:vAlign w:val="bottom"/>
            <w:tcBorders>
              <w:top w:val="single" w:sz="8" w:color="auto"/>
              <w:left w:val="single" w:sz="8" w:color="auto"/>
            </w:tcBorders>
            <w:shd w:val="clear" w:color="auto" w:fill="0075C9"/>
          </w:tcPr>
          <w:p>
            <w:pPr>
              <w:spacing w:after="0"/>
              <w:rPr>
                <w:sz w:val="15"/>
                <w:szCs w:val="15"/>
                <w:color w:val="auto"/>
              </w:rPr>
            </w:pPr>
          </w:p>
        </w:tc>
        <w:tc>
          <w:tcPr>
            <w:tcW w:w="1240" w:type="dxa"/>
            <w:vAlign w:val="bottom"/>
            <w:tcBorders>
              <w:top w:val="single" w:sz="8" w:color="auto"/>
            </w:tcBorders>
            <w:shd w:val="clear" w:color="auto" w:fill="0075C9"/>
          </w:tcPr>
          <w:p>
            <w:pPr>
              <w:spacing w:after="0"/>
              <w:rPr>
                <w:sz w:val="15"/>
                <w:szCs w:val="15"/>
                <w:color w:val="auto"/>
              </w:rPr>
            </w:pPr>
          </w:p>
        </w:tc>
        <w:tc>
          <w:tcPr>
            <w:tcW w:w="1180" w:type="dxa"/>
            <w:vAlign w:val="bottom"/>
            <w:tcBorders>
              <w:top w:val="single" w:sz="8" w:color="auto"/>
            </w:tcBorders>
            <w:shd w:val="clear" w:color="auto" w:fill="0075C9"/>
          </w:tcPr>
          <w:p>
            <w:pPr>
              <w:spacing w:after="0"/>
              <w:rPr>
                <w:sz w:val="15"/>
                <w:szCs w:val="15"/>
                <w:color w:val="auto"/>
              </w:rPr>
            </w:pPr>
          </w:p>
        </w:tc>
        <w:tc>
          <w:tcPr>
            <w:tcW w:w="1060" w:type="dxa"/>
            <w:vAlign w:val="bottom"/>
            <w:tcBorders>
              <w:top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Reported</w:t>
            </w:r>
          </w:p>
        </w:tc>
        <w:tc>
          <w:tcPr>
            <w:tcW w:w="1080" w:type="dxa"/>
            <w:vAlign w:val="bottom"/>
            <w:tcBorders>
              <w:top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Reported</w:t>
            </w:r>
          </w:p>
        </w:tc>
        <w:tc>
          <w:tcPr>
            <w:tcW w:w="1100" w:type="dxa"/>
            <w:vAlign w:val="bottom"/>
            <w:tcBorders>
              <w:top w:val="single" w:sz="8" w:color="auto"/>
            </w:tcBorders>
            <w:shd w:val="clear" w:color="auto" w:fill="0075C9"/>
          </w:tcPr>
          <w:p>
            <w:pPr>
              <w:spacing w:after="0"/>
              <w:rPr>
                <w:sz w:val="15"/>
                <w:szCs w:val="15"/>
                <w:color w:val="auto"/>
              </w:rPr>
            </w:pPr>
          </w:p>
        </w:tc>
        <w:tc>
          <w:tcPr>
            <w:tcW w:w="1100" w:type="dxa"/>
            <w:vAlign w:val="bottom"/>
            <w:tcBorders>
              <w:top w:val="single" w:sz="8" w:color="auto"/>
            </w:tcBorders>
            <w:shd w:val="clear" w:color="auto" w:fill="0075C9"/>
          </w:tcPr>
          <w:p>
            <w:pPr>
              <w:spacing w:after="0"/>
              <w:rPr>
                <w:sz w:val="15"/>
                <w:szCs w:val="15"/>
                <w:color w:val="auto"/>
              </w:rPr>
            </w:pPr>
          </w:p>
        </w:tc>
        <w:tc>
          <w:tcPr>
            <w:tcW w:w="1200" w:type="dxa"/>
            <w:vAlign w:val="bottom"/>
            <w:tcBorders>
              <w:top w:val="single" w:sz="8" w:color="auto"/>
            </w:tcBorders>
            <w:shd w:val="clear" w:color="auto" w:fill="0075C9"/>
          </w:tcPr>
          <w:p>
            <w:pPr>
              <w:spacing w:after="0"/>
              <w:rPr>
                <w:sz w:val="15"/>
                <w:szCs w:val="15"/>
                <w:color w:val="auto"/>
              </w:rPr>
            </w:pPr>
          </w:p>
        </w:tc>
        <w:tc>
          <w:tcPr>
            <w:tcW w:w="1220" w:type="dxa"/>
            <w:vAlign w:val="bottom"/>
            <w:tcBorders>
              <w:top w:val="single" w:sz="8" w:color="auto"/>
              <w:right w:val="single" w:sz="8" w:color="auto"/>
            </w:tcBorders>
            <w:shd w:val="clear" w:color="auto" w:fill="0075C9"/>
          </w:tcPr>
          <w:p>
            <w:pPr>
              <w:spacing w:after="0"/>
              <w:rPr>
                <w:sz w:val="15"/>
                <w:szCs w:val="15"/>
                <w:color w:val="auto"/>
              </w:rPr>
            </w:pPr>
          </w:p>
        </w:tc>
      </w:tr>
      <w:tr>
        <w:trPr>
          <w:trHeight w:val="162"/>
        </w:trPr>
        <w:tc>
          <w:tcPr>
            <w:tcW w:w="1860" w:type="dxa"/>
            <w:vAlign w:val="bottom"/>
            <w:tcBorders>
              <w:left w:val="single" w:sz="8" w:color="auto"/>
            </w:tcBorders>
            <w:shd w:val="clear" w:color="auto" w:fill="0075C9"/>
          </w:tcPr>
          <w:p>
            <w:pPr>
              <w:spacing w:after="0"/>
              <w:rPr>
                <w:sz w:val="14"/>
                <w:szCs w:val="14"/>
                <w:color w:val="auto"/>
              </w:rPr>
            </w:pPr>
          </w:p>
        </w:tc>
        <w:tc>
          <w:tcPr>
            <w:tcW w:w="12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Summary</w:t>
            </w:r>
          </w:p>
        </w:tc>
        <w:tc>
          <w:tcPr>
            <w:tcW w:w="118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Summary</w:t>
            </w:r>
          </w:p>
        </w:tc>
        <w:tc>
          <w:tcPr>
            <w:tcW w:w="106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Value of</w:t>
            </w:r>
          </w:p>
        </w:tc>
        <w:tc>
          <w:tcPr>
            <w:tcW w:w="108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Value of</w:t>
            </w:r>
          </w:p>
        </w:tc>
        <w:tc>
          <w:tcPr>
            <w:tcW w:w="1100" w:type="dxa"/>
            <w:vAlign w:val="bottom"/>
            <w:shd w:val="clear" w:color="auto" w:fill="0075C9"/>
          </w:tcPr>
          <w:p>
            <w:pPr>
              <w:spacing w:after="0"/>
              <w:rPr>
                <w:sz w:val="14"/>
                <w:szCs w:val="14"/>
                <w:color w:val="auto"/>
              </w:rPr>
            </w:pPr>
          </w:p>
        </w:tc>
        <w:tc>
          <w:tcPr>
            <w:tcW w:w="110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Equity Award</w:t>
            </w:r>
          </w:p>
        </w:tc>
        <w:tc>
          <w:tcPr>
            <w:tcW w:w="1200" w:type="dxa"/>
            <w:vAlign w:val="bottom"/>
            <w:shd w:val="clear" w:color="auto" w:fill="0075C9"/>
          </w:tcPr>
          <w:p>
            <w:pPr>
              <w:spacing w:after="0"/>
              <w:rPr>
                <w:sz w:val="14"/>
                <w:szCs w:val="14"/>
                <w:color w:val="auto"/>
              </w:rPr>
            </w:pPr>
          </w:p>
        </w:tc>
        <w:tc>
          <w:tcPr>
            <w:tcW w:w="1220" w:type="dxa"/>
            <w:vAlign w:val="bottom"/>
            <w:tcBorders>
              <w:right w:val="single" w:sz="8" w:color="auto"/>
            </w:tcBorders>
            <w:shd w:val="clear" w:color="auto" w:fill="0075C9"/>
          </w:tcPr>
          <w:p>
            <w:pPr>
              <w:spacing w:after="0"/>
              <w:rPr>
                <w:sz w:val="14"/>
                <w:szCs w:val="14"/>
                <w:color w:val="auto"/>
              </w:rPr>
            </w:pPr>
          </w:p>
        </w:tc>
      </w:tr>
      <w:tr>
        <w:trPr>
          <w:trHeight w:val="162"/>
        </w:trPr>
        <w:tc>
          <w:tcPr>
            <w:tcW w:w="1860" w:type="dxa"/>
            <w:vAlign w:val="bottom"/>
            <w:tcBorders>
              <w:left w:val="single" w:sz="8" w:color="auto"/>
            </w:tcBorders>
            <w:shd w:val="clear" w:color="auto" w:fill="0075C9"/>
          </w:tcPr>
          <w:p>
            <w:pPr>
              <w:spacing w:after="0"/>
              <w:rPr>
                <w:sz w:val="14"/>
                <w:szCs w:val="14"/>
                <w:color w:val="auto"/>
              </w:rPr>
            </w:pPr>
          </w:p>
        </w:tc>
        <w:tc>
          <w:tcPr>
            <w:tcW w:w="12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Compensation</w:t>
            </w:r>
          </w:p>
        </w:tc>
        <w:tc>
          <w:tcPr>
            <w:tcW w:w="118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Compensation</w:t>
            </w:r>
          </w:p>
        </w:tc>
        <w:tc>
          <w:tcPr>
            <w:tcW w:w="106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Equity</w:t>
            </w:r>
          </w:p>
        </w:tc>
        <w:tc>
          <w:tcPr>
            <w:tcW w:w="108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Equity</w:t>
            </w:r>
          </w:p>
        </w:tc>
        <w:tc>
          <w:tcPr>
            <w:tcW w:w="110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9"/>
              </w:rPr>
              <w:t>Equity Award</w:t>
            </w:r>
          </w:p>
        </w:tc>
        <w:tc>
          <w:tcPr>
            <w:tcW w:w="110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Adjustments</w:t>
            </w:r>
          </w:p>
        </w:tc>
        <w:tc>
          <w:tcPr>
            <w:tcW w:w="120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Compensation</w:t>
            </w:r>
          </w:p>
        </w:tc>
        <w:tc>
          <w:tcPr>
            <w:tcW w:w="122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Compensation</w:t>
            </w:r>
          </w:p>
        </w:tc>
      </w:tr>
      <w:tr>
        <w:trPr>
          <w:trHeight w:val="162"/>
        </w:trPr>
        <w:tc>
          <w:tcPr>
            <w:tcW w:w="1860" w:type="dxa"/>
            <w:vAlign w:val="bottom"/>
            <w:tcBorders>
              <w:left w:val="single" w:sz="8" w:color="auto"/>
            </w:tcBorders>
            <w:shd w:val="clear" w:color="auto" w:fill="0075C9"/>
          </w:tcPr>
          <w:p>
            <w:pPr>
              <w:ind w:left="160"/>
              <w:spacing w:after="0"/>
              <w:rPr>
                <w:sz w:val="20"/>
                <w:szCs w:val="20"/>
                <w:color w:val="auto"/>
              </w:rPr>
            </w:pPr>
            <w:r>
              <w:rPr>
                <w:rFonts w:ascii="Arial" w:cs="Arial" w:eastAsia="Arial" w:hAnsi="Arial"/>
                <w:sz w:val="14"/>
                <w:szCs w:val="14"/>
                <w:color w:val="FFFFFF"/>
              </w:rPr>
              <w:t>  Fiscal</w:t>
            </w:r>
          </w:p>
        </w:tc>
        <w:tc>
          <w:tcPr>
            <w:tcW w:w="124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9"/>
              </w:rPr>
              <w:t>Table Total for</w:t>
            </w:r>
          </w:p>
        </w:tc>
        <w:tc>
          <w:tcPr>
            <w:tcW w:w="118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9"/>
              </w:rPr>
              <w:t>Table Total for</w:t>
            </w:r>
          </w:p>
        </w:tc>
        <w:tc>
          <w:tcPr>
            <w:tcW w:w="106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Awards for</w:t>
            </w:r>
          </w:p>
        </w:tc>
        <w:tc>
          <w:tcPr>
            <w:tcW w:w="108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Awards for</w:t>
            </w:r>
          </w:p>
        </w:tc>
        <w:tc>
          <w:tcPr>
            <w:tcW w:w="110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Adjustments</w:t>
            </w:r>
          </w:p>
        </w:tc>
        <w:tc>
          <w:tcPr>
            <w:tcW w:w="110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for former</w:t>
            </w:r>
          </w:p>
        </w:tc>
        <w:tc>
          <w:tcPr>
            <w:tcW w:w="120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Actually Paid</w:t>
            </w:r>
          </w:p>
        </w:tc>
        <w:tc>
          <w:tcPr>
            <w:tcW w:w="122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Actually Paid</w:t>
            </w:r>
          </w:p>
        </w:tc>
      </w:tr>
      <w:tr>
        <w:trPr>
          <w:trHeight w:val="171"/>
        </w:trPr>
        <w:tc>
          <w:tcPr>
            <w:tcW w:w="1860" w:type="dxa"/>
            <w:vAlign w:val="bottom"/>
            <w:tcBorders>
              <w:left w:val="single" w:sz="8" w:color="auto"/>
            </w:tcBorders>
            <w:shd w:val="clear" w:color="auto" w:fill="0075C9"/>
          </w:tcPr>
          <w:p>
            <w:pPr>
              <w:ind w:left="160"/>
              <w:spacing w:after="0"/>
              <w:rPr>
                <w:sz w:val="20"/>
                <w:szCs w:val="20"/>
                <w:color w:val="auto"/>
              </w:rPr>
            </w:pPr>
            <w:r>
              <w:rPr>
                <w:rFonts w:ascii="Arial" w:cs="Arial" w:eastAsia="Arial" w:hAnsi="Arial"/>
                <w:sz w:val="14"/>
                <w:szCs w:val="14"/>
                <w:color w:val="FFFFFF"/>
              </w:rPr>
              <w:t>  Year</w:t>
            </w:r>
          </w:p>
        </w:tc>
        <w:tc>
          <w:tcPr>
            <w:tcW w:w="124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8"/>
              </w:rPr>
              <w:t>CEO</w:t>
            </w:r>
          </w:p>
        </w:tc>
        <w:tc>
          <w:tcPr>
            <w:tcW w:w="118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former CEO</w:t>
            </w:r>
          </w:p>
        </w:tc>
        <w:tc>
          <w:tcPr>
            <w:tcW w:w="1060" w:type="dxa"/>
            <w:vAlign w:val="bottom"/>
            <w:shd w:val="clear" w:color="auto" w:fill="0075C9"/>
          </w:tcPr>
          <w:p>
            <w:pPr>
              <w:jc w:val="center"/>
              <w:spacing w:after="0" w:line="172" w:lineRule="exact"/>
              <w:rPr>
                <w:sz w:val="20"/>
                <w:szCs w:val="20"/>
                <w:color w:val="auto"/>
              </w:rPr>
            </w:pPr>
            <w:r>
              <w:rPr>
                <w:rFonts w:ascii="Arial" w:cs="Arial" w:eastAsia="Arial" w:hAnsi="Arial"/>
                <w:sz w:val="19"/>
                <w:szCs w:val="19"/>
                <w:color w:val="FFFFFF"/>
                <w:vertAlign w:val="subscript"/>
              </w:rPr>
              <w:t>CEO</w:t>
            </w:r>
            <w:r>
              <w:rPr>
                <w:rFonts w:ascii="Arial" w:cs="Arial" w:eastAsia="Arial" w:hAnsi="Arial"/>
                <w:sz w:val="5"/>
                <w:szCs w:val="5"/>
                <w:color w:val="FFFFFF"/>
              </w:rPr>
              <w:t>(1)</w:t>
            </w:r>
          </w:p>
        </w:tc>
        <w:tc>
          <w:tcPr>
            <w:tcW w:w="108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former CEO</w:t>
            </w:r>
            <w:r>
              <w:rPr>
                <w:rFonts w:ascii="Arial" w:cs="Arial" w:eastAsia="Arial" w:hAnsi="Arial"/>
                <w:sz w:val="11"/>
                <w:szCs w:val="11"/>
                <w:color w:val="FFFFFF"/>
                <w:vertAlign w:val="superscript"/>
              </w:rPr>
              <w:t>(1)</w:t>
            </w:r>
          </w:p>
        </w:tc>
        <w:tc>
          <w:tcPr>
            <w:tcW w:w="1100" w:type="dxa"/>
            <w:vAlign w:val="bottom"/>
            <w:shd w:val="clear" w:color="auto" w:fill="0075C9"/>
          </w:tcPr>
          <w:p>
            <w:pPr>
              <w:jc w:val="center"/>
              <w:spacing w:after="0"/>
              <w:rPr>
                <w:sz w:val="20"/>
                <w:szCs w:val="20"/>
                <w:color w:val="auto"/>
              </w:rPr>
            </w:pPr>
            <w:r>
              <w:rPr>
                <w:rFonts w:ascii="Arial" w:cs="Arial" w:eastAsia="Arial" w:hAnsi="Arial"/>
                <w:sz w:val="14"/>
                <w:szCs w:val="14"/>
                <w:color w:val="FFFFFF"/>
                <w:w w:val="97"/>
              </w:rPr>
              <w:t>for CEO</w:t>
            </w:r>
            <w:r>
              <w:rPr>
                <w:rFonts w:ascii="Arial" w:cs="Arial" w:eastAsia="Arial" w:hAnsi="Arial"/>
                <w:sz w:val="11"/>
                <w:szCs w:val="11"/>
                <w:color w:val="FFFFFF"/>
                <w:w w:val="97"/>
                <w:vertAlign w:val="superscript"/>
              </w:rPr>
              <w:t>(2)</w:t>
            </w:r>
          </w:p>
        </w:tc>
        <w:tc>
          <w:tcPr>
            <w:tcW w:w="1100" w:type="dxa"/>
            <w:vAlign w:val="bottom"/>
            <w:shd w:val="clear" w:color="auto" w:fill="0075C9"/>
          </w:tcPr>
          <w:p>
            <w:pPr>
              <w:jc w:val="center"/>
              <w:spacing w:after="0" w:line="172" w:lineRule="exact"/>
              <w:rPr>
                <w:sz w:val="20"/>
                <w:szCs w:val="20"/>
                <w:color w:val="auto"/>
              </w:rPr>
            </w:pPr>
            <w:r>
              <w:rPr>
                <w:rFonts w:ascii="Arial" w:cs="Arial" w:eastAsia="Arial" w:hAnsi="Arial"/>
                <w:sz w:val="19"/>
                <w:szCs w:val="19"/>
                <w:color w:val="FFFFFF"/>
                <w:vertAlign w:val="subscript"/>
              </w:rPr>
              <w:t>CEO</w:t>
            </w:r>
            <w:r>
              <w:rPr>
                <w:rFonts w:ascii="Arial" w:cs="Arial" w:eastAsia="Arial" w:hAnsi="Arial"/>
                <w:sz w:val="5"/>
                <w:szCs w:val="5"/>
                <w:color w:val="FFFFFF"/>
              </w:rPr>
              <w:t>(2)</w:t>
            </w:r>
          </w:p>
        </w:tc>
        <w:tc>
          <w:tcPr>
            <w:tcW w:w="120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to CEO</w:t>
            </w:r>
          </w:p>
        </w:tc>
        <w:tc>
          <w:tcPr>
            <w:tcW w:w="1220" w:type="dxa"/>
            <w:vAlign w:val="bottom"/>
            <w:tcBorders>
              <w:right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to former CEO</w:t>
            </w:r>
          </w:p>
        </w:tc>
      </w:tr>
      <w:tr>
        <w:trPr>
          <w:trHeight w:val="250"/>
        </w:trPr>
        <w:tc>
          <w:tcPr>
            <w:tcW w:w="186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4"/>
                <w:szCs w:val="14"/>
                <w:color w:val="auto"/>
              </w:rPr>
              <w:t>  2025</w:t>
            </w:r>
          </w:p>
        </w:tc>
        <w:tc>
          <w:tcPr>
            <w:tcW w:w="12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$23,646,004</w:t>
            </w:r>
          </w:p>
        </w:tc>
        <w:tc>
          <w:tcPr>
            <w:tcW w:w="11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$18,368,875</w:t>
            </w:r>
          </w:p>
        </w:tc>
        <w:tc>
          <w:tcPr>
            <w:tcW w:w="10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$22,387,463</w:t>
            </w:r>
          </w:p>
        </w:tc>
        <w:tc>
          <w:tcPr>
            <w:tcW w:w="11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$27,664,592</w:t>
            </w:r>
          </w:p>
        </w:tc>
        <w:tc>
          <w:tcPr>
            <w:tcW w:w="1220" w:type="dxa"/>
            <w:vAlign w:val="bottom"/>
            <w:tcBorders>
              <w:bottom w:val="single" w:sz="8" w:color="E5F1F9"/>
              <w:right w:val="single" w:sz="8" w:color="auto"/>
            </w:tcBorders>
            <w:shd w:val="clear" w:color="auto" w:fill="E5F1F9"/>
          </w:tcPr>
          <w:p>
            <w:pPr>
              <w:jc w:val="center"/>
              <w:spacing w:after="0"/>
              <w:rPr>
                <w:sz w:val="20"/>
                <w:szCs w:val="20"/>
                <w:color w:val="auto"/>
              </w:rPr>
            </w:pPr>
            <w:r>
              <w:rPr>
                <w:rFonts w:ascii="Arial" w:cs="Arial" w:eastAsia="Arial" w:hAnsi="Arial"/>
                <w:sz w:val="14"/>
                <w:szCs w:val="14"/>
                <w:color w:val="auto"/>
              </w:rPr>
              <w:t>—</w:t>
            </w:r>
          </w:p>
        </w:tc>
      </w:tr>
      <w:tr>
        <w:trPr>
          <w:trHeight w:val="250"/>
        </w:trPr>
        <w:tc>
          <w:tcPr>
            <w:tcW w:w="1860" w:type="dxa"/>
            <w:vAlign w:val="bottom"/>
            <w:tcBorders>
              <w:left w:val="single" w:sz="8" w:color="auto"/>
              <w:bottom w:val="single" w:sz="8" w:color="B2D5EE"/>
            </w:tcBorders>
            <w:shd w:val="clear" w:color="auto" w:fill="B2D5EE"/>
          </w:tcPr>
          <w:p>
            <w:pPr>
              <w:ind w:left="160"/>
              <w:spacing w:after="0"/>
              <w:rPr>
                <w:sz w:val="20"/>
                <w:szCs w:val="20"/>
                <w:color w:val="auto"/>
              </w:rPr>
            </w:pPr>
            <w:r>
              <w:rPr>
                <w:rFonts w:ascii="Arial" w:cs="Arial" w:eastAsia="Arial" w:hAnsi="Arial"/>
                <w:sz w:val="14"/>
                <w:szCs w:val="14"/>
                <w:color w:val="auto"/>
              </w:rPr>
              <w:t>  2024</w:t>
            </w:r>
          </w:p>
        </w:tc>
        <w:tc>
          <w:tcPr>
            <w:tcW w:w="124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$24,166,665</w:t>
            </w:r>
          </w:p>
        </w:tc>
        <w:tc>
          <w:tcPr>
            <w:tcW w:w="11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$18,010,911</w:t>
            </w:r>
          </w:p>
        </w:tc>
        <w:tc>
          <w:tcPr>
            <w:tcW w:w="10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($4,904,890)</w:t>
            </w:r>
          </w:p>
        </w:tc>
        <w:tc>
          <w:tcPr>
            <w:tcW w:w="11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$1,250,864</w:t>
            </w:r>
          </w:p>
        </w:tc>
        <w:tc>
          <w:tcPr>
            <w:tcW w:w="1220" w:type="dxa"/>
            <w:vAlign w:val="bottom"/>
            <w:tcBorders>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4"/>
                <w:szCs w:val="14"/>
                <w:color w:val="auto"/>
              </w:rPr>
              <w:t>—</w:t>
            </w:r>
          </w:p>
        </w:tc>
      </w:tr>
      <w:tr>
        <w:trPr>
          <w:trHeight w:val="250"/>
        </w:trPr>
        <w:tc>
          <w:tcPr>
            <w:tcW w:w="186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4"/>
                <w:szCs w:val="14"/>
                <w:color w:val="auto"/>
              </w:rPr>
              <w:t>  2023</w:t>
            </w:r>
          </w:p>
        </w:tc>
        <w:tc>
          <w:tcPr>
            <w:tcW w:w="12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$4,069,913</w:t>
            </w:r>
          </w:p>
        </w:tc>
        <w:tc>
          <w:tcPr>
            <w:tcW w:w="11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($8,568,106)</w:t>
            </w:r>
          </w:p>
        </w:tc>
        <w:tc>
          <w:tcPr>
            <w:tcW w:w="11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($4,498,193)</w:t>
            </w:r>
          </w:p>
        </w:tc>
        <w:tc>
          <w:tcPr>
            <w:tcW w:w="1220" w:type="dxa"/>
            <w:vAlign w:val="bottom"/>
            <w:tcBorders>
              <w:bottom w:val="single" w:sz="8" w:color="E5F1F9"/>
              <w:right w:val="single" w:sz="8" w:color="auto"/>
            </w:tcBorders>
            <w:shd w:val="clear" w:color="auto" w:fill="E5F1F9"/>
          </w:tcPr>
          <w:p>
            <w:pPr>
              <w:jc w:val="center"/>
              <w:spacing w:after="0"/>
              <w:rPr>
                <w:sz w:val="20"/>
                <w:szCs w:val="20"/>
                <w:color w:val="auto"/>
              </w:rPr>
            </w:pPr>
            <w:r>
              <w:rPr>
                <w:rFonts w:ascii="Arial" w:cs="Arial" w:eastAsia="Arial" w:hAnsi="Arial"/>
                <w:sz w:val="14"/>
                <w:szCs w:val="14"/>
                <w:color w:val="auto"/>
              </w:rPr>
              <w:t>—</w:t>
            </w:r>
          </w:p>
        </w:tc>
      </w:tr>
      <w:tr>
        <w:trPr>
          <w:trHeight w:val="250"/>
        </w:trPr>
        <w:tc>
          <w:tcPr>
            <w:tcW w:w="1860" w:type="dxa"/>
            <w:vAlign w:val="bottom"/>
            <w:tcBorders>
              <w:left w:val="single" w:sz="8" w:color="auto"/>
              <w:bottom w:val="single" w:sz="8" w:color="B2D5EE"/>
            </w:tcBorders>
            <w:shd w:val="clear" w:color="auto" w:fill="B2D5EE"/>
          </w:tcPr>
          <w:p>
            <w:pPr>
              <w:ind w:left="160"/>
              <w:spacing w:after="0"/>
              <w:rPr>
                <w:sz w:val="20"/>
                <w:szCs w:val="20"/>
                <w:color w:val="auto"/>
              </w:rPr>
            </w:pPr>
            <w:r>
              <w:rPr>
                <w:rFonts w:ascii="Arial" w:cs="Arial" w:eastAsia="Arial" w:hAnsi="Arial"/>
                <w:sz w:val="14"/>
                <w:szCs w:val="14"/>
                <w:color w:val="auto"/>
              </w:rPr>
              <w:t>  2022</w:t>
            </w:r>
          </w:p>
        </w:tc>
        <w:tc>
          <w:tcPr>
            <w:tcW w:w="124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$30,488,593</w:t>
            </w:r>
          </w:p>
        </w:tc>
        <w:tc>
          <w:tcPr>
            <w:tcW w:w="11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$26,625,221</w:t>
            </w:r>
          </w:p>
        </w:tc>
        <w:tc>
          <w:tcPr>
            <w:tcW w:w="10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$30,000,655</w:t>
            </w:r>
          </w:p>
        </w:tc>
        <w:tc>
          <w:tcPr>
            <w:tcW w:w="108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$15,389,732</w:t>
            </w:r>
          </w:p>
        </w:tc>
        <w:tc>
          <w:tcPr>
            <w:tcW w:w="11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$27,063,911</w:t>
            </w:r>
          </w:p>
        </w:tc>
        <w:tc>
          <w:tcPr>
            <w:tcW w:w="11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($5,336,778)</w:t>
            </w:r>
          </w:p>
        </w:tc>
        <w:tc>
          <w:tcPr>
            <w:tcW w:w="12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$27,551,849</w:t>
            </w:r>
          </w:p>
        </w:tc>
        <w:tc>
          <w:tcPr>
            <w:tcW w:w="1220" w:type="dxa"/>
            <w:vAlign w:val="bottom"/>
            <w:tcBorders>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4"/>
                <w:szCs w:val="14"/>
                <w:color w:val="auto"/>
              </w:rPr>
              <w:t>$5,898,711</w:t>
            </w:r>
          </w:p>
        </w:tc>
      </w:tr>
      <w:tr>
        <w:trPr>
          <w:trHeight w:val="250"/>
        </w:trPr>
        <w:tc>
          <w:tcPr>
            <w:tcW w:w="186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4"/>
                <w:szCs w:val="14"/>
                <w:color w:val="auto"/>
              </w:rPr>
              <w:t>  2021</w:t>
            </w:r>
          </w:p>
        </w:tc>
        <w:tc>
          <w:tcPr>
            <w:tcW w:w="12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$17,689,665</w:t>
            </w:r>
          </w:p>
        </w:tc>
        <w:tc>
          <w:tcPr>
            <w:tcW w:w="10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$14,084,314</w:t>
            </w:r>
          </w:p>
        </w:tc>
        <w:tc>
          <w:tcPr>
            <w:tcW w:w="11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$11,605,674</w:t>
            </w:r>
          </w:p>
        </w:tc>
        <w:tc>
          <w:tcPr>
            <w:tcW w:w="12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E5F1F9"/>
              <w:right w:val="single" w:sz="8" w:color="auto"/>
            </w:tcBorders>
            <w:shd w:val="clear" w:color="auto" w:fill="E5F1F9"/>
          </w:tcPr>
          <w:p>
            <w:pPr>
              <w:jc w:val="center"/>
              <w:spacing w:after="0"/>
              <w:rPr>
                <w:sz w:val="20"/>
                <w:szCs w:val="20"/>
                <w:color w:val="auto"/>
              </w:rPr>
            </w:pPr>
            <w:r>
              <w:rPr>
                <w:rFonts w:ascii="Arial" w:cs="Arial" w:eastAsia="Arial" w:hAnsi="Arial"/>
                <w:sz w:val="14"/>
                <w:szCs w:val="14"/>
                <w:color w:val="auto"/>
              </w:rPr>
              <w:t>$15,211,025</w:t>
            </w:r>
          </w:p>
        </w:tc>
      </w:tr>
      <w:tr>
        <w:trPr>
          <w:trHeight w:val="20"/>
        </w:trPr>
        <w:tc>
          <w:tcPr>
            <w:tcW w:w="1860" w:type="dxa"/>
            <w:vAlign w:val="bottom"/>
            <w:tcBorders>
              <w:left w:val="single" w:sz="8" w:color="auto"/>
            </w:tcBorders>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r>
    </w:tbl>
    <w:p>
      <w:pPr>
        <w:spacing w:after="0" w:line="58" w:lineRule="exact"/>
        <w:rPr>
          <w:sz w:val="20"/>
          <w:szCs w:val="20"/>
          <w:color w:val="auto"/>
        </w:rPr>
      </w:pPr>
    </w:p>
    <w:p>
      <w:pPr>
        <w:ind w:left="540" w:right="180" w:hanging="424"/>
        <w:spacing w:after="0" w:line="251" w:lineRule="auto"/>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Represents the grant date fair value of equity awards to our CEO and former CEO, as reported in the “Stock Awards” and “Option Awards” columns in the Summary Compensation Table for each applicable year.</w:t>
      </w:r>
    </w:p>
    <w:p>
      <w:pPr>
        <w:spacing w:after="0" w:line="1" w:lineRule="exact"/>
        <w:rPr>
          <w:rFonts w:ascii="Arial" w:cs="Arial" w:eastAsia="Arial" w:hAnsi="Arial"/>
          <w:sz w:val="14"/>
          <w:szCs w:val="14"/>
          <w:color w:val="auto"/>
        </w:rPr>
      </w:pPr>
    </w:p>
    <w:p>
      <w:pPr>
        <w:ind w:left="540" w:right="280" w:hanging="424"/>
        <w:spacing w:after="0" w:line="264" w:lineRule="auto"/>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Represents the year-over-year change in the fair value of equity awards to our CEO and former CEO, as itemized in the table below. No awards vested in the year they were granted.</w:t>
      </w:r>
    </w:p>
    <w:p>
      <w:pPr>
        <w:spacing w:after="0" w:line="67" w:lineRule="exact"/>
        <w:rPr>
          <w:sz w:val="20"/>
          <w:szCs w:val="20"/>
          <w:color w:val="auto"/>
        </w:rPr>
      </w:pPr>
    </w:p>
    <w:tbl>
      <w:tblPr>
        <w:tblLayout w:type="fixed"/>
        <w:tblInd w:w="130" w:type="dxa"/>
        <w:tblCellMar>
          <w:top w:w="0" w:type="dxa"/>
          <w:left w:w="0" w:type="dxa"/>
          <w:bottom w:w="0" w:type="dxa"/>
          <w:right w:w="0" w:type="dxa"/>
        </w:tblCellMar>
      </w:tblPr>
      <w:tr>
        <w:trPr>
          <w:trHeight w:val="189"/>
        </w:trPr>
        <w:tc>
          <w:tcPr>
            <w:tcW w:w="3840" w:type="dxa"/>
            <w:vAlign w:val="bottom"/>
            <w:tcBorders>
              <w:top w:val="single" w:sz="8" w:color="auto"/>
              <w:left w:val="single" w:sz="8" w:color="auto"/>
            </w:tcBorders>
            <w:shd w:val="clear" w:color="auto" w:fill="0075C9"/>
          </w:tcPr>
          <w:p>
            <w:pPr>
              <w:ind w:left="160"/>
              <w:spacing w:after="0"/>
              <w:rPr>
                <w:sz w:val="20"/>
                <w:szCs w:val="20"/>
                <w:color w:val="auto"/>
              </w:rPr>
            </w:pPr>
            <w:r>
              <w:rPr>
                <w:rFonts w:ascii="Arial" w:cs="Arial" w:eastAsia="Arial" w:hAnsi="Arial"/>
                <w:sz w:val="14"/>
                <w:szCs w:val="14"/>
                <w:color w:val="FFFFFF"/>
              </w:rPr>
              <w:t>Fair Value of Equity Awards for CEO</w:t>
            </w:r>
          </w:p>
        </w:tc>
        <w:tc>
          <w:tcPr>
            <w:tcW w:w="1120" w:type="dxa"/>
            <w:vAlign w:val="bottom"/>
            <w:tcBorders>
              <w:top w:val="single" w:sz="8" w:color="auto"/>
            </w:tcBorders>
            <w:shd w:val="clear" w:color="auto" w:fill="0075C9"/>
          </w:tcPr>
          <w:p>
            <w:pPr>
              <w:spacing w:after="0"/>
              <w:rPr>
                <w:sz w:val="16"/>
                <w:szCs w:val="16"/>
                <w:color w:val="auto"/>
              </w:rPr>
            </w:pPr>
          </w:p>
        </w:tc>
        <w:tc>
          <w:tcPr>
            <w:tcW w:w="1160" w:type="dxa"/>
            <w:vAlign w:val="bottom"/>
            <w:tcBorders>
              <w:top w:val="single" w:sz="8" w:color="auto"/>
            </w:tcBorders>
            <w:shd w:val="clear" w:color="auto" w:fill="0075C9"/>
          </w:tcPr>
          <w:p>
            <w:pPr>
              <w:spacing w:after="0"/>
              <w:rPr>
                <w:sz w:val="16"/>
                <w:szCs w:val="16"/>
                <w:color w:val="auto"/>
              </w:rPr>
            </w:pPr>
          </w:p>
        </w:tc>
        <w:tc>
          <w:tcPr>
            <w:tcW w:w="1040" w:type="dxa"/>
            <w:vAlign w:val="bottom"/>
            <w:tcBorders>
              <w:top w:val="single" w:sz="8" w:color="auto"/>
            </w:tcBorders>
            <w:shd w:val="clear" w:color="auto" w:fill="0075C9"/>
          </w:tcPr>
          <w:p>
            <w:pPr>
              <w:spacing w:after="0"/>
              <w:rPr>
                <w:sz w:val="16"/>
                <w:szCs w:val="16"/>
                <w:color w:val="auto"/>
              </w:rPr>
            </w:pPr>
          </w:p>
        </w:tc>
        <w:tc>
          <w:tcPr>
            <w:tcW w:w="1620" w:type="dxa"/>
            <w:vAlign w:val="bottom"/>
            <w:tcBorders>
              <w:top w:val="single" w:sz="8" w:color="auto"/>
            </w:tcBorders>
            <w:shd w:val="clear" w:color="auto" w:fill="0075C9"/>
          </w:tcPr>
          <w:p>
            <w:pPr>
              <w:jc w:val="right"/>
              <w:ind w:right="8"/>
              <w:spacing w:after="0"/>
              <w:rPr>
                <w:sz w:val="20"/>
                <w:szCs w:val="20"/>
                <w:color w:val="auto"/>
              </w:rPr>
            </w:pPr>
            <w:r>
              <w:rPr>
                <w:rFonts w:ascii="Arial" w:cs="Arial" w:eastAsia="Arial" w:hAnsi="Arial"/>
                <w:sz w:val="14"/>
                <w:szCs w:val="14"/>
                <w:color w:val="FFFFFF"/>
              </w:rPr>
              <w:t>2022</w:t>
            </w:r>
          </w:p>
        </w:tc>
        <w:tc>
          <w:tcPr>
            <w:tcW w:w="1140" w:type="dxa"/>
            <w:vAlign w:val="bottom"/>
            <w:tcBorders>
              <w:top w:val="single" w:sz="8" w:color="auto"/>
            </w:tcBorders>
            <w:shd w:val="clear" w:color="auto" w:fill="0075C9"/>
          </w:tcPr>
          <w:p>
            <w:pPr>
              <w:spacing w:after="0"/>
              <w:rPr>
                <w:sz w:val="16"/>
                <w:szCs w:val="16"/>
                <w:color w:val="auto"/>
              </w:rPr>
            </w:pPr>
          </w:p>
        </w:tc>
        <w:tc>
          <w:tcPr>
            <w:tcW w:w="1120" w:type="dxa"/>
            <w:vAlign w:val="bottom"/>
            <w:tcBorders>
              <w:top w:val="single" w:sz="8" w:color="auto"/>
              <w:right w:val="single" w:sz="8" w:color="auto"/>
            </w:tcBorders>
            <w:shd w:val="clear" w:color="auto" w:fill="0075C9"/>
          </w:tcPr>
          <w:p>
            <w:pPr>
              <w:spacing w:after="0"/>
              <w:rPr>
                <w:sz w:val="16"/>
                <w:szCs w:val="16"/>
                <w:color w:val="auto"/>
              </w:rPr>
            </w:pPr>
          </w:p>
        </w:tc>
      </w:tr>
      <w:tr>
        <w:trPr>
          <w:trHeight w:val="162"/>
        </w:trPr>
        <w:tc>
          <w:tcPr>
            <w:tcW w:w="3840" w:type="dxa"/>
            <w:vAlign w:val="bottom"/>
            <w:tcBorders>
              <w:left w:val="single" w:sz="8" w:color="auto"/>
            </w:tcBorders>
            <w:shd w:val="clear" w:color="auto" w:fill="0075C9"/>
          </w:tcPr>
          <w:p>
            <w:pPr>
              <w:ind w:left="160"/>
              <w:spacing w:after="0"/>
              <w:rPr>
                <w:sz w:val="20"/>
                <w:szCs w:val="20"/>
                <w:color w:val="auto"/>
              </w:rPr>
            </w:pPr>
            <w:r>
              <w:rPr>
                <w:rFonts w:ascii="Arial" w:cs="Arial" w:eastAsia="Arial" w:hAnsi="Arial"/>
                <w:sz w:val="14"/>
                <w:szCs w:val="14"/>
                <w:color w:val="FFFFFF"/>
              </w:rPr>
              <w:t>and former CEO</w:t>
            </w:r>
          </w:p>
        </w:tc>
        <w:tc>
          <w:tcPr>
            <w:tcW w:w="112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2025</w:t>
            </w:r>
          </w:p>
        </w:tc>
        <w:tc>
          <w:tcPr>
            <w:tcW w:w="116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2024</w:t>
            </w:r>
          </w:p>
        </w:tc>
        <w:tc>
          <w:tcPr>
            <w:tcW w:w="10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2023</w:t>
            </w:r>
          </w:p>
        </w:tc>
        <w:tc>
          <w:tcPr>
            <w:tcW w:w="1620" w:type="dxa"/>
            <w:vAlign w:val="bottom"/>
            <w:shd w:val="clear" w:color="auto" w:fill="0075C9"/>
          </w:tcPr>
          <w:p>
            <w:pPr>
              <w:jc w:val="right"/>
              <w:ind w:right="248"/>
              <w:spacing w:after="0"/>
              <w:rPr>
                <w:sz w:val="20"/>
                <w:szCs w:val="20"/>
                <w:color w:val="auto"/>
              </w:rPr>
            </w:pPr>
            <w:r>
              <w:rPr>
                <w:rFonts w:ascii="Arial" w:cs="Arial" w:eastAsia="Arial" w:hAnsi="Arial"/>
                <w:sz w:val="14"/>
                <w:szCs w:val="14"/>
                <w:color w:val="FFFFFF"/>
              </w:rPr>
              <w:t>Mr. Viehbacher</w:t>
            </w:r>
          </w:p>
        </w:tc>
        <w:tc>
          <w:tcPr>
            <w:tcW w:w="1140" w:type="dxa"/>
            <w:vAlign w:val="bottom"/>
            <w:shd w:val="clear" w:color="auto" w:fill="0075C9"/>
          </w:tcPr>
          <w:p>
            <w:pPr>
              <w:jc w:val="right"/>
              <w:ind w:right="28"/>
              <w:spacing w:after="0"/>
              <w:rPr>
                <w:sz w:val="20"/>
                <w:szCs w:val="20"/>
                <w:color w:val="auto"/>
              </w:rPr>
            </w:pPr>
            <w:r>
              <w:rPr>
                <w:rFonts w:ascii="Arial" w:cs="Arial" w:eastAsia="Arial" w:hAnsi="Arial"/>
                <w:sz w:val="14"/>
                <w:szCs w:val="14"/>
                <w:color w:val="FFFFFF"/>
              </w:rPr>
              <w:t>Mr. Vounatsos</w:t>
            </w:r>
          </w:p>
        </w:tc>
        <w:tc>
          <w:tcPr>
            <w:tcW w:w="1120" w:type="dxa"/>
            <w:vAlign w:val="bottom"/>
            <w:tcBorders>
              <w:right w:val="single" w:sz="8" w:color="auto"/>
            </w:tcBorders>
            <w:shd w:val="clear" w:color="auto" w:fill="0075C9"/>
          </w:tcPr>
          <w:p>
            <w:pPr>
              <w:jc w:val="right"/>
              <w:ind w:right="308"/>
              <w:spacing w:after="0"/>
              <w:rPr>
                <w:sz w:val="20"/>
                <w:szCs w:val="20"/>
                <w:color w:val="auto"/>
              </w:rPr>
            </w:pPr>
            <w:r>
              <w:rPr>
                <w:rFonts w:ascii="Arial" w:cs="Arial" w:eastAsia="Arial" w:hAnsi="Arial"/>
                <w:sz w:val="14"/>
                <w:szCs w:val="14"/>
                <w:color w:val="FFFFFF"/>
              </w:rPr>
              <w:t>2021</w:t>
            </w:r>
          </w:p>
        </w:tc>
      </w:tr>
      <w:tr>
        <w:trPr>
          <w:trHeight w:val="250"/>
        </w:trPr>
        <w:tc>
          <w:tcPr>
            <w:tcW w:w="384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4"/>
                <w:szCs w:val="14"/>
                <w:color w:val="auto"/>
              </w:rPr>
              <w:t>As of year-end for awards granted during the year</w:t>
            </w:r>
          </w:p>
        </w:tc>
        <w:tc>
          <w:tcPr>
            <w:tcW w:w="11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$22,312,724</w:t>
            </w:r>
          </w:p>
        </w:tc>
        <w:tc>
          <w:tcPr>
            <w:tcW w:w="11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$8,702,498</w:t>
            </w:r>
          </w:p>
        </w:tc>
        <w:tc>
          <w:tcPr>
            <w:tcW w:w="10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E5F1F9"/>
            </w:tcBorders>
            <w:shd w:val="clear" w:color="auto" w:fill="E5F1F9"/>
          </w:tcPr>
          <w:p>
            <w:pPr>
              <w:jc w:val="center"/>
              <w:ind w:right="108"/>
              <w:spacing w:after="0"/>
              <w:rPr>
                <w:sz w:val="20"/>
                <w:szCs w:val="20"/>
                <w:color w:val="auto"/>
              </w:rPr>
            </w:pPr>
            <w:r>
              <w:rPr>
                <w:rFonts w:ascii="Arial" w:cs="Arial" w:eastAsia="Arial" w:hAnsi="Arial"/>
                <w:sz w:val="14"/>
                <w:szCs w:val="14"/>
                <w:color w:val="auto"/>
              </w:rPr>
              <w:t>$27,063,911</w:t>
            </w:r>
          </w:p>
        </w:tc>
        <w:tc>
          <w:tcPr>
            <w:tcW w:w="1140" w:type="dxa"/>
            <w:vAlign w:val="bottom"/>
            <w:tcBorders>
              <w:bottom w:val="single" w:sz="8" w:color="E5F1F9"/>
            </w:tcBorders>
            <w:shd w:val="clear" w:color="auto" w:fill="E5F1F9"/>
          </w:tcPr>
          <w:p>
            <w:pPr>
              <w:jc w:val="right"/>
              <w:ind w:right="228"/>
              <w:spacing w:after="0"/>
              <w:rPr>
                <w:sz w:val="20"/>
                <w:szCs w:val="20"/>
                <w:color w:val="auto"/>
              </w:rPr>
            </w:pPr>
            <w:r>
              <w:rPr>
                <w:rFonts w:ascii="Arial" w:cs="Arial" w:eastAsia="Arial" w:hAnsi="Arial"/>
                <w:sz w:val="14"/>
                <w:szCs w:val="14"/>
                <w:color w:val="auto"/>
              </w:rPr>
              <w:t>$1,996,870</w:t>
            </w:r>
          </w:p>
        </w:tc>
        <w:tc>
          <w:tcPr>
            <w:tcW w:w="1120" w:type="dxa"/>
            <w:vAlign w:val="bottom"/>
            <w:tcBorders>
              <w:bottom w:val="single" w:sz="8" w:color="E5F1F9"/>
              <w:right w:val="single" w:sz="8" w:color="auto"/>
            </w:tcBorders>
            <w:shd w:val="clear" w:color="auto" w:fill="E5F1F9"/>
          </w:tcPr>
          <w:p>
            <w:pPr>
              <w:jc w:val="center"/>
              <w:ind w:left="8"/>
              <w:spacing w:after="0"/>
              <w:rPr>
                <w:sz w:val="20"/>
                <w:szCs w:val="20"/>
                <w:color w:val="auto"/>
              </w:rPr>
            </w:pPr>
            <w:r>
              <w:rPr>
                <w:rFonts w:ascii="Arial" w:cs="Arial" w:eastAsia="Arial" w:hAnsi="Arial"/>
                <w:sz w:val="14"/>
                <w:szCs w:val="14"/>
                <w:color w:val="auto"/>
              </w:rPr>
              <w:t>$10,985,776</w:t>
            </w:r>
          </w:p>
        </w:tc>
      </w:tr>
      <w:tr>
        <w:trPr>
          <w:trHeight w:val="207"/>
        </w:trPr>
        <w:tc>
          <w:tcPr>
            <w:tcW w:w="3840" w:type="dxa"/>
            <w:vAlign w:val="bottom"/>
            <w:tcBorders>
              <w:left w:val="single" w:sz="8" w:color="auto"/>
            </w:tcBorders>
            <w:shd w:val="clear" w:color="auto" w:fill="B2D5EE"/>
          </w:tcPr>
          <w:p>
            <w:pPr>
              <w:ind w:left="160"/>
              <w:spacing w:after="0"/>
              <w:rPr>
                <w:sz w:val="20"/>
                <w:szCs w:val="20"/>
                <w:color w:val="auto"/>
              </w:rPr>
            </w:pPr>
            <w:r>
              <w:rPr>
                <w:rFonts w:ascii="Arial" w:cs="Arial" w:eastAsia="Arial" w:hAnsi="Arial"/>
                <w:sz w:val="14"/>
                <w:szCs w:val="14"/>
                <w:color w:val="auto"/>
              </w:rPr>
              <w:t>Year-over-year increase or decrease of unvested awards</w:t>
            </w:r>
          </w:p>
        </w:tc>
        <w:tc>
          <w:tcPr>
            <w:tcW w:w="1120" w:type="dxa"/>
            <w:vAlign w:val="bottom"/>
            <w:shd w:val="clear" w:color="auto" w:fill="B2D5EE"/>
          </w:tcPr>
          <w:p>
            <w:pPr>
              <w:spacing w:after="0"/>
              <w:rPr>
                <w:sz w:val="17"/>
                <w:szCs w:val="17"/>
                <w:color w:val="auto"/>
              </w:rPr>
            </w:pPr>
          </w:p>
        </w:tc>
        <w:tc>
          <w:tcPr>
            <w:tcW w:w="1160" w:type="dxa"/>
            <w:vAlign w:val="bottom"/>
            <w:shd w:val="clear" w:color="auto" w:fill="B2D5EE"/>
          </w:tcPr>
          <w:p>
            <w:pPr>
              <w:spacing w:after="0"/>
              <w:rPr>
                <w:sz w:val="17"/>
                <w:szCs w:val="17"/>
                <w:color w:val="auto"/>
              </w:rPr>
            </w:pPr>
          </w:p>
        </w:tc>
        <w:tc>
          <w:tcPr>
            <w:tcW w:w="1040" w:type="dxa"/>
            <w:vAlign w:val="bottom"/>
            <w:shd w:val="clear" w:color="auto" w:fill="B2D5EE"/>
          </w:tcPr>
          <w:p>
            <w:pPr>
              <w:spacing w:after="0"/>
              <w:rPr>
                <w:sz w:val="17"/>
                <w:szCs w:val="17"/>
                <w:color w:val="auto"/>
              </w:rPr>
            </w:pPr>
          </w:p>
        </w:tc>
        <w:tc>
          <w:tcPr>
            <w:tcW w:w="1620" w:type="dxa"/>
            <w:vAlign w:val="bottom"/>
            <w:shd w:val="clear" w:color="auto" w:fill="B2D5EE"/>
          </w:tcPr>
          <w:p>
            <w:pPr>
              <w:spacing w:after="0"/>
              <w:rPr>
                <w:sz w:val="17"/>
                <w:szCs w:val="17"/>
                <w:color w:val="auto"/>
              </w:rPr>
            </w:pPr>
          </w:p>
        </w:tc>
        <w:tc>
          <w:tcPr>
            <w:tcW w:w="1140" w:type="dxa"/>
            <w:vAlign w:val="bottom"/>
            <w:shd w:val="clear" w:color="auto" w:fill="B2D5EE"/>
          </w:tcPr>
          <w:p>
            <w:pPr>
              <w:spacing w:after="0"/>
              <w:rPr>
                <w:sz w:val="17"/>
                <w:szCs w:val="17"/>
                <w:color w:val="auto"/>
              </w:rPr>
            </w:pPr>
          </w:p>
        </w:tc>
        <w:tc>
          <w:tcPr>
            <w:tcW w:w="1120" w:type="dxa"/>
            <w:vAlign w:val="bottom"/>
            <w:tcBorders>
              <w:right w:val="single" w:sz="8" w:color="auto"/>
            </w:tcBorders>
            <w:shd w:val="clear" w:color="auto" w:fill="B2D5EE"/>
          </w:tcPr>
          <w:p>
            <w:pPr>
              <w:spacing w:after="0"/>
              <w:rPr>
                <w:sz w:val="17"/>
                <w:szCs w:val="17"/>
                <w:color w:val="auto"/>
              </w:rPr>
            </w:pPr>
          </w:p>
        </w:tc>
      </w:tr>
      <w:tr>
        <w:trPr>
          <w:trHeight w:val="205"/>
        </w:trPr>
        <w:tc>
          <w:tcPr>
            <w:tcW w:w="3840" w:type="dxa"/>
            <w:vAlign w:val="bottom"/>
            <w:tcBorders>
              <w:left w:val="single" w:sz="8" w:color="auto"/>
              <w:bottom w:val="single" w:sz="8" w:color="B2D5EE"/>
            </w:tcBorders>
            <w:shd w:val="clear" w:color="auto" w:fill="B2D5EE"/>
          </w:tcPr>
          <w:p>
            <w:pPr>
              <w:ind w:left="160"/>
              <w:spacing w:after="0"/>
              <w:rPr>
                <w:sz w:val="20"/>
                <w:szCs w:val="20"/>
                <w:color w:val="auto"/>
              </w:rPr>
            </w:pPr>
            <w:r>
              <w:rPr>
                <w:rFonts w:ascii="Arial" w:cs="Arial" w:eastAsia="Arial" w:hAnsi="Arial"/>
                <w:sz w:val="14"/>
                <w:szCs w:val="14"/>
                <w:color w:val="auto"/>
              </w:rPr>
              <w:t>granted in prior years</w:t>
            </w:r>
          </w:p>
        </w:tc>
        <w:tc>
          <w:tcPr>
            <w:tcW w:w="11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$266,557</w:t>
            </w:r>
          </w:p>
        </w:tc>
        <w:tc>
          <w:tcPr>
            <w:tcW w:w="116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($12,329,483)</w:t>
            </w:r>
          </w:p>
        </w:tc>
        <w:tc>
          <w:tcPr>
            <w:tcW w:w="104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($7,204,687)</w:t>
            </w:r>
          </w:p>
        </w:tc>
        <w:tc>
          <w:tcPr>
            <w:tcW w:w="1620" w:type="dxa"/>
            <w:vAlign w:val="bottom"/>
            <w:tcBorders>
              <w:bottom w:val="single" w:sz="8" w:color="B2D5EE"/>
            </w:tcBorders>
            <w:shd w:val="clear" w:color="auto" w:fill="B2D5EE"/>
          </w:tcPr>
          <w:p>
            <w:pPr>
              <w:jc w:val="center"/>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2D5EE"/>
            </w:tcBorders>
            <w:shd w:val="clear" w:color="auto" w:fill="B2D5EE"/>
          </w:tcPr>
          <w:p>
            <w:pPr>
              <w:jc w:val="right"/>
              <w:ind w:right="168"/>
              <w:spacing w:after="0"/>
              <w:rPr>
                <w:sz w:val="20"/>
                <w:szCs w:val="20"/>
                <w:color w:val="auto"/>
              </w:rPr>
            </w:pPr>
            <w:r>
              <w:rPr>
                <w:rFonts w:ascii="Arial" w:cs="Arial" w:eastAsia="Arial" w:hAnsi="Arial"/>
                <w:sz w:val="14"/>
                <w:szCs w:val="14"/>
                <w:color w:val="auto"/>
              </w:rPr>
              <w:t>($6,247,880)</w:t>
            </w:r>
          </w:p>
        </w:tc>
        <w:tc>
          <w:tcPr>
            <w:tcW w:w="1120" w:type="dxa"/>
            <w:vAlign w:val="bottom"/>
            <w:tcBorders>
              <w:bottom w:val="single" w:sz="8" w:color="B2D5EE"/>
              <w:right w:val="single" w:sz="8" w:color="auto"/>
            </w:tcBorders>
            <w:shd w:val="clear" w:color="auto" w:fill="B2D5EE"/>
          </w:tcPr>
          <w:p>
            <w:pPr>
              <w:jc w:val="center"/>
              <w:ind w:left="8"/>
              <w:spacing w:after="0"/>
              <w:rPr>
                <w:sz w:val="20"/>
                <w:szCs w:val="20"/>
                <w:color w:val="auto"/>
              </w:rPr>
            </w:pPr>
            <w:r>
              <w:rPr>
                <w:rFonts w:ascii="Arial" w:cs="Arial" w:eastAsia="Arial" w:hAnsi="Arial"/>
                <w:sz w:val="14"/>
                <w:szCs w:val="14"/>
                <w:color w:val="auto"/>
              </w:rPr>
              <w:t>($687,744)</w:t>
            </w:r>
          </w:p>
        </w:tc>
      </w:tr>
      <w:tr>
        <w:trPr>
          <w:trHeight w:val="207"/>
        </w:trPr>
        <w:tc>
          <w:tcPr>
            <w:tcW w:w="3840" w:type="dxa"/>
            <w:vAlign w:val="bottom"/>
            <w:tcBorders>
              <w:left w:val="single" w:sz="8" w:color="auto"/>
            </w:tcBorders>
            <w:shd w:val="clear" w:color="auto" w:fill="E5F1F9"/>
          </w:tcPr>
          <w:p>
            <w:pPr>
              <w:ind w:left="160"/>
              <w:spacing w:after="0"/>
              <w:rPr>
                <w:sz w:val="20"/>
                <w:szCs w:val="20"/>
                <w:color w:val="auto"/>
              </w:rPr>
            </w:pPr>
            <w:r>
              <w:rPr>
                <w:rFonts w:ascii="Arial" w:cs="Arial" w:eastAsia="Arial" w:hAnsi="Arial"/>
                <w:sz w:val="14"/>
                <w:szCs w:val="14"/>
                <w:color w:val="auto"/>
              </w:rPr>
              <w:t>Increase or decrease from prior fiscal year-end for</w:t>
            </w:r>
          </w:p>
        </w:tc>
        <w:tc>
          <w:tcPr>
            <w:tcW w:w="1120" w:type="dxa"/>
            <w:vAlign w:val="bottom"/>
            <w:shd w:val="clear" w:color="auto" w:fill="E5F1F9"/>
          </w:tcPr>
          <w:p>
            <w:pPr>
              <w:spacing w:after="0"/>
              <w:rPr>
                <w:sz w:val="17"/>
                <w:szCs w:val="17"/>
                <w:color w:val="auto"/>
              </w:rPr>
            </w:pPr>
          </w:p>
        </w:tc>
        <w:tc>
          <w:tcPr>
            <w:tcW w:w="1160" w:type="dxa"/>
            <w:vAlign w:val="bottom"/>
            <w:shd w:val="clear" w:color="auto" w:fill="E5F1F9"/>
          </w:tcPr>
          <w:p>
            <w:pPr>
              <w:spacing w:after="0"/>
              <w:rPr>
                <w:sz w:val="17"/>
                <w:szCs w:val="17"/>
                <w:color w:val="auto"/>
              </w:rPr>
            </w:pPr>
          </w:p>
        </w:tc>
        <w:tc>
          <w:tcPr>
            <w:tcW w:w="1040" w:type="dxa"/>
            <w:vAlign w:val="bottom"/>
            <w:shd w:val="clear" w:color="auto" w:fill="E5F1F9"/>
          </w:tcPr>
          <w:p>
            <w:pPr>
              <w:spacing w:after="0"/>
              <w:rPr>
                <w:sz w:val="17"/>
                <w:szCs w:val="17"/>
                <w:color w:val="auto"/>
              </w:rPr>
            </w:pPr>
          </w:p>
        </w:tc>
        <w:tc>
          <w:tcPr>
            <w:tcW w:w="1620" w:type="dxa"/>
            <w:vAlign w:val="bottom"/>
            <w:shd w:val="clear" w:color="auto" w:fill="E5F1F9"/>
          </w:tcPr>
          <w:p>
            <w:pPr>
              <w:spacing w:after="0"/>
              <w:rPr>
                <w:sz w:val="17"/>
                <w:szCs w:val="17"/>
                <w:color w:val="auto"/>
              </w:rPr>
            </w:pPr>
          </w:p>
        </w:tc>
        <w:tc>
          <w:tcPr>
            <w:tcW w:w="1140" w:type="dxa"/>
            <w:vAlign w:val="bottom"/>
            <w:shd w:val="clear" w:color="auto" w:fill="E5F1F9"/>
          </w:tcPr>
          <w:p>
            <w:pPr>
              <w:spacing w:after="0"/>
              <w:rPr>
                <w:sz w:val="17"/>
                <w:szCs w:val="17"/>
                <w:color w:val="auto"/>
              </w:rPr>
            </w:pPr>
          </w:p>
        </w:tc>
        <w:tc>
          <w:tcPr>
            <w:tcW w:w="1120" w:type="dxa"/>
            <w:vAlign w:val="bottom"/>
            <w:tcBorders>
              <w:right w:val="single" w:sz="8" w:color="auto"/>
            </w:tcBorders>
            <w:shd w:val="clear" w:color="auto" w:fill="E5F1F9"/>
          </w:tcPr>
          <w:p>
            <w:pPr>
              <w:spacing w:after="0"/>
              <w:rPr>
                <w:sz w:val="17"/>
                <w:szCs w:val="17"/>
                <w:color w:val="auto"/>
              </w:rPr>
            </w:pPr>
          </w:p>
        </w:tc>
      </w:tr>
      <w:tr>
        <w:trPr>
          <w:trHeight w:val="230"/>
        </w:trPr>
        <w:tc>
          <w:tcPr>
            <w:tcW w:w="384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4"/>
                <w:szCs w:val="14"/>
                <w:color w:val="auto"/>
              </w:rPr>
              <w:t>awards that vested during the year</w:t>
            </w:r>
          </w:p>
        </w:tc>
        <w:tc>
          <w:tcPr>
            <w:tcW w:w="11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($191,819)</w:t>
            </w:r>
          </w:p>
        </w:tc>
        <w:tc>
          <w:tcPr>
            <w:tcW w:w="116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($1,277,904)</w:t>
            </w:r>
          </w:p>
        </w:tc>
        <w:tc>
          <w:tcPr>
            <w:tcW w:w="10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($1,363,419)</w:t>
            </w:r>
          </w:p>
        </w:tc>
        <w:tc>
          <w:tcPr>
            <w:tcW w:w="1620" w:type="dxa"/>
            <w:vAlign w:val="bottom"/>
            <w:tcBorders>
              <w:bottom w:val="single" w:sz="8" w:color="E5F1F9"/>
            </w:tcBorders>
            <w:shd w:val="clear" w:color="auto" w:fill="E5F1F9"/>
          </w:tcPr>
          <w:p>
            <w:pPr>
              <w:jc w:val="center"/>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E5F1F9"/>
            </w:tcBorders>
            <w:shd w:val="clear" w:color="auto" w:fill="E5F1F9"/>
          </w:tcPr>
          <w:p>
            <w:pPr>
              <w:jc w:val="right"/>
              <w:ind w:right="168"/>
              <w:spacing w:after="0"/>
              <w:rPr>
                <w:sz w:val="20"/>
                <w:szCs w:val="20"/>
                <w:color w:val="auto"/>
              </w:rPr>
            </w:pPr>
            <w:r>
              <w:rPr>
                <w:rFonts w:ascii="Arial" w:cs="Arial" w:eastAsia="Arial" w:hAnsi="Arial"/>
                <w:sz w:val="14"/>
                <w:szCs w:val="14"/>
                <w:color w:val="auto"/>
              </w:rPr>
              <w:t>($1,085,768)</w:t>
            </w:r>
          </w:p>
        </w:tc>
        <w:tc>
          <w:tcPr>
            <w:tcW w:w="1120" w:type="dxa"/>
            <w:vAlign w:val="bottom"/>
            <w:tcBorders>
              <w:bottom w:val="single" w:sz="8" w:color="E5F1F9"/>
              <w:right w:val="single" w:sz="8" w:color="auto"/>
            </w:tcBorders>
            <w:shd w:val="clear" w:color="auto" w:fill="E5F1F9"/>
          </w:tcPr>
          <w:p>
            <w:pPr>
              <w:jc w:val="center"/>
              <w:ind w:left="8"/>
              <w:spacing w:after="0"/>
              <w:rPr>
                <w:sz w:val="20"/>
                <w:szCs w:val="20"/>
                <w:color w:val="auto"/>
              </w:rPr>
            </w:pPr>
            <w:r>
              <w:rPr>
                <w:rFonts w:ascii="Arial" w:cs="Arial" w:eastAsia="Arial" w:hAnsi="Arial"/>
                <w:sz w:val="14"/>
                <w:szCs w:val="14"/>
                <w:color w:val="auto"/>
              </w:rPr>
              <w:t>$1,307,643</w:t>
            </w:r>
          </w:p>
        </w:tc>
      </w:tr>
      <w:tr>
        <w:trPr>
          <w:trHeight w:val="230"/>
        </w:trPr>
        <w:tc>
          <w:tcPr>
            <w:tcW w:w="3840" w:type="dxa"/>
            <w:vAlign w:val="bottom"/>
            <w:tcBorders>
              <w:top w:val="single" w:sz="8" w:color="auto"/>
              <w:left w:val="single" w:sz="8" w:color="auto"/>
              <w:bottom w:val="single" w:sz="8" w:color="B2D5EE"/>
            </w:tcBorders>
            <w:shd w:val="clear" w:color="auto" w:fill="B2D5EE"/>
          </w:tcPr>
          <w:p>
            <w:pPr>
              <w:ind w:left="160"/>
              <w:spacing w:after="0"/>
              <w:rPr>
                <w:sz w:val="20"/>
                <w:szCs w:val="20"/>
                <w:color w:val="auto"/>
              </w:rPr>
            </w:pPr>
            <w:r>
              <w:rPr>
                <w:rFonts w:ascii="Arial" w:cs="Arial" w:eastAsia="Arial" w:hAnsi="Arial"/>
                <w:sz w:val="14"/>
                <w:szCs w:val="14"/>
                <w:b w:val="1"/>
                <w:bCs w:val="1"/>
                <w:color w:val="auto"/>
              </w:rPr>
              <w:t>Total Equity Award Adjustments</w:t>
            </w:r>
          </w:p>
        </w:tc>
        <w:tc>
          <w:tcPr>
            <w:tcW w:w="1120" w:type="dxa"/>
            <w:vAlign w:val="bottom"/>
            <w:tcBorders>
              <w:top w:val="single" w:sz="8" w:color="auto"/>
              <w:bottom w:val="single" w:sz="8" w:color="B2D5EE"/>
            </w:tcBorders>
            <w:shd w:val="clear" w:color="auto" w:fill="B2D5EE"/>
          </w:tcPr>
          <w:p>
            <w:pPr>
              <w:jc w:val="center"/>
              <w:spacing w:after="0"/>
              <w:rPr>
                <w:sz w:val="20"/>
                <w:szCs w:val="20"/>
                <w:color w:val="auto"/>
              </w:rPr>
            </w:pPr>
            <w:r>
              <w:rPr>
                <w:rFonts w:ascii="Arial" w:cs="Arial" w:eastAsia="Arial" w:hAnsi="Arial"/>
                <w:sz w:val="14"/>
                <w:szCs w:val="14"/>
                <w:b w:val="1"/>
                <w:bCs w:val="1"/>
                <w:color w:val="auto"/>
              </w:rPr>
              <w:t>$22,387,463</w:t>
            </w:r>
          </w:p>
        </w:tc>
        <w:tc>
          <w:tcPr>
            <w:tcW w:w="1160" w:type="dxa"/>
            <w:vAlign w:val="bottom"/>
            <w:tcBorders>
              <w:top w:val="single" w:sz="8" w:color="auto"/>
              <w:bottom w:val="single" w:sz="8" w:color="B2D5EE"/>
            </w:tcBorders>
            <w:shd w:val="clear" w:color="auto" w:fill="B2D5EE"/>
          </w:tcPr>
          <w:p>
            <w:pPr>
              <w:jc w:val="center"/>
              <w:spacing w:after="0"/>
              <w:rPr>
                <w:sz w:val="20"/>
                <w:szCs w:val="20"/>
                <w:color w:val="auto"/>
              </w:rPr>
            </w:pPr>
            <w:r>
              <w:rPr>
                <w:rFonts w:ascii="Arial" w:cs="Arial" w:eastAsia="Arial" w:hAnsi="Arial"/>
                <w:sz w:val="14"/>
                <w:szCs w:val="14"/>
                <w:b w:val="1"/>
                <w:bCs w:val="1"/>
                <w:color w:val="auto"/>
              </w:rPr>
              <w:t>($4,904,890)</w:t>
            </w:r>
          </w:p>
        </w:tc>
        <w:tc>
          <w:tcPr>
            <w:tcW w:w="1040" w:type="dxa"/>
            <w:vAlign w:val="bottom"/>
            <w:tcBorders>
              <w:top w:val="single" w:sz="8" w:color="auto"/>
              <w:bottom w:val="single" w:sz="8" w:color="B2D5EE"/>
            </w:tcBorders>
            <w:shd w:val="clear" w:color="auto" w:fill="B2D5EE"/>
          </w:tcPr>
          <w:p>
            <w:pPr>
              <w:jc w:val="center"/>
              <w:spacing w:after="0"/>
              <w:rPr>
                <w:sz w:val="20"/>
                <w:szCs w:val="20"/>
                <w:color w:val="auto"/>
              </w:rPr>
            </w:pPr>
            <w:r>
              <w:rPr>
                <w:rFonts w:ascii="Arial" w:cs="Arial" w:eastAsia="Arial" w:hAnsi="Arial"/>
                <w:sz w:val="14"/>
                <w:szCs w:val="14"/>
                <w:b w:val="1"/>
                <w:bCs w:val="1"/>
                <w:color w:val="auto"/>
              </w:rPr>
              <w:t>($8,568,106)</w:t>
            </w:r>
          </w:p>
        </w:tc>
        <w:tc>
          <w:tcPr>
            <w:tcW w:w="1620" w:type="dxa"/>
            <w:vAlign w:val="bottom"/>
            <w:tcBorders>
              <w:top w:val="single" w:sz="8" w:color="auto"/>
              <w:bottom w:val="single" w:sz="8" w:color="B2D5EE"/>
            </w:tcBorders>
            <w:shd w:val="clear" w:color="auto" w:fill="B2D5EE"/>
          </w:tcPr>
          <w:p>
            <w:pPr>
              <w:jc w:val="center"/>
              <w:ind w:right="108"/>
              <w:spacing w:after="0"/>
              <w:rPr>
                <w:sz w:val="20"/>
                <w:szCs w:val="20"/>
                <w:color w:val="auto"/>
              </w:rPr>
            </w:pPr>
            <w:r>
              <w:rPr>
                <w:rFonts w:ascii="Arial" w:cs="Arial" w:eastAsia="Arial" w:hAnsi="Arial"/>
                <w:sz w:val="14"/>
                <w:szCs w:val="14"/>
                <w:b w:val="1"/>
                <w:bCs w:val="1"/>
                <w:color w:val="auto"/>
              </w:rPr>
              <w:t>$27,063,911</w:t>
            </w:r>
          </w:p>
        </w:tc>
        <w:tc>
          <w:tcPr>
            <w:tcW w:w="1140" w:type="dxa"/>
            <w:vAlign w:val="bottom"/>
            <w:tcBorders>
              <w:top w:val="single" w:sz="8" w:color="auto"/>
              <w:bottom w:val="single" w:sz="8" w:color="B2D5EE"/>
            </w:tcBorders>
            <w:shd w:val="clear" w:color="auto" w:fill="B2D5EE"/>
          </w:tcPr>
          <w:p>
            <w:pPr>
              <w:jc w:val="right"/>
              <w:ind w:right="168"/>
              <w:spacing w:after="0"/>
              <w:rPr>
                <w:sz w:val="20"/>
                <w:szCs w:val="20"/>
                <w:color w:val="auto"/>
              </w:rPr>
            </w:pPr>
            <w:r>
              <w:rPr>
                <w:rFonts w:ascii="Arial" w:cs="Arial" w:eastAsia="Arial" w:hAnsi="Arial"/>
                <w:sz w:val="14"/>
                <w:szCs w:val="14"/>
                <w:b w:val="1"/>
                <w:bCs w:val="1"/>
                <w:color w:val="auto"/>
              </w:rPr>
              <w:t>($5,336,778)</w:t>
            </w:r>
          </w:p>
        </w:tc>
        <w:tc>
          <w:tcPr>
            <w:tcW w:w="1120" w:type="dxa"/>
            <w:vAlign w:val="bottom"/>
            <w:tcBorders>
              <w:top w:val="single" w:sz="8" w:color="auto"/>
              <w:bottom w:val="single" w:sz="8" w:color="B2D5EE"/>
              <w:right w:val="single" w:sz="8" w:color="auto"/>
            </w:tcBorders>
            <w:shd w:val="clear" w:color="auto" w:fill="B2D5EE"/>
          </w:tcPr>
          <w:p>
            <w:pPr>
              <w:jc w:val="center"/>
              <w:ind w:left="8"/>
              <w:spacing w:after="0"/>
              <w:rPr>
                <w:sz w:val="20"/>
                <w:szCs w:val="20"/>
                <w:color w:val="auto"/>
              </w:rPr>
            </w:pPr>
            <w:r>
              <w:rPr>
                <w:rFonts w:ascii="Arial" w:cs="Arial" w:eastAsia="Arial" w:hAnsi="Arial"/>
                <w:sz w:val="14"/>
                <w:szCs w:val="14"/>
                <w:b w:val="1"/>
                <w:bCs w:val="1"/>
                <w:color w:val="auto"/>
              </w:rPr>
              <w:t>$11,605,674</w:t>
            </w:r>
          </w:p>
        </w:tc>
      </w:tr>
      <w:tr>
        <w:trPr>
          <w:trHeight w:val="20"/>
        </w:trPr>
        <w:tc>
          <w:tcPr>
            <w:tcW w:w="3840" w:type="dxa"/>
            <w:vAlign w:val="bottom"/>
            <w:tcBorders>
              <w:left w:val="single" w:sz="8" w:color="auto"/>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-899160</wp:posOffset>
            </wp:positionV>
            <wp:extent cx="6858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4"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The following tables set forth the adjustments made during each year in the PVP table to arrive at “compensation actually paid” to our non-CEO NEOs during each year.</w:t>
      </w:r>
    </w:p>
    <w:p>
      <w:pPr>
        <w:spacing w:after="0" w:line="177"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3300" w:type="dxa"/>
            <w:vAlign w:val="bottom"/>
            <w:tcBorders>
              <w:top w:val="single" w:sz="8" w:color="auto"/>
              <w:left w:val="single" w:sz="8" w:color="auto"/>
            </w:tcBorders>
            <w:shd w:val="clear" w:color="auto" w:fill="0075C9"/>
          </w:tcPr>
          <w:p>
            <w:pPr>
              <w:spacing w:after="0"/>
              <w:rPr>
                <w:sz w:val="15"/>
                <w:szCs w:val="15"/>
                <w:color w:val="auto"/>
              </w:rPr>
            </w:pPr>
          </w:p>
        </w:tc>
        <w:tc>
          <w:tcPr>
            <w:tcW w:w="2360" w:type="dxa"/>
            <w:vAlign w:val="bottom"/>
            <w:tcBorders>
              <w:top w:val="single" w:sz="8" w:color="auto"/>
            </w:tcBorders>
            <w:shd w:val="clear" w:color="auto" w:fill="0075C9"/>
          </w:tcPr>
          <w:p>
            <w:pPr>
              <w:spacing w:after="0"/>
              <w:rPr>
                <w:sz w:val="15"/>
                <w:szCs w:val="15"/>
                <w:color w:val="auto"/>
              </w:rPr>
            </w:pPr>
          </w:p>
        </w:tc>
        <w:tc>
          <w:tcPr>
            <w:tcW w:w="2120" w:type="dxa"/>
            <w:vAlign w:val="bottom"/>
            <w:tcBorders>
              <w:top w:val="single" w:sz="8" w:color="auto"/>
            </w:tcBorders>
            <w:shd w:val="clear" w:color="auto" w:fill="0075C9"/>
          </w:tcPr>
          <w:p>
            <w:pPr>
              <w:spacing w:after="0"/>
              <w:rPr>
                <w:sz w:val="15"/>
                <w:szCs w:val="15"/>
                <w:color w:val="auto"/>
              </w:rPr>
            </w:pPr>
          </w:p>
        </w:tc>
        <w:tc>
          <w:tcPr>
            <w:tcW w:w="1860" w:type="dxa"/>
            <w:vAlign w:val="bottom"/>
            <w:tcBorders>
              <w:top w:val="single" w:sz="8" w:color="auto"/>
            </w:tcBorders>
            <w:shd w:val="clear" w:color="auto" w:fill="0075C9"/>
          </w:tcPr>
          <w:p>
            <w:pPr>
              <w:spacing w:after="0"/>
              <w:rPr>
                <w:sz w:val="15"/>
                <w:szCs w:val="15"/>
                <w:color w:val="auto"/>
              </w:rPr>
            </w:pPr>
          </w:p>
        </w:tc>
        <w:tc>
          <w:tcPr>
            <w:tcW w:w="1400" w:type="dxa"/>
            <w:vAlign w:val="bottom"/>
            <w:tcBorders>
              <w:top w:val="single" w:sz="8" w:color="auto"/>
              <w:right w:val="single" w:sz="8" w:color="auto"/>
            </w:tcBorders>
            <w:shd w:val="clear" w:color="auto" w:fill="0075C9"/>
          </w:tcPr>
          <w:p>
            <w:pPr>
              <w:jc w:val="center"/>
              <w:ind w:left="148"/>
              <w:spacing w:after="0"/>
              <w:rPr>
                <w:sz w:val="20"/>
                <w:szCs w:val="20"/>
                <w:color w:val="auto"/>
              </w:rPr>
            </w:pPr>
            <w:r>
              <w:rPr>
                <w:rFonts w:ascii="Arial" w:cs="Arial" w:eastAsia="Arial" w:hAnsi="Arial"/>
                <w:sz w:val="14"/>
                <w:szCs w:val="14"/>
                <w:color w:val="FFFFFF"/>
              </w:rPr>
              <w:t>Average</w:t>
            </w:r>
          </w:p>
        </w:tc>
      </w:tr>
      <w:tr>
        <w:trPr>
          <w:trHeight w:val="162"/>
        </w:trPr>
        <w:tc>
          <w:tcPr>
            <w:tcW w:w="3300" w:type="dxa"/>
            <w:vAlign w:val="bottom"/>
            <w:tcBorders>
              <w:left w:val="single" w:sz="8" w:color="auto"/>
            </w:tcBorders>
            <w:shd w:val="clear" w:color="auto" w:fill="0075C9"/>
          </w:tcPr>
          <w:p>
            <w:pPr>
              <w:spacing w:after="0"/>
              <w:rPr>
                <w:sz w:val="14"/>
                <w:szCs w:val="14"/>
                <w:color w:val="auto"/>
              </w:rPr>
            </w:pPr>
          </w:p>
        </w:tc>
        <w:tc>
          <w:tcPr>
            <w:tcW w:w="2360" w:type="dxa"/>
            <w:vAlign w:val="bottom"/>
            <w:shd w:val="clear" w:color="auto" w:fill="0075C9"/>
          </w:tcPr>
          <w:p>
            <w:pPr>
              <w:jc w:val="center"/>
              <w:ind w:left="108"/>
              <w:spacing w:after="0"/>
              <w:rPr>
                <w:sz w:val="20"/>
                <w:szCs w:val="20"/>
                <w:color w:val="auto"/>
              </w:rPr>
            </w:pPr>
            <w:r>
              <w:rPr>
                <w:rFonts w:ascii="Arial" w:cs="Arial" w:eastAsia="Arial" w:hAnsi="Arial"/>
                <w:sz w:val="14"/>
                <w:szCs w:val="14"/>
                <w:color w:val="FFFFFF"/>
              </w:rPr>
              <w:t>Average Summary</w:t>
            </w:r>
          </w:p>
        </w:tc>
        <w:tc>
          <w:tcPr>
            <w:tcW w:w="212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Average Reported Value</w:t>
            </w:r>
          </w:p>
        </w:tc>
        <w:tc>
          <w:tcPr>
            <w:tcW w:w="186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Average Equity</w:t>
            </w:r>
          </w:p>
        </w:tc>
        <w:tc>
          <w:tcPr>
            <w:tcW w:w="1400" w:type="dxa"/>
            <w:vAlign w:val="bottom"/>
            <w:tcBorders>
              <w:right w:val="single" w:sz="8" w:color="auto"/>
            </w:tcBorders>
            <w:shd w:val="clear" w:color="auto" w:fill="0075C9"/>
          </w:tcPr>
          <w:p>
            <w:pPr>
              <w:jc w:val="center"/>
              <w:ind w:left="148"/>
              <w:spacing w:after="0"/>
              <w:rPr>
                <w:sz w:val="20"/>
                <w:szCs w:val="20"/>
                <w:color w:val="auto"/>
              </w:rPr>
            </w:pPr>
            <w:r>
              <w:rPr>
                <w:rFonts w:ascii="Arial" w:cs="Arial" w:eastAsia="Arial" w:hAnsi="Arial"/>
                <w:sz w:val="14"/>
                <w:szCs w:val="14"/>
                <w:color w:val="FFFFFF"/>
              </w:rPr>
              <w:t>Compensation</w:t>
            </w:r>
          </w:p>
        </w:tc>
      </w:tr>
      <w:tr>
        <w:trPr>
          <w:trHeight w:val="162"/>
        </w:trPr>
        <w:tc>
          <w:tcPr>
            <w:tcW w:w="3300" w:type="dxa"/>
            <w:vAlign w:val="bottom"/>
            <w:tcBorders>
              <w:left w:val="single" w:sz="8" w:color="auto"/>
            </w:tcBorders>
            <w:shd w:val="clear" w:color="auto" w:fill="0075C9"/>
          </w:tcPr>
          <w:p>
            <w:pPr>
              <w:spacing w:after="0"/>
              <w:rPr>
                <w:sz w:val="14"/>
                <w:szCs w:val="14"/>
                <w:color w:val="auto"/>
              </w:rPr>
            </w:pPr>
          </w:p>
        </w:tc>
        <w:tc>
          <w:tcPr>
            <w:tcW w:w="2360" w:type="dxa"/>
            <w:vAlign w:val="bottom"/>
            <w:shd w:val="clear" w:color="auto" w:fill="0075C9"/>
          </w:tcPr>
          <w:p>
            <w:pPr>
              <w:jc w:val="center"/>
              <w:ind w:left="108"/>
              <w:spacing w:after="0"/>
              <w:rPr>
                <w:sz w:val="20"/>
                <w:szCs w:val="20"/>
                <w:color w:val="auto"/>
              </w:rPr>
            </w:pPr>
            <w:r>
              <w:rPr>
                <w:rFonts w:ascii="Arial" w:cs="Arial" w:eastAsia="Arial" w:hAnsi="Arial"/>
                <w:sz w:val="14"/>
                <w:szCs w:val="14"/>
                <w:color w:val="FFFFFF"/>
              </w:rPr>
              <w:t>Compensation Table Total</w:t>
            </w:r>
          </w:p>
        </w:tc>
        <w:tc>
          <w:tcPr>
            <w:tcW w:w="212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of Equity Awards for</w:t>
            </w:r>
          </w:p>
        </w:tc>
        <w:tc>
          <w:tcPr>
            <w:tcW w:w="186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Award Adjustments</w:t>
            </w:r>
          </w:p>
        </w:tc>
        <w:tc>
          <w:tcPr>
            <w:tcW w:w="1400" w:type="dxa"/>
            <w:vAlign w:val="bottom"/>
            <w:tcBorders>
              <w:right w:val="single" w:sz="8" w:color="auto"/>
            </w:tcBorders>
            <w:shd w:val="clear" w:color="auto" w:fill="0075C9"/>
          </w:tcPr>
          <w:p>
            <w:pPr>
              <w:jc w:val="center"/>
              <w:ind w:left="148"/>
              <w:spacing w:after="0"/>
              <w:rPr>
                <w:sz w:val="20"/>
                <w:szCs w:val="20"/>
                <w:color w:val="auto"/>
              </w:rPr>
            </w:pPr>
            <w:r>
              <w:rPr>
                <w:rFonts w:ascii="Arial" w:cs="Arial" w:eastAsia="Arial" w:hAnsi="Arial"/>
                <w:sz w:val="14"/>
                <w:szCs w:val="14"/>
                <w:color w:val="FFFFFF"/>
              </w:rPr>
              <w:t>Actually Paid to</w:t>
            </w:r>
          </w:p>
        </w:tc>
      </w:tr>
      <w:tr>
        <w:trPr>
          <w:trHeight w:val="171"/>
        </w:trPr>
        <w:tc>
          <w:tcPr>
            <w:tcW w:w="3300" w:type="dxa"/>
            <w:vAlign w:val="bottom"/>
            <w:tcBorders>
              <w:left w:val="single" w:sz="8" w:color="auto"/>
            </w:tcBorders>
            <w:shd w:val="clear" w:color="auto" w:fill="0075C9"/>
          </w:tcPr>
          <w:p>
            <w:pPr>
              <w:ind w:left="160"/>
              <w:spacing w:after="0"/>
              <w:rPr>
                <w:sz w:val="20"/>
                <w:szCs w:val="20"/>
                <w:color w:val="auto"/>
              </w:rPr>
            </w:pPr>
            <w:r>
              <w:rPr>
                <w:rFonts w:ascii="Arial" w:cs="Arial" w:eastAsia="Arial" w:hAnsi="Arial"/>
                <w:sz w:val="14"/>
                <w:szCs w:val="14"/>
                <w:color w:val="FFFFFF"/>
              </w:rPr>
              <w:t>Fiscal Year</w:t>
            </w:r>
          </w:p>
        </w:tc>
        <w:tc>
          <w:tcPr>
            <w:tcW w:w="2360" w:type="dxa"/>
            <w:vAlign w:val="bottom"/>
            <w:shd w:val="clear" w:color="auto" w:fill="0075C9"/>
          </w:tcPr>
          <w:p>
            <w:pPr>
              <w:jc w:val="center"/>
              <w:ind w:left="108"/>
              <w:spacing w:after="0"/>
              <w:rPr>
                <w:sz w:val="20"/>
                <w:szCs w:val="20"/>
                <w:color w:val="auto"/>
              </w:rPr>
            </w:pPr>
            <w:r>
              <w:rPr>
                <w:rFonts w:ascii="Arial" w:cs="Arial" w:eastAsia="Arial" w:hAnsi="Arial"/>
                <w:sz w:val="14"/>
                <w:szCs w:val="14"/>
                <w:color w:val="FFFFFF"/>
              </w:rPr>
              <w:t>for Non-CEO NEOs</w:t>
            </w:r>
          </w:p>
        </w:tc>
        <w:tc>
          <w:tcPr>
            <w:tcW w:w="212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Non-CEO NEOs</w:t>
            </w:r>
            <w:r>
              <w:rPr>
                <w:rFonts w:ascii="Arial" w:cs="Arial" w:eastAsia="Arial" w:hAnsi="Arial"/>
                <w:sz w:val="11"/>
                <w:szCs w:val="11"/>
                <w:color w:val="FFFFFF"/>
                <w:vertAlign w:val="superscript"/>
              </w:rPr>
              <w:t>(1)</w:t>
            </w:r>
          </w:p>
        </w:tc>
        <w:tc>
          <w:tcPr>
            <w:tcW w:w="186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for Non-CEO NEOs</w:t>
            </w:r>
            <w:r>
              <w:rPr>
                <w:rFonts w:ascii="Arial" w:cs="Arial" w:eastAsia="Arial" w:hAnsi="Arial"/>
                <w:sz w:val="11"/>
                <w:szCs w:val="11"/>
                <w:color w:val="FFFFFF"/>
                <w:vertAlign w:val="superscript"/>
              </w:rPr>
              <w:t>(2)</w:t>
            </w:r>
          </w:p>
        </w:tc>
        <w:tc>
          <w:tcPr>
            <w:tcW w:w="1400" w:type="dxa"/>
            <w:vAlign w:val="bottom"/>
            <w:tcBorders>
              <w:right w:val="single" w:sz="8" w:color="auto"/>
            </w:tcBorders>
            <w:shd w:val="clear" w:color="auto" w:fill="0075C9"/>
          </w:tcPr>
          <w:p>
            <w:pPr>
              <w:jc w:val="center"/>
              <w:ind w:left="148"/>
              <w:spacing w:after="0"/>
              <w:rPr>
                <w:sz w:val="20"/>
                <w:szCs w:val="20"/>
                <w:color w:val="auto"/>
              </w:rPr>
            </w:pPr>
            <w:r>
              <w:rPr>
                <w:rFonts w:ascii="Arial" w:cs="Arial" w:eastAsia="Arial" w:hAnsi="Arial"/>
                <w:sz w:val="14"/>
                <w:szCs w:val="14"/>
                <w:color w:val="FFFFFF"/>
              </w:rPr>
              <w:t>Non-CEO NEOs</w:t>
            </w:r>
          </w:p>
        </w:tc>
      </w:tr>
      <w:tr>
        <w:trPr>
          <w:trHeight w:val="250"/>
        </w:trPr>
        <w:tc>
          <w:tcPr>
            <w:tcW w:w="330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4"/>
                <w:szCs w:val="14"/>
                <w:color w:val="auto"/>
              </w:rPr>
              <w:t>2025</w:t>
            </w:r>
          </w:p>
        </w:tc>
        <w:tc>
          <w:tcPr>
            <w:tcW w:w="2360" w:type="dxa"/>
            <w:vAlign w:val="bottom"/>
            <w:tcBorders>
              <w:bottom w:val="single" w:sz="8" w:color="E5F1F9"/>
            </w:tcBorders>
            <w:shd w:val="clear" w:color="auto" w:fill="E5F1F9"/>
          </w:tcPr>
          <w:p>
            <w:pPr>
              <w:jc w:val="center"/>
              <w:ind w:left="88"/>
              <w:spacing w:after="0"/>
              <w:rPr>
                <w:sz w:val="20"/>
                <w:szCs w:val="20"/>
                <w:color w:val="auto"/>
              </w:rPr>
            </w:pPr>
            <w:r>
              <w:rPr>
                <w:rFonts w:ascii="Arial" w:cs="Arial" w:eastAsia="Arial" w:hAnsi="Arial"/>
                <w:sz w:val="14"/>
                <w:szCs w:val="14"/>
                <w:color w:val="auto"/>
              </w:rPr>
              <w:t>$5,871,297</w:t>
            </w:r>
          </w:p>
        </w:tc>
        <w:tc>
          <w:tcPr>
            <w:tcW w:w="21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$4,230,214</w:t>
            </w:r>
          </w:p>
        </w:tc>
        <w:tc>
          <w:tcPr>
            <w:tcW w:w="1860" w:type="dxa"/>
            <w:vAlign w:val="bottom"/>
            <w:tcBorders>
              <w:bottom w:val="single" w:sz="8" w:color="E5F1F9"/>
            </w:tcBorders>
            <w:shd w:val="clear" w:color="auto" w:fill="E5F1F9"/>
          </w:tcPr>
          <w:p>
            <w:pPr>
              <w:jc w:val="right"/>
              <w:ind w:right="488"/>
              <w:spacing w:after="0"/>
              <w:rPr>
                <w:sz w:val="20"/>
                <w:szCs w:val="20"/>
                <w:color w:val="auto"/>
              </w:rPr>
            </w:pPr>
            <w:r>
              <w:rPr>
                <w:rFonts w:ascii="Arial" w:cs="Arial" w:eastAsia="Arial" w:hAnsi="Arial"/>
                <w:sz w:val="14"/>
                <w:szCs w:val="14"/>
                <w:color w:val="auto"/>
              </w:rPr>
              <w:t>$4,655,074</w:t>
            </w:r>
          </w:p>
        </w:tc>
        <w:tc>
          <w:tcPr>
            <w:tcW w:w="1400" w:type="dxa"/>
            <w:vAlign w:val="bottom"/>
            <w:tcBorders>
              <w:bottom w:val="single" w:sz="8" w:color="E5F1F9"/>
              <w:right w:val="single" w:sz="8" w:color="auto"/>
            </w:tcBorders>
            <w:shd w:val="clear" w:color="auto" w:fill="E5F1F9"/>
          </w:tcPr>
          <w:p>
            <w:pPr>
              <w:jc w:val="center"/>
              <w:ind w:left="168"/>
              <w:spacing w:after="0"/>
              <w:rPr>
                <w:sz w:val="20"/>
                <w:szCs w:val="20"/>
                <w:color w:val="auto"/>
              </w:rPr>
            </w:pPr>
            <w:r>
              <w:rPr>
                <w:rFonts w:ascii="Arial" w:cs="Arial" w:eastAsia="Arial" w:hAnsi="Arial"/>
                <w:sz w:val="14"/>
                <w:szCs w:val="14"/>
                <w:color w:val="auto"/>
              </w:rPr>
              <w:t>$6,296,156</w:t>
            </w:r>
          </w:p>
        </w:tc>
      </w:tr>
      <w:tr>
        <w:trPr>
          <w:trHeight w:val="250"/>
        </w:trPr>
        <w:tc>
          <w:tcPr>
            <w:tcW w:w="3300" w:type="dxa"/>
            <w:vAlign w:val="bottom"/>
            <w:tcBorders>
              <w:left w:val="single" w:sz="8" w:color="auto"/>
              <w:bottom w:val="single" w:sz="8" w:color="B2D5EE"/>
            </w:tcBorders>
            <w:shd w:val="clear" w:color="auto" w:fill="B2D5EE"/>
          </w:tcPr>
          <w:p>
            <w:pPr>
              <w:ind w:left="160"/>
              <w:spacing w:after="0"/>
              <w:rPr>
                <w:sz w:val="20"/>
                <w:szCs w:val="20"/>
                <w:color w:val="auto"/>
              </w:rPr>
            </w:pPr>
            <w:r>
              <w:rPr>
                <w:rFonts w:ascii="Arial" w:cs="Arial" w:eastAsia="Arial" w:hAnsi="Arial"/>
                <w:sz w:val="14"/>
                <w:szCs w:val="14"/>
                <w:color w:val="auto"/>
              </w:rPr>
              <w:t>2024</w:t>
            </w:r>
          </w:p>
        </w:tc>
        <w:tc>
          <w:tcPr>
            <w:tcW w:w="2360" w:type="dxa"/>
            <w:vAlign w:val="bottom"/>
            <w:tcBorders>
              <w:bottom w:val="single" w:sz="8" w:color="B2D5EE"/>
            </w:tcBorders>
            <w:shd w:val="clear" w:color="auto" w:fill="B2D5EE"/>
          </w:tcPr>
          <w:p>
            <w:pPr>
              <w:jc w:val="center"/>
              <w:ind w:left="88"/>
              <w:spacing w:after="0"/>
              <w:rPr>
                <w:sz w:val="20"/>
                <w:szCs w:val="20"/>
                <w:color w:val="auto"/>
              </w:rPr>
            </w:pPr>
            <w:r>
              <w:rPr>
                <w:rFonts w:ascii="Arial" w:cs="Arial" w:eastAsia="Arial" w:hAnsi="Arial"/>
                <w:sz w:val="14"/>
                <w:szCs w:val="14"/>
                <w:color w:val="auto"/>
              </w:rPr>
              <w:t>$6,365,146</w:t>
            </w:r>
          </w:p>
        </w:tc>
        <w:tc>
          <w:tcPr>
            <w:tcW w:w="21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$4,156,541</w:t>
            </w:r>
          </w:p>
        </w:tc>
        <w:tc>
          <w:tcPr>
            <w:tcW w:w="1860" w:type="dxa"/>
            <w:vAlign w:val="bottom"/>
            <w:tcBorders>
              <w:bottom w:val="single" w:sz="8" w:color="B2D5EE"/>
            </w:tcBorders>
            <w:shd w:val="clear" w:color="auto" w:fill="B2D5EE"/>
          </w:tcPr>
          <w:p>
            <w:pPr>
              <w:jc w:val="right"/>
              <w:ind w:right="448"/>
              <w:spacing w:after="0"/>
              <w:rPr>
                <w:sz w:val="20"/>
                <w:szCs w:val="20"/>
                <w:color w:val="auto"/>
              </w:rPr>
            </w:pPr>
            <w:r>
              <w:rPr>
                <w:rFonts w:ascii="Arial" w:cs="Arial" w:eastAsia="Arial" w:hAnsi="Arial"/>
                <w:sz w:val="14"/>
                <w:szCs w:val="14"/>
                <w:color w:val="auto"/>
              </w:rPr>
              <w:t>($2,437,548)</w:t>
            </w:r>
          </w:p>
        </w:tc>
        <w:tc>
          <w:tcPr>
            <w:tcW w:w="1400" w:type="dxa"/>
            <w:vAlign w:val="bottom"/>
            <w:tcBorders>
              <w:bottom w:val="single" w:sz="8" w:color="B2D5EE"/>
              <w:right w:val="single" w:sz="8" w:color="auto"/>
            </w:tcBorders>
            <w:shd w:val="clear" w:color="auto" w:fill="B2D5EE"/>
          </w:tcPr>
          <w:p>
            <w:pPr>
              <w:jc w:val="center"/>
              <w:ind w:left="188"/>
              <w:spacing w:after="0"/>
              <w:rPr>
                <w:sz w:val="20"/>
                <w:szCs w:val="20"/>
                <w:color w:val="auto"/>
              </w:rPr>
            </w:pPr>
            <w:r>
              <w:rPr>
                <w:rFonts w:ascii="Arial" w:cs="Arial" w:eastAsia="Arial" w:hAnsi="Arial"/>
                <w:sz w:val="14"/>
                <w:szCs w:val="14"/>
                <w:color w:val="auto"/>
              </w:rPr>
              <w:t>($228,942)</w:t>
            </w:r>
          </w:p>
        </w:tc>
      </w:tr>
      <w:tr>
        <w:trPr>
          <w:trHeight w:val="250"/>
        </w:trPr>
        <w:tc>
          <w:tcPr>
            <w:tcW w:w="330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4"/>
                <w:szCs w:val="14"/>
                <w:color w:val="auto"/>
              </w:rPr>
              <w:t>2023</w:t>
            </w:r>
          </w:p>
        </w:tc>
        <w:tc>
          <w:tcPr>
            <w:tcW w:w="2360" w:type="dxa"/>
            <w:vAlign w:val="bottom"/>
            <w:tcBorders>
              <w:bottom w:val="single" w:sz="8" w:color="E5F1F9"/>
            </w:tcBorders>
            <w:shd w:val="clear" w:color="auto" w:fill="E5F1F9"/>
          </w:tcPr>
          <w:p>
            <w:pPr>
              <w:jc w:val="center"/>
              <w:ind w:left="88"/>
              <w:spacing w:after="0"/>
              <w:rPr>
                <w:sz w:val="20"/>
                <w:szCs w:val="20"/>
                <w:color w:val="auto"/>
              </w:rPr>
            </w:pPr>
            <w:r>
              <w:rPr>
                <w:rFonts w:ascii="Arial" w:cs="Arial" w:eastAsia="Arial" w:hAnsi="Arial"/>
                <w:sz w:val="14"/>
                <w:szCs w:val="14"/>
                <w:color w:val="auto"/>
              </w:rPr>
              <w:t>$6,258,401</w:t>
            </w:r>
          </w:p>
        </w:tc>
        <w:tc>
          <w:tcPr>
            <w:tcW w:w="21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$4,503,143</w:t>
            </w:r>
          </w:p>
        </w:tc>
        <w:tc>
          <w:tcPr>
            <w:tcW w:w="1860" w:type="dxa"/>
            <w:vAlign w:val="bottom"/>
            <w:tcBorders>
              <w:bottom w:val="single" w:sz="8" w:color="E5F1F9"/>
            </w:tcBorders>
            <w:shd w:val="clear" w:color="auto" w:fill="E5F1F9"/>
          </w:tcPr>
          <w:p>
            <w:pPr>
              <w:jc w:val="right"/>
              <w:ind w:right="488"/>
              <w:spacing w:after="0"/>
              <w:rPr>
                <w:sz w:val="20"/>
                <w:szCs w:val="20"/>
                <w:color w:val="auto"/>
              </w:rPr>
            </w:pPr>
            <w:r>
              <w:rPr>
                <w:rFonts w:ascii="Arial" w:cs="Arial" w:eastAsia="Arial" w:hAnsi="Arial"/>
                <w:sz w:val="14"/>
                <w:szCs w:val="14"/>
                <w:color w:val="auto"/>
              </w:rPr>
              <w:t>$2,467,073</w:t>
            </w:r>
          </w:p>
        </w:tc>
        <w:tc>
          <w:tcPr>
            <w:tcW w:w="1400" w:type="dxa"/>
            <w:vAlign w:val="bottom"/>
            <w:tcBorders>
              <w:bottom w:val="single" w:sz="8" w:color="E5F1F9"/>
              <w:right w:val="single" w:sz="8" w:color="auto"/>
            </w:tcBorders>
            <w:shd w:val="clear" w:color="auto" w:fill="E5F1F9"/>
          </w:tcPr>
          <w:p>
            <w:pPr>
              <w:jc w:val="center"/>
              <w:ind w:left="168"/>
              <w:spacing w:after="0"/>
              <w:rPr>
                <w:sz w:val="20"/>
                <w:szCs w:val="20"/>
                <w:color w:val="auto"/>
              </w:rPr>
            </w:pPr>
            <w:r>
              <w:rPr>
                <w:rFonts w:ascii="Arial" w:cs="Arial" w:eastAsia="Arial" w:hAnsi="Arial"/>
                <w:sz w:val="14"/>
                <w:szCs w:val="14"/>
                <w:color w:val="auto"/>
              </w:rPr>
              <w:t>$4,222,331</w:t>
            </w:r>
          </w:p>
        </w:tc>
      </w:tr>
      <w:tr>
        <w:trPr>
          <w:trHeight w:val="250"/>
        </w:trPr>
        <w:tc>
          <w:tcPr>
            <w:tcW w:w="3300" w:type="dxa"/>
            <w:vAlign w:val="bottom"/>
            <w:tcBorders>
              <w:left w:val="single" w:sz="8" w:color="auto"/>
              <w:bottom w:val="single" w:sz="8" w:color="B2D5EE"/>
            </w:tcBorders>
            <w:shd w:val="clear" w:color="auto" w:fill="B2D5EE"/>
          </w:tcPr>
          <w:p>
            <w:pPr>
              <w:ind w:left="160"/>
              <w:spacing w:after="0"/>
              <w:rPr>
                <w:sz w:val="20"/>
                <w:szCs w:val="20"/>
                <w:color w:val="auto"/>
              </w:rPr>
            </w:pPr>
            <w:r>
              <w:rPr>
                <w:rFonts w:ascii="Arial" w:cs="Arial" w:eastAsia="Arial" w:hAnsi="Arial"/>
                <w:sz w:val="14"/>
                <w:szCs w:val="14"/>
                <w:color w:val="auto"/>
              </w:rPr>
              <w:t>2022</w:t>
            </w:r>
          </w:p>
        </w:tc>
        <w:tc>
          <w:tcPr>
            <w:tcW w:w="2360" w:type="dxa"/>
            <w:vAlign w:val="bottom"/>
            <w:tcBorders>
              <w:bottom w:val="single" w:sz="8" w:color="B2D5EE"/>
            </w:tcBorders>
            <w:shd w:val="clear" w:color="auto" w:fill="B2D5EE"/>
          </w:tcPr>
          <w:p>
            <w:pPr>
              <w:jc w:val="center"/>
              <w:ind w:left="88"/>
              <w:spacing w:after="0"/>
              <w:rPr>
                <w:sz w:val="20"/>
                <w:szCs w:val="20"/>
                <w:color w:val="auto"/>
              </w:rPr>
            </w:pPr>
            <w:r>
              <w:rPr>
                <w:rFonts w:ascii="Arial" w:cs="Arial" w:eastAsia="Arial" w:hAnsi="Arial"/>
                <w:sz w:val="14"/>
                <w:szCs w:val="14"/>
                <w:color w:val="auto"/>
              </w:rPr>
              <w:t>$5,878,461</w:t>
            </w:r>
          </w:p>
        </w:tc>
        <w:tc>
          <w:tcPr>
            <w:tcW w:w="212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$4,223,226</w:t>
            </w:r>
          </w:p>
        </w:tc>
        <w:tc>
          <w:tcPr>
            <w:tcW w:w="1860" w:type="dxa"/>
            <w:vAlign w:val="bottom"/>
            <w:tcBorders>
              <w:bottom w:val="single" w:sz="8" w:color="B2D5EE"/>
            </w:tcBorders>
            <w:shd w:val="clear" w:color="auto" w:fill="B2D5EE"/>
          </w:tcPr>
          <w:p>
            <w:pPr>
              <w:jc w:val="right"/>
              <w:ind w:right="488"/>
              <w:spacing w:after="0"/>
              <w:rPr>
                <w:sz w:val="20"/>
                <w:szCs w:val="20"/>
                <w:color w:val="auto"/>
              </w:rPr>
            </w:pPr>
            <w:r>
              <w:rPr>
                <w:rFonts w:ascii="Arial" w:cs="Arial" w:eastAsia="Arial" w:hAnsi="Arial"/>
                <w:sz w:val="14"/>
                <w:szCs w:val="14"/>
                <w:color w:val="auto"/>
              </w:rPr>
              <w:t>$3,314,294</w:t>
            </w:r>
          </w:p>
        </w:tc>
        <w:tc>
          <w:tcPr>
            <w:tcW w:w="1400" w:type="dxa"/>
            <w:vAlign w:val="bottom"/>
            <w:tcBorders>
              <w:bottom w:val="single" w:sz="8" w:color="B2D5EE"/>
              <w:right w:val="single" w:sz="8" w:color="auto"/>
            </w:tcBorders>
            <w:shd w:val="clear" w:color="auto" w:fill="B2D5EE"/>
          </w:tcPr>
          <w:p>
            <w:pPr>
              <w:jc w:val="center"/>
              <w:ind w:left="168"/>
              <w:spacing w:after="0"/>
              <w:rPr>
                <w:sz w:val="20"/>
                <w:szCs w:val="20"/>
                <w:color w:val="auto"/>
              </w:rPr>
            </w:pPr>
            <w:r>
              <w:rPr>
                <w:rFonts w:ascii="Arial" w:cs="Arial" w:eastAsia="Arial" w:hAnsi="Arial"/>
                <w:sz w:val="14"/>
                <w:szCs w:val="14"/>
                <w:color w:val="auto"/>
              </w:rPr>
              <w:t>$4,969,529</w:t>
            </w:r>
          </w:p>
        </w:tc>
      </w:tr>
      <w:tr>
        <w:trPr>
          <w:trHeight w:val="250"/>
        </w:trPr>
        <w:tc>
          <w:tcPr>
            <w:tcW w:w="330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4"/>
                <w:szCs w:val="14"/>
                <w:color w:val="auto"/>
              </w:rPr>
              <w:t>2021</w:t>
            </w:r>
          </w:p>
        </w:tc>
        <w:tc>
          <w:tcPr>
            <w:tcW w:w="2360" w:type="dxa"/>
            <w:vAlign w:val="bottom"/>
            <w:tcBorders>
              <w:bottom w:val="single" w:sz="8" w:color="E5F1F9"/>
            </w:tcBorders>
            <w:shd w:val="clear" w:color="auto" w:fill="E5F1F9"/>
          </w:tcPr>
          <w:p>
            <w:pPr>
              <w:jc w:val="center"/>
              <w:ind w:left="88"/>
              <w:spacing w:after="0"/>
              <w:rPr>
                <w:sz w:val="20"/>
                <w:szCs w:val="20"/>
                <w:color w:val="auto"/>
              </w:rPr>
            </w:pPr>
            <w:r>
              <w:rPr>
                <w:rFonts w:ascii="Arial" w:cs="Arial" w:eastAsia="Arial" w:hAnsi="Arial"/>
                <w:sz w:val="14"/>
                <w:szCs w:val="14"/>
                <w:color w:val="auto"/>
              </w:rPr>
              <w:t>$5,761,560</w:t>
            </w:r>
          </w:p>
        </w:tc>
        <w:tc>
          <w:tcPr>
            <w:tcW w:w="212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$4,105,942</w:t>
            </w:r>
          </w:p>
        </w:tc>
        <w:tc>
          <w:tcPr>
            <w:tcW w:w="1860" w:type="dxa"/>
            <w:vAlign w:val="bottom"/>
            <w:tcBorders>
              <w:bottom w:val="single" w:sz="8" w:color="E5F1F9"/>
            </w:tcBorders>
            <w:shd w:val="clear" w:color="auto" w:fill="E5F1F9"/>
          </w:tcPr>
          <w:p>
            <w:pPr>
              <w:jc w:val="right"/>
              <w:ind w:right="488"/>
              <w:spacing w:after="0"/>
              <w:rPr>
                <w:sz w:val="20"/>
                <w:szCs w:val="20"/>
                <w:color w:val="auto"/>
              </w:rPr>
            </w:pPr>
            <w:r>
              <w:rPr>
                <w:rFonts w:ascii="Arial" w:cs="Arial" w:eastAsia="Arial" w:hAnsi="Arial"/>
                <w:sz w:val="14"/>
                <w:szCs w:val="14"/>
                <w:color w:val="auto"/>
              </w:rPr>
              <w:t>$3,426,326</w:t>
            </w:r>
          </w:p>
        </w:tc>
        <w:tc>
          <w:tcPr>
            <w:tcW w:w="1400" w:type="dxa"/>
            <w:vAlign w:val="bottom"/>
            <w:tcBorders>
              <w:bottom w:val="single" w:sz="8" w:color="E5F1F9"/>
              <w:right w:val="single" w:sz="8" w:color="auto"/>
            </w:tcBorders>
            <w:shd w:val="clear" w:color="auto" w:fill="E5F1F9"/>
          </w:tcPr>
          <w:p>
            <w:pPr>
              <w:jc w:val="center"/>
              <w:ind w:left="168"/>
              <w:spacing w:after="0"/>
              <w:rPr>
                <w:sz w:val="20"/>
                <w:szCs w:val="20"/>
                <w:color w:val="auto"/>
              </w:rPr>
            </w:pPr>
            <w:r>
              <w:rPr>
                <w:rFonts w:ascii="Arial" w:cs="Arial" w:eastAsia="Arial" w:hAnsi="Arial"/>
                <w:sz w:val="14"/>
                <w:szCs w:val="14"/>
                <w:color w:val="auto"/>
              </w:rPr>
              <w:t>$5,081,944</w:t>
            </w:r>
          </w:p>
        </w:tc>
      </w:tr>
      <w:tr>
        <w:trPr>
          <w:trHeight w:val="20"/>
        </w:trPr>
        <w:tc>
          <w:tcPr>
            <w:tcW w:w="3300" w:type="dxa"/>
            <w:vAlign w:val="bottom"/>
            <w:tcBorders>
              <w:left w:val="single" w:sz="8" w:color="auto"/>
            </w:tcBorders>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r>
    </w:tbl>
    <w:p>
      <w:pPr>
        <w:spacing w:after="0" w:line="58" w:lineRule="exact"/>
        <w:rPr>
          <w:sz w:val="20"/>
          <w:szCs w:val="20"/>
          <w:color w:val="auto"/>
        </w:rPr>
      </w:pPr>
    </w:p>
    <w:p>
      <w:pPr>
        <w:ind w:left="540" w:right="500" w:hanging="424"/>
        <w:spacing w:after="0" w:line="251" w:lineRule="auto"/>
        <w:tabs>
          <w:tab w:leader="none" w:pos="5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Represents the average of the grant date fair value of the equity awards to our NEOs (other than our CEO and former CEO), as reported in the “Stock Awards” column in the Summary Compensation Tables for each applicable year.</w:t>
      </w:r>
    </w:p>
    <w:p>
      <w:pPr>
        <w:spacing w:after="0" w:line="1" w:lineRule="exact"/>
        <w:rPr>
          <w:rFonts w:ascii="Arial" w:cs="Arial" w:eastAsia="Arial" w:hAnsi="Arial"/>
          <w:sz w:val="14"/>
          <w:szCs w:val="14"/>
          <w:color w:val="auto"/>
        </w:rPr>
      </w:pPr>
    </w:p>
    <w:p>
      <w:pPr>
        <w:ind w:left="540" w:right="460" w:hanging="424"/>
        <w:spacing w:after="0" w:line="264" w:lineRule="auto"/>
        <w:tabs>
          <w:tab w:leader="none" w:pos="5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Represents the average of the year-over-year change in fair value of equity awards to our NEOs (other than our CEO and former CEO), as itemized in the table below. No awards vested in the year they were granted.</w:t>
      </w:r>
    </w:p>
    <w:p>
      <w:pPr>
        <w:spacing w:after="0" w:line="11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-63-</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940"/>
        <w:spacing w:after="0"/>
        <w:rPr>
          <w:sz w:val="20"/>
          <w:szCs w:val="20"/>
          <w:color w:val="auto"/>
        </w:rPr>
      </w:pPr>
      <w:r>
        <w:rPr>
          <w:rFonts w:ascii="Arial" w:cs="Arial" w:eastAsia="Arial" w:hAnsi="Arial"/>
          <w:sz w:val="19"/>
          <w:szCs w:val="19"/>
          <w:color w:val="0075C9"/>
        </w:rPr>
        <w:t>Pay Versus Performance</w:t>
      </w:r>
    </w:p>
    <w:p>
      <w:pPr>
        <w:spacing w:after="0" w:line="148" w:lineRule="exact"/>
        <w:rPr>
          <w:sz w:val="20"/>
          <w:szCs w:val="20"/>
          <w:color w:val="auto"/>
        </w:rPr>
      </w:pPr>
    </w:p>
    <w:tbl>
      <w:tblPr>
        <w:tblLayout w:type="fixed"/>
        <w:tblInd w:w="130" w:type="dxa"/>
        <w:tblCellMar>
          <w:top w:w="0" w:type="dxa"/>
          <w:left w:w="0" w:type="dxa"/>
          <w:bottom w:w="0" w:type="dxa"/>
          <w:right w:w="0" w:type="dxa"/>
        </w:tblCellMar>
      </w:tblPr>
      <w:tr>
        <w:trPr>
          <w:trHeight w:val="189"/>
        </w:trPr>
        <w:tc>
          <w:tcPr>
            <w:tcW w:w="5820" w:type="dxa"/>
            <w:vAlign w:val="bottom"/>
            <w:tcBorders>
              <w:top w:val="single" w:sz="8" w:color="auto"/>
              <w:left w:val="single" w:sz="8" w:color="auto"/>
              <w:bottom w:val="single" w:sz="8" w:color="auto"/>
            </w:tcBorders>
            <w:shd w:val="clear" w:color="auto" w:fill="0075C9"/>
          </w:tcPr>
          <w:p>
            <w:pPr>
              <w:ind w:left="160"/>
              <w:spacing w:after="0"/>
              <w:rPr>
                <w:sz w:val="20"/>
                <w:szCs w:val="20"/>
                <w:color w:val="auto"/>
              </w:rPr>
            </w:pPr>
            <w:r>
              <w:rPr>
                <w:rFonts w:ascii="Arial" w:cs="Arial" w:eastAsia="Arial" w:hAnsi="Arial"/>
                <w:sz w:val="14"/>
                <w:szCs w:val="14"/>
                <w:color w:val="FFFFFF"/>
              </w:rPr>
              <w:t>Average Fair Value of Equity Awards for non-CEO NEOs</w:t>
            </w:r>
          </w:p>
        </w:tc>
        <w:tc>
          <w:tcPr>
            <w:tcW w:w="1040" w:type="dxa"/>
            <w:vAlign w:val="bottom"/>
            <w:tcBorders>
              <w:top w:val="single" w:sz="8" w:color="auto"/>
              <w:bottom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2025</w:t>
            </w:r>
          </w:p>
        </w:tc>
        <w:tc>
          <w:tcPr>
            <w:tcW w:w="1100" w:type="dxa"/>
            <w:vAlign w:val="bottom"/>
            <w:tcBorders>
              <w:top w:val="single" w:sz="8" w:color="auto"/>
              <w:bottom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2024</w:t>
            </w:r>
          </w:p>
        </w:tc>
        <w:tc>
          <w:tcPr>
            <w:tcW w:w="1100" w:type="dxa"/>
            <w:vAlign w:val="bottom"/>
            <w:tcBorders>
              <w:top w:val="single" w:sz="8" w:color="auto"/>
              <w:bottom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2023</w:t>
            </w:r>
          </w:p>
        </w:tc>
        <w:tc>
          <w:tcPr>
            <w:tcW w:w="1000" w:type="dxa"/>
            <w:vAlign w:val="bottom"/>
            <w:tcBorders>
              <w:top w:val="single" w:sz="8" w:color="auto"/>
              <w:bottom w:val="single" w:sz="8" w:color="auto"/>
            </w:tcBorders>
            <w:shd w:val="clear" w:color="auto" w:fill="0075C9"/>
          </w:tcPr>
          <w:p>
            <w:pPr>
              <w:jc w:val="center"/>
              <w:spacing w:after="0"/>
              <w:rPr>
                <w:sz w:val="20"/>
                <w:szCs w:val="20"/>
                <w:color w:val="auto"/>
              </w:rPr>
            </w:pPr>
            <w:r>
              <w:rPr>
                <w:rFonts w:ascii="Arial" w:cs="Arial" w:eastAsia="Arial" w:hAnsi="Arial"/>
                <w:sz w:val="14"/>
                <w:szCs w:val="14"/>
                <w:color w:val="FFFFFF"/>
              </w:rPr>
              <w:t>2022</w:t>
            </w:r>
          </w:p>
        </w:tc>
        <w:tc>
          <w:tcPr>
            <w:tcW w:w="980" w:type="dxa"/>
            <w:vAlign w:val="bottom"/>
            <w:tcBorders>
              <w:top w:val="single" w:sz="8" w:color="auto"/>
              <w:bottom w:val="single" w:sz="8" w:color="auto"/>
              <w:right w:val="single" w:sz="8" w:color="auto"/>
            </w:tcBorders>
            <w:shd w:val="clear" w:color="auto" w:fill="0075C9"/>
          </w:tcPr>
          <w:p>
            <w:pPr>
              <w:jc w:val="right"/>
              <w:ind w:right="268"/>
              <w:spacing w:after="0"/>
              <w:rPr>
                <w:sz w:val="20"/>
                <w:szCs w:val="20"/>
                <w:color w:val="auto"/>
              </w:rPr>
            </w:pPr>
            <w:r>
              <w:rPr>
                <w:rFonts w:ascii="Arial" w:cs="Arial" w:eastAsia="Arial" w:hAnsi="Arial"/>
                <w:sz w:val="14"/>
                <w:szCs w:val="14"/>
                <w:color w:val="FFFFFF"/>
              </w:rPr>
              <w:t>2021</w:t>
            </w:r>
          </w:p>
        </w:tc>
      </w:tr>
      <w:tr>
        <w:trPr>
          <w:trHeight w:val="230"/>
        </w:trPr>
        <w:tc>
          <w:tcPr>
            <w:tcW w:w="582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4"/>
                <w:szCs w:val="14"/>
                <w:color w:val="auto"/>
              </w:rPr>
              <w:t>As of year-end for awards granted during the year</w:t>
            </w:r>
          </w:p>
        </w:tc>
        <w:tc>
          <w:tcPr>
            <w:tcW w:w="10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$5,138,456</w:t>
            </w:r>
          </w:p>
        </w:tc>
        <w:tc>
          <w:tcPr>
            <w:tcW w:w="11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$2,008,250</w:t>
            </w:r>
          </w:p>
        </w:tc>
        <w:tc>
          <w:tcPr>
            <w:tcW w:w="11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$3,523,016</w:t>
            </w:r>
          </w:p>
        </w:tc>
        <w:tc>
          <w:tcPr>
            <w:tcW w:w="10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$3,809,706</w:t>
            </w:r>
          </w:p>
        </w:tc>
        <w:tc>
          <w:tcPr>
            <w:tcW w:w="980" w:type="dxa"/>
            <w:vAlign w:val="bottom"/>
            <w:tcBorders>
              <w:bottom w:val="single" w:sz="8" w:color="E5F1F9"/>
              <w:right w:val="single" w:sz="8" w:color="auto"/>
            </w:tcBorders>
            <w:shd w:val="clear" w:color="auto" w:fill="E5F1F9"/>
          </w:tcPr>
          <w:p>
            <w:pPr>
              <w:jc w:val="center"/>
              <w:spacing w:after="0"/>
              <w:rPr>
                <w:sz w:val="20"/>
                <w:szCs w:val="20"/>
                <w:color w:val="auto"/>
              </w:rPr>
            </w:pPr>
            <w:r>
              <w:rPr>
                <w:rFonts w:ascii="Arial" w:cs="Arial" w:eastAsia="Arial" w:hAnsi="Arial"/>
                <w:sz w:val="14"/>
                <w:szCs w:val="14"/>
                <w:color w:val="auto"/>
              </w:rPr>
              <w:t>$3,295,987</w:t>
            </w:r>
          </w:p>
        </w:tc>
      </w:tr>
      <w:tr>
        <w:trPr>
          <w:trHeight w:val="250"/>
        </w:trPr>
        <w:tc>
          <w:tcPr>
            <w:tcW w:w="5820" w:type="dxa"/>
            <w:vAlign w:val="bottom"/>
            <w:tcBorders>
              <w:left w:val="single" w:sz="8" w:color="auto"/>
              <w:bottom w:val="single" w:sz="8" w:color="B2D5EE"/>
            </w:tcBorders>
            <w:shd w:val="clear" w:color="auto" w:fill="B2D5EE"/>
          </w:tcPr>
          <w:p>
            <w:pPr>
              <w:ind w:left="160"/>
              <w:spacing w:after="0"/>
              <w:rPr>
                <w:sz w:val="20"/>
                <w:szCs w:val="20"/>
                <w:color w:val="auto"/>
              </w:rPr>
            </w:pPr>
            <w:r>
              <w:rPr>
                <w:rFonts w:ascii="Arial" w:cs="Arial" w:eastAsia="Arial" w:hAnsi="Arial"/>
                <w:sz w:val="14"/>
                <w:szCs w:val="14"/>
                <w:color w:val="auto"/>
              </w:rPr>
              <w:t>Year-over-year increase or decrease of unvested awards granted in prior years</w:t>
            </w:r>
          </w:p>
        </w:tc>
        <w:tc>
          <w:tcPr>
            <w:tcW w:w="104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($414,095)</w:t>
            </w:r>
          </w:p>
        </w:tc>
        <w:tc>
          <w:tcPr>
            <w:tcW w:w="11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($4,156,500)</w:t>
            </w:r>
          </w:p>
        </w:tc>
        <w:tc>
          <w:tcPr>
            <w:tcW w:w="11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($1,027,351)</w:t>
            </w:r>
          </w:p>
        </w:tc>
        <w:tc>
          <w:tcPr>
            <w:tcW w:w="1000" w:type="dxa"/>
            <w:vAlign w:val="bottom"/>
            <w:tcBorders>
              <w:bottom w:val="single" w:sz="8" w:color="B2D5EE"/>
            </w:tcBorders>
            <w:shd w:val="clear" w:color="auto" w:fill="B2D5EE"/>
          </w:tcPr>
          <w:p>
            <w:pPr>
              <w:jc w:val="center"/>
              <w:spacing w:after="0"/>
              <w:rPr>
                <w:sz w:val="20"/>
                <w:szCs w:val="20"/>
                <w:color w:val="auto"/>
              </w:rPr>
            </w:pPr>
            <w:r>
              <w:rPr>
                <w:rFonts w:ascii="Arial" w:cs="Arial" w:eastAsia="Arial" w:hAnsi="Arial"/>
                <w:sz w:val="14"/>
                <w:szCs w:val="14"/>
                <w:color w:val="auto"/>
              </w:rPr>
              <w:t>($241,427)</w:t>
            </w:r>
          </w:p>
        </w:tc>
        <w:tc>
          <w:tcPr>
            <w:tcW w:w="980" w:type="dxa"/>
            <w:vAlign w:val="bottom"/>
            <w:tcBorders>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4"/>
                <w:szCs w:val="14"/>
                <w:color w:val="auto"/>
              </w:rPr>
              <w:t>($150,316)</w:t>
            </w:r>
          </w:p>
        </w:tc>
      </w:tr>
      <w:tr>
        <w:trPr>
          <w:trHeight w:val="275"/>
        </w:trPr>
        <w:tc>
          <w:tcPr>
            <w:tcW w:w="5820" w:type="dxa"/>
            <w:vAlign w:val="bottom"/>
            <w:tcBorders>
              <w:left w:val="single" w:sz="8" w:color="auto"/>
              <w:bottom w:val="single" w:sz="8" w:color="E5F1F9"/>
            </w:tcBorders>
            <w:shd w:val="clear" w:color="auto" w:fill="E5F1F9"/>
          </w:tcPr>
          <w:p>
            <w:pPr>
              <w:ind w:left="160"/>
              <w:spacing w:after="0"/>
              <w:rPr>
                <w:sz w:val="20"/>
                <w:szCs w:val="20"/>
                <w:color w:val="auto"/>
              </w:rPr>
            </w:pPr>
            <w:r>
              <w:rPr>
                <w:rFonts w:ascii="Arial" w:cs="Arial" w:eastAsia="Arial" w:hAnsi="Arial"/>
                <w:sz w:val="14"/>
                <w:szCs w:val="14"/>
                <w:color w:val="auto"/>
              </w:rPr>
              <w:t>Increase or decrease from prior fiscal year-end for awards that vested during the year</w:t>
            </w:r>
          </w:p>
        </w:tc>
        <w:tc>
          <w:tcPr>
            <w:tcW w:w="104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($69,287)</w:t>
            </w:r>
          </w:p>
        </w:tc>
        <w:tc>
          <w:tcPr>
            <w:tcW w:w="11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($289,298)</w:t>
            </w:r>
          </w:p>
        </w:tc>
        <w:tc>
          <w:tcPr>
            <w:tcW w:w="11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($28,591)</w:t>
            </w:r>
          </w:p>
        </w:tc>
        <w:tc>
          <w:tcPr>
            <w:tcW w:w="1000" w:type="dxa"/>
            <w:vAlign w:val="bottom"/>
            <w:tcBorders>
              <w:bottom w:val="single" w:sz="8" w:color="E5F1F9"/>
            </w:tcBorders>
            <w:shd w:val="clear" w:color="auto" w:fill="E5F1F9"/>
          </w:tcPr>
          <w:p>
            <w:pPr>
              <w:jc w:val="center"/>
              <w:spacing w:after="0"/>
              <w:rPr>
                <w:sz w:val="20"/>
                <w:szCs w:val="20"/>
                <w:color w:val="auto"/>
              </w:rPr>
            </w:pPr>
            <w:r>
              <w:rPr>
                <w:rFonts w:ascii="Arial" w:cs="Arial" w:eastAsia="Arial" w:hAnsi="Arial"/>
                <w:sz w:val="14"/>
                <w:szCs w:val="14"/>
                <w:color w:val="auto"/>
              </w:rPr>
              <w:t>($253,985)</w:t>
            </w:r>
          </w:p>
        </w:tc>
        <w:tc>
          <w:tcPr>
            <w:tcW w:w="980" w:type="dxa"/>
            <w:vAlign w:val="bottom"/>
            <w:tcBorders>
              <w:bottom w:val="single" w:sz="8" w:color="E5F1F9"/>
              <w:right w:val="single" w:sz="8" w:color="auto"/>
            </w:tcBorders>
            <w:shd w:val="clear" w:color="auto" w:fill="E5F1F9"/>
          </w:tcPr>
          <w:p>
            <w:pPr>
              <w:jc w:val="center"/>
              <w:spacing w:after="0"/>
              <w:rPr>
                <w:sz w:val="20"/>
                <w:szCs w:val="20"/>
                <w:color w:val="auto"/>
              </w:rPr>
            </w:pPr>
            <w:r>
              <w:rPr>
                <w:rFonts w:ascii="Arial" w:cs="Arial" w:eastAsia="Arial" w:hAnsi="Arial"/>
                <w:sz w:val="14"/>
                <w:szCs w:val="14"/>
                <w:color w:val="auto"/>
              </w:rPr>
              <w:t>$280,656</w:t>
            </w:r>
          </w:p>
        </w:tc>
      </w:tr>
      <w:tr>
        <w:trPr>
          <w:trHeight w:val="230"/>
        </w:trPr>
        <w:tc>
          <w:tcPr>
            <w:tcW w:w="5820" w:type="dxa"/>
            <w:vAlign w:val="bottom"/>
            <w:tcBorders>
              <w:top w:val="single" w:sz="8" w:color="auto"/>
              <w:left w:val="single" w:sz="8" w:color="auto"/>
              <w:bottom w:val="single" w:sz="8" w:color="B2D5EE"/>
            </w:tcBorders>
            <w:shd w:val="clear" w:color="auto" w:fill="B2D5EE"/>
          </w:tcPr>
          <w:p>
            <w:pPr>
              <w:ind w:left="160"/>
              <w:spacing w:after="0"/>
              <w:rPr>
                <w:sz w:val="20"/>
                <w:szCs w:val="20"/>
                <w:color w:val="auto"/>
              </w:rPr>
            </w:pPr>
            <w:r>
              <w:rPr>
                <w:rFonts w:ascii="Arial" w:cs="Arial" w:eastAsia="Arial" w:hAnsi="Arial"/>
                <w:sz w:val="14"/>
                <w:szCs w:val="14"/>
                <w:b w:val="1"/>
                <w:bCs w:val="1"/>
                <w:color w:val="auto"/>
              </w:rPr>
              <w:t>Total Equity Award Adjustments</w:t>
            </w:r>
          </w:p>
        </w:tc>
        <w:tc>
          <w:tcPr>
            <w:tcW w:w="1040" w:type="dxa"/>
            <w:vAlign w:val="bottom"/>
            <w:tcBorders>
              <w:top w:val="single" w:sz="8" w:color="auto"/>
              <w:bottom w:val="single" w:sz="8" w:color="B2D5EE"/>
            </w:tcBorders>
            <w:shd w:val="clear" w:color="auto" w:fill="B2D5EE"/>
          </w:tcPr>
          <w:p>
            <w:pPr>
              <w:jc w:val="center"/>
              <w:spacing w:after="0"/>
              <w:rPr>
                <w:sz w:val="20"/>
                <w:szCs w:val="20"/>
                <w:color w:val="auto"/>
              </w:rPr>
            </w:pPr>
            <w:r>
              <w:rPr>
                <w:rFonts w:ascii="Arial" w:cs="Arial" w:eastAsia="Arial" w:hAnsi="Arial"/>
                <w:sz w:val="14"/>
                <w:szCs w:val="14"/>
                <w:b w:val="1"/>
                <w:bCs w:val="1"/>
                <w:color w:val="auto"/>
              </w:rPr>
              <w:t>$4,655,074</w:t>
            </w:r>
          </w:p>
        </w:tc>
        <w:tc>
          <w:tcPr>
            <w:tcW w:w="1100" w:type="dxa"/>
            <w:vAlign w:val="bottom"/>
            <w:tcBorders>
              <w:top w:val="single" w:sz="8" w:color="auto"/>
              <w:bottom w:val="single" w:sz="8" w:color="B2D5EE"/>
            </w:tcBorders>
            <w:shd w:val="clear" w:color="auto" w:fill="B2D5EE"/>
          </w:tcPr>
          <w:p>
            <w:pPr>
              <w:jc w:val="center"/>
              <w:spacing w:after="0"/>
              <w:rPr>
                <w:sz w:val="20"/>
                <w:szCs w:val="20"/>
                <w:color w:val="auto"/>
              </w:rPr>
            </w:pPr>
            <w:r>
              <w:rPr>
                <w:rFonts w:ascii="Arial" w:cs="Arial" w:eastAsia="Arial" w:hAnsi="Arial"/>
                <w:sz w:val="14"/>
                <w:szCs w:val="14"/>
                <w:b w:val="1"/>
                <w:bCs w:val="1"/>
                <w:color w:val="auto"/>
              </w:rPr>
              <w:t>($2,437,548)</w:t>
            </w:r>
          </w:p>
        </w:tc>
        <w:tc>
          <w:tcPr>
            <w:tcW w:w="1100" w:type="dxa"/>
            <w:vAlign w:val="bottom"/>
            <w:tcBorders>
              <w:top w:val="single" w:sz="8" w:color="auto"/>
              <w:bottom w:val="single" w:sz="8" w:color="B2D5EE"/>
            </w:tcBorders>
            <w:shd w:val="clear" w:color="auto" w:fill="B2D5EE"/>
          </w:tcPr>
          <w:p>
            <w:pPr>
              <w:jc w:val="center"/>
              <w:spacing w:after="0"/>
              <w:rPr>
                <w:sz w:val="20"/>
                <w:szCs w:val="20"/>
                <w:color w:val="auto"/>
              </w:rPr>
            </w:pPr>
            <w:r>
              <w:rPr>
                <w:rFonts w:ascii="Arial" w:cs="Arial" w:eastAsia="Arial" w:hAnsi="Arial"/>
                <w:sz w:val="14"/>
                <w:szCs w:val="14"/>
                <w:b w:val="1"/>
                <w:bCs w:val="1"/>
                <w:color w:val="auto"/>
              </w:rPr>
              <w:t>$2,467,073</w:t>
            </w:r>
          </w:p>
        </w:tc>
        <w:tc>
          <w:tcPr>
            <w:tcW w:w="1000" w:type="dxa"/>
            <w:vAlign w:val="bottom"/>
            <w:tcBorders>
              <w:top w:val="single" w:sz="8" w:color="auto"/>
              <w:bottom w:val="single" w:sz="8" w:color="B2D5EE"/>
            </w:tcBorders>
            <w:shd w:val="clear" w:color="auto" w:fill="B2D5EE"/>
          </w:tcPr>
          <w:p>
            <w:pPr>
              <w:jc w:val="center"/>
              <w:spacing w:after="0"/>
              <w:rPr>
                <w:sz w:val="20"/>
                <w:szCs w:val="20"/>
                <w:color w:val="auto"/>
              </w:rPr>
            </w:pPr>
            <w:r>
              <w:rPr>
                <w:rFonts w:ascii="Arial" w:cs="Arial" w:eastAsia="Arial" w:hAnsi="Arial"/>
                <w:sz w:val="14"/>
                <w:szCs w:val="14"/>
                <w:b w:val="1"/>
                <w:bCs w:val="1"/>
                <w:color w:val="auto"/>
              </w:rPr>
              <w:t>$3,314,294</w:t>
            </w:r>
          </w:p>
        </w:tc>
        <w:tc>
          <w:tcPr>
            <w:tcW w:w="980" w:type="dxa"/>
            <w:vAlign w:val="bottom"/>
            <w:tcBorders>
              <w:top w:val="single" w:sz="8" w:color="auto"/>
              <w:bottom w:val="single" w:sz="8" w:color="B2D5EE"/>
              <w:right w:val="single" w:sz="8" w:color="auto"/>
            </w:tcBorders>
            <w:shd w:val="clear" w:color="auto" w:fill="B2D5EE"/>
          </w:tcPr>
          <w:p>
            <w:pPr>
              <w:jc w:val="center"/>
              <w:spacing w:after="0"/>
              <w:rPr>
                <w:sz w:val="20"/>
                <w:szCs w:val="20"/>
                <w:color w:val="auto"/>
              </w:rPr>
            </w:pPr>
            <w:r>
              <w:rPr>
                <w:rFonts w:ascii="Arial" w:cs="Arial" w:eastAsia="Arial" w:hAnsi="Arial"/>
                <w:sz w:val="14"/>
                <w:szCs w:val="14"/>
                <w:b w:val="1"/>
                <w:bCs w:val="1"/>
                <w:color w:val="auto"/>
              </w:rPr>
              <w:t>$3,426,326</w:t>
            </w:r>
          </w:p>
        </w:tc>
      </w:tr>
      <w:tr>
        <w:trPr>
          <w:trHeight w:val="20"/>
        </w:trPr>
        <w:tc>
          <w:tcPr>
            <w:tcW w:w="582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The following table identifies the four most important financial and strategic measures used by our CMDC to link the CAP to our NEOs in 2025, as calculated in accordance with Item 402(v) of Regulation S-K, to company performance. The role each of these performance measures had on our NEOs’ compensation is discussed in the CD&amp;A above.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FFFFFF"/>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291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Growth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6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6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6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Non-GAAP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6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Achievement of Pipeline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-64-</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41"/>
          <w:szCs w:val="41"/>
          <w:b w:val="1"/>
          <w:bCs w:val="1"/>
          <w:color w:val="0075C9"/>
        </w:rPr>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Biogen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225 Binney Street</w:t>
      </w:r>
    </w:p>
    <w:p>
      <w:pPr>
        <w:ind w:left="120"/>
        <w:spacing w:after="0"/>
        <w:rPr>
          <w:sz w:val="20"/>
          <w:szCs w:val="20"/>
          <w:color w:val="auto"/>
        </w:rPr>
      </w:pPr>
      <w:r>
        <w:rPr>
          <w:rFonts w:ascii="Arial" w:cs="Arial" w:eastAsia="Arial" w:hAnsi="Arial"/>
          <w:sz w:val="18"/>
          <w:szCs w:val="18"/>
          <w:b w:val="1"/>
          <w:bCs w:val="1"/>
          <w:color w:val="0075C9"/>
        </w:rPr>
        <w:t>Cambridge, Massachusetts 02142</w:t>
      </w:r>
    </w:p>
    <w:p>
      <w:pPr>
        <w:spacing w:after="0" w:line="198"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The Board of Biogen Inc. is soliciting your proxy to vote at our Annual Meeting to be held at 9:00 a.m. Eastern Time on Tuesday, June 9, 2026, for the purposes summarized in the accompanying Notice of 2026 Annual Meeting of Stockholders. Our 2025 Annual Report on Form 10-K is also available with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43033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43033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What is the purpose of the Annual Meeting?</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At the Annual Meeting, stockholders will vote upon the matters that are summarized in the formal meeting notice. This Proxy Statement contains important information for you to consider when deciding how to vote on the matters at the Annual Meeting.</w:t>
      </w:r>
    </w:p>
    <w:p>
      <w:pPr>
        <w:spacing w:after="0" w:line="67" w:lineRule="exact"/>
        <w:rPr>
          <w:sz w:val="20"/>
          <w:szCs w:val="20"/>
          <w:color w:val="auto"/>
        </w:rPr>
      </w:pPr>
    </w:p>
    <w:p>
      <w:pPr>
        <w:sectPr>
          <w:pgSz w:w="11900" w:h="16838" w:orient="portrait"/>
          <w:cols w:equalWidth="0" w:num="2">
            <w:col w:w="3500" w:space="360"/>
            <w:col w:w="728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Can I attend the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This will be a virtual meeting only. You will not be able to attend the Annual Meeting in person.</w:t>
      </w:r>
    </w:p>
    <w:p>
      <w:pPr>
        <w:spacing w:after="0" w:line="111"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 xml:space="preserve">Any stockholder can listen to and participate in the Annual Meeting live via the Internet at </w:t>
      </w:r>
      <w:r>
        <w:rPr>
          <w:rFonts w:ascii="Arial" w:cs="Arial" w:eastAsia="Arial" w:hAnsi="Arial"/>
          <w:sz w:val="16"/>
          <w:szCs w:val="16"/>
          <w:u w:val="single" w:color="auto"/>
          <w:color w:val="auto"/>
        </w:rPr>
        <w:t>www.virtualshareholdermeeting.com/BIIB2026</w:t>
      </w:r>
      <w:r>
        <w:rPr>
          <w:rFonts w:ascii="Arial" w:cs="Arial" w:eastAsia="Arial" w:hAnsi="Arial"/>
          <w:sz w:val="16"/>
          <w:szCs w:val="16"/>
          <w:color w:val="auto"/>
        </w:rPr>
        <w:t>.</w:t>
      </w:r>
    </w:p>
    <w:p>
      <w:pPr>
        <w:spacing w:after="0" w:line="44"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line="276" w:lineRule="auto"/>
        <w:rPr>
          <w:sz w:val="20"/>
          <w:szCs w:val="20"/>
          <w:color w:val="auto"/>
        </w:rPr>
      </w:pPr>
      <w:r>
        <w:rPr>
          <w:rFonts w:ascii="Arial" w:cs="Arial" w:eastAsia="Arial" w:hAnsi="Arial"/>
          <w:sz w:val="16"/>
          <w:szCs w:val="16"/>
          <w:b w:val="1"/>
          <w:bCs w:val="1"/>
          <w:i w:val="1"/>
          <w:iCs w:val="1"/>
          <w:color w:val="0075C9"/>
        </w:rPr>
        <w:t>What do I need to be able to participate in the Annual Meeting virtually via the Internet?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You will need the 16-digit control number included on your Notice or your proxy card or voting instruction form to be able to vote your shares or submit questions via the Internet during the Annual Meeting. If you do not have your 16-digit control number, you will be able to listen to the meeting only —you will not be able to vote or submit questions during the meeting.</w:t>
      </w:r>
    </w:p>
    <w:p>
      <w:pPr>
        <w:spacing w:after="0" w:line="72" w:lineRule="exact"/>
        <w:rPr>
          <w:sz w:val="20"/>
          <w:szCs w:val="20"/>
          <w:color w:val="auto"/>
        </w:rPr>
      </w:pPr>
    </w:p>
    <w:p>
      <w:pPr>
        <w:sectPr>
          <w:pgSz w:w="11900" w:h="16838" w:orient="portrait"/>
          <w:cols w:equalWidth="0" w:num="2">
            <w:col w:w="3600" w:space="260"/>
            <w:col w:w="728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line="276" w:lineRule="auto"/>
        <w:rPr>
          <w:sz w:val="20"/>
          <w:szCs w:val="20"/>
          <w:color w:val="auto"/>
        </w:rPr>
      </w:pPr>
      <w:r>
        <w:rPr>
          <w:rFonts w:ascii="Arial" w:cs="Arial" w:eastAsia="Arial" w:hAnsi="Arial"/>
          <w:sz w:val="16"/>
          <w:szCs w:val="16"/>
          <w:b w:val="1"/>
          <w:bCs w:val="1"/>
          <w:i w:val="1"/>
          <w:iCs w:val="1"/>
          <w:color w:val="0075C9"/>
        </w:rPr>
        <w:t>How many shares must be present to hold the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 majority of our issued and outstanding shares of common stock as of the Record Date must be present at the Annual Meeting to hold the Annual Meeting and conduct business. This is called a quorum. Shares voted in the manner described below (under the heading “How do I vote and what are the voting deadlines?”) will be counted as present at the Annual Meeting. Shares that are present and entitled to vote on one or more of the matters to be voted upon are counted as present for establishing a quorum. If a quorum is not present, we expect that the Annual Meeting will be adjourned until we obtain a quorum.</w:t>
      </w:r>
    </w:p>
    <w:p>
      <w:pPr>
        <w:spacing w:after="0" w:line="46" w:lineRule="exact"/>
        <w:rPr>
          <w:sz w:val="20"/>
          <w:szCs w:val="20"/>
          <w:color w:val="auto"/>
        </w:rPr>
      </w:pPr>
    </w:p>
    <w:p>
      <w:pPr>
        <w:sectPr>
          <w:pgSz w:w="11900" w:h="16838" w:orient="portrait"/>
          <w:cols w:equalWidth="0" w:num="2">
            <w:col w:w="3660" w:space="200"/>
            <w:col w:w="728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81"/>
        </w:trPr>
        <w:tc>
          <w:tcPr>
            <w:tcW w:w="2440" w:type="dxa"/>
            <w:vAlign w:val="bottom"/>
            <w:tcBorders>
              <w:top w:val="single" w:sz="8" w:color="0075C9"/>
            </w:tcBorders>
          </w:tcPr>
          <w:p>
            <w:pPr>
              <w:spacing w:after="0"/>
              <w:rPr>
                <w:sz w:val="20"/>
                <w:szCs w:val="20"/>
                <w:color w:val="auto"/>
              </w:rPr>
            </w:pPr>
            <w:r>
              <w:rPr>
                <w:rFonts w:ascii="Arial" w:cs="Arial" w:eastAsia="Arial" w:hAnsi="Arial"/>
                <w:sz w:val="7"/>
                <w:szCs w:val="7"/>
                <w:color w:val="auto"/>
              </w:rPr>
              <w:t> </w:t>
            </w:r>
          </w:p>
        </w:tc>
        <w:tc>
          <w:tcPr>
            <w:tcW w:w="8580" w:type="dxa"/>
            <w:vAlign w:val="bottom"/>
            <w:tcBorders>
              <w:top w:val="single" w:sz="8" w:color="0075C9"/>
            </w:tcBorders>
          </w:tcPr>
          <w:p>
            <w:pPr>
              <w:ind w:left="1300"/>
              <w:spacing w:after="0"/>
              <w:rPr>
                <w:sz w:val="20"/>
                <w:szCs w:val="20"/>
                <w:color w:val="auto"/>
              </w:rPr>
            </w:pPr>
            <w:r>
              <w:rPr>
                <w:rFonts w:ascii="Arial" w:cs="Arial" w:eastAsia="Arial" w:hAnsi="Arial"/>
                <w:sz w:val="7"/>
                <w:szCs w:val="7"/>
                <w:color w:val="auto"/>
              </w:rPr>
              <w:t> </w:t>
            </w:r>
          </w:p>
        </w:tc>
      </w:tr>
      <w:tr>
        <w:trPr>
          <w:trHeight w:val="204"/>
        </w:trPr>
        <w:tc>
          <w:tcPr>
            <w:tcW w:w="2440" w:type="dxa"/>
            <w:vAlign w:val="bottom"/>
          </w:tcPr>
          <w:p>
            <w:pPr>
              <w:spacing w:after="0"/>
              <w:rPr>
                <w:sz w:val="20"/>
                <w:szCs w:val="20"/>
                <w:color w:val="auto"/>
              </w:rPr>
            </w:pPr>
            <w:r>
              <w:rPr>
                <w:rFonts w:ascii="Arial" w:cs="Arial" w:eastAsia="Arial" w:hAnsi="Arial"/>
                <w:sz w:val="16"/>
                <w:szCs w:val="16"/>
                <w:b w:val="1"/>
                <w:bCs w:val="1"/>
                <w:i w:val="1"/>
                <w:iCs w:val="1"/>
                <w:color w:val="0075C9"/>
              </w:rPr>
              <w:t>Who can vote?</w:t>
            </w:r>
          </w:p>
        </w:tc>
        <w:tc>
          <w:tcPr>
            <w:tcW w:w="8580" w:type="dxa"/>
            <w:vAlign w:val="bottom"/>
          </w:tcPr>
          <w:p>
            <w:pPr>
              <w:ind w:left="1300"/>
              <w:spacing w:after="0"/>
              <w:rPr>
                <w:sz w:val="20"/>
                <w:szCs w:val="20"/>
                <w:color w:val="auto"/>
              </w:rPr>
            </w:pPr>
            <w:r>
              <w:rPr>
                <w:rFonts w:ascii="Arial" w:cs="Arial" w:eastAsia="Arial" w:hAnsi="Arial"/>
                <w:sz w:val="16"/>
                <w:szCs w:val="16"/>
                <w:color w:val="auto"/>
              </w:rPr>
              <w:t>Holders of Biogen common stock on the close of business on the Record Date of April 21, 2026 are</w:t>
            </w:r>
          </w:p>
        </w:tc>
      </w:tr>
    </w:tbl>
    <w:p>
      <w:pPr>
        <w:ind w:left="3860" w:right="140"/>
        <w:spacing w:after="0" w:line="252" w:lineRule="auto"/>
        <w:rPr>
          <w:sz w:val="20"/>
          <w:szCs w:val="20"/>
          <w:color w:val="auto"/>
        </w:rPr>
      </w:pPr>
      <w:r>
        <w:rPr>
          <w:rFonts w:ascii="Arial" w:cs="Arial" w:eastAsia="Arial" w:hAnsi="Arial"/>
          <w:sz w:val="16"/>
          <w:szCs w:val="16"/>
          <w:color w:val="auto"/>
        </w:rPr>
        <w:t>entitled to receive the Notice of 2026 Annual Meeting and Proxy Statement and to vote their shares at the Annual Meeting. As of the Record Date, 147,637,117 shares of our common stock were outstanding and entitled to vote. Each share of common stock is entitled to one vote on each matter properly brought before the meeting.</w:t>
      </w:r>
    </w:p>
    <w:p>
      <w:pPr>
        <w:sectPr>
          <w:pgSz w:w="11900" w:h="16838" w:orient="portrait"/>
          <w:cols w:equalWidth="0" w:num="1">
            <w:col w:w="11140"/>
          </w:cols>
          <w:pgMar w:left="320" w:top="482" w:right="439" w:bottom="1440" w:gutter="0" w:footer="0" w:header="0"/>
          <w:type w:val="continuous"/>
        </w:sectPr>
      </w:pPr>
    </w:p>
    <w:p>
      <w:pPr>
        <w:spacing w:after="0" w:line="72" w:lineRule="exact"/>
        <w:rPr>
          <w:sz w:val="20"/>
          <w:szCs w:val="20"/>
          <w:color w:val="auto"/>
        </w:r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What am I voting on at the Annual Meeting?</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Stockholders will be asked to vote on the following proposals at the Annual Meeting:</w:t>
      </w:r>
    </w:p>
    <w:p>
      <w:pPr>
        <w:spacing w:after="0" w:line="23" w:lineRule="exact"/>
        <w:rPr>
          <w:sz w:val="20"/>
          <w:szCs w:val="20"/>
          <w:color w:val="auto"/>
        </w:rPr>
      </w:pPr>
    </w:p>
    <w:p>
      <w:pPr>
        <w:sectPr>
          <w:pgSz w:w="11900" w:h="16838" w:orient="portrait"/>
          <w:cols w:equalWidth="0" w:num="2">
            <w:col w:w="3480" w:space="380"/>
            <w:col w:w="7280"/>
          </w:cols>
          <w:pgMar w:left="320" w:top="482" w:right="439" w:bottom="1440" w:gutter="0" w:footer="0" w:header="0"/>
          <w:type w:val="continuous"/>
        </w:sectPr>
      </w:pPr>
    </w:p>
    <w:p>
      <w:pPr>
        <w:ind w:left="4200" w:hanging="331"/>
        <w:spacing w:after="0"/>
        <w:tabs>
          <w:tab w:leader="none" w:pos="4200" w:val="left"/>
        </w:tabs>
        <w:numPr>
          <w:ilvl w:val="0"/>
          <w:numId w:val="123"/>
        </w:numPr>
        <w:rPr>
          <w:rFonts w:ascii="Arial" w:cs="Arial" w:eastAsia="Arial" w:hAnsi="Arial"/>
          <w:sz w:val="16"/>
          <w:szCs w:val="16"/>
          <w:color w:val="0075C9"/>
        </w:rPr>
      </w:pPr>
      <w:r>
        <w:rPr>
          <w:rFonts w:ascii="Arial" w:cs="Arial" w:eastAsia="Arial" w:hAnsi="Arial"/>
          <w:sz w:val="16"/>
          <w:szCs w:val="16"/>
          <w:color w:val="auto"/>
        </w:rPr>
        <w:t>The election to our Board of the 10 director nominees (Proposal 1);</w:t>
      </w:r>
    </w:p>
    <w:p>
      <w:pPr>
        <w:spacing w:after="0" w:line="24" w:lineRule="exact"/>
        <w:rPr>
          <w:rFonts w:ascii="Arial" w:cs="Arial" w:eastAsia="Arial" w:hAnsi="Arial"/>
          <w:sz w:val="16"/>
          <w:szCs w:val="16"/>
          <w:color w:val="0075C9"/>
        </w:rPr>
      </w:pPr>
    </w:p>
    <w:p>
      <w:pPr>
        <w:ind w:left="4200" w:right="360" w:hanging="331"/>
        <w:spacing w:after="0" w:line="255" w:lineRule="auto"/>
        <w:tabs>
          <w:tab w:leader="none" w:pos="4200" w:val="left"/>
        </w:tabs>
        <w:numPr>
          <w:ilvl w:val="0"/>
          <w:numId w:val="123"/>
        </w:numPr>
        <w:rPr>
          <w:rFonts w:ascii="Arial" w:cs="Arial" w:eastAsia="Arial" w:hAnsi="Arial"/>
          <w:sz w:val="16"/>
          <w:szCs w:val="16"/>
          <w:color w:val="0075C9"/>
        </w:rPr>
      </w:pPr>
      <w:r>
        <w:rPr>
          <w:rFonts w:ascii="Arial" w:cs="Arial" w:eastAsia="Arial" w:hAnsi="Arial"/>
          <w:sz w:val="16"/>
          <w:szCs w:val="16"/>
          <w:color w:val="auto"/>
        </w:rPr>
        <w:t>The ratification of the selection of PricewaterhouseCoopers LLP (PwC) as our independent registered public accounting firm for the fiscal year ending December 31, 2026 (Proposal 2);</w:t>
      </w:r>
    </w:p>
    <w:p>
      <w:pPr>
        <w:ind w:left="4200" w:hanging="331"/>
        <w:spacing w:after="0"/>
        <w:tabs>
          <w:tab w:leader="none" w:pos="4200" w:val="left"/>
        </w:tabs>
        <w:numPr>
          <w:ilvl w:val="0"/>
          <w:numId w:val="123"/>
        </w:numPr>
        <w:rPr>
          <w:rFonts w:ascii="Arial" w:cs="Arial" w:eastAsia="Arial" w:hAnsi="Arial"/>
          <w:sz w:val="16"/>
          <w:szCs w:val="16"/>
          <w:color w:val="0075C9"/>
        </w:rPr>
      </w:pPr>
      <w:r>
        <w:rPr>
          <w:rFonts w:ascii="Arial" w:cs="Arial" w:eastAsia="Arial" w:hAnsi="Arial"/>
          <w:sz w:val="16"/>
          <w:szCs w:val="16"/>
          <w:color w:val="auto"/>
        </w:rPr>
        <w:t>The advisory vote on executive compensation (Proposal 3); and</w:t>
      </w:r>
    </w:p>
    <w:p>
      <w:pPr>
        <w:spacing w:after="0" w:line="18" w:lineRule="exact"/>
        <w:rPr>
          <w:rFonts w:ascii="Arial" w:cs="Arial" w:eastAsia="Arial" w:hAnsi="Arial"/>
          <w:sz w:val="16"/>
          <w:szCs w:val="16"/>
          <w:color w:val="0075C9"/>
        </w:rPr>
      </w:pPr>
    </w:p>
    <w:p>
      <w:pPr>
        <w:ind w:left="4200" w:right="120" w:hanging="331"/>
        <w:spacing w:after="0" w:line="270" w:lineRule="auto"/>
        <w:tabs>
          <w:tab w:leader="none" w:pos="4200" w:val="left"/>
        </w:tabs>
        <w:numPr>
          <w:ilvl w:val="0"/>
          <w:numId w:val="123"/>
        </w:numPr>
        <w:rPr>
          <w:rFonts w:ascii="Arial" w:cs="Arial" w:eastAsia="Arial" w:hAnsi="Arial"/>
          <w:sz w:val="16"/>
          <w:szCs w:val="16"/>
          <w:color w:val="0075C9"/>
        </w:rPr>
      </w:pPr>
      <w:r>
        <w:rPr>
          <w:rFonts w:ascii="Arial" w:cs="Arial" w:eastAsia="Arial" w:hAnsi="Arial"/>
          <w:sz w:val="16"/>
          <w:szCs w:val="16"/>
          <w:color w:val="auto"/>
        </w:rPr>
        <w:t>The transaction of such other business as may be properly brought before the meeting and any adjournments or postponements.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3" w:lineRule="exact"/>
        <w:rPr>
          <w:sz w:val="20"/>
          <w:szCs w:val="20"/>
          <w:color w:val="auto"/>
        </w:rPr>
      </w:pPr>
    </w:p>
    <w:p>
      <w:pPr>
        <w:jc w:val="right"/>
        <w:ind w:right="40"/>
        <w:spacing w:after="0"/>
        <w:rPr>
          <w:sz w:val="20"/>
          <w:szCs w:val="20"/>
          <w:color w:val="auto"/>
        </w:rPr>
      </w:pPr>
      <w:r>
        <w:rPr>
          <w:sz w:val="1"/>
          <w:szCs w:val="1"/>
          <w:color w:val="auto"/>
        </w:rPr>
        <w:drawing>
          <wp:inline distT="0" distB="0" distL="0" distR="0">
            <wp:extent cx="419735" cy="14605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19735" cy="146050"/>
                    </a:xfrm>
                    <a:prstGeom prst="rect">
                      <a:avLst/>
                    </a:prstGeom>
                    <a:noFill/>
                    <a:ln>
                      <a:noFill/>
                    </a:ln>
                  </pic:spPr>
                </pic:pic>
              </a:graphicData>
            </a:graphic>
          </wp:inline>
        </w:drawing>
      </w:r>
      <w:r>
        <w:rPr>
          <w:rFonts w:ascii="Arial" w:cs="Arial" w:eastAsia="Arial" w:hAnsi="Arial"/>
          <w:sz w:val="18"/>
          <w:szCs w:val="18"/>
          <w:color w:val="0075C9"/>
        </w:rPr>
        <w:t xml:space="preserve">   2026 Proxy Statement   </w:t>
      </w:r>
      <w:r>
        <w:rPr>
          <w:rFonts w:ascii="Arial" w:cs="Arial" w:eastAsia="Arial" w:hAnsi="Arial"/>
          <w:sz w:val="16"/>
          <w:szCs w:val="16"/>
          <w:color w:val="0075C9"/>
        </w:rPr>
        <w:t>-65-</w:t>
      </w:r>
    </w:p>
    <w:p>
      <w:pPr>
        <w:sectPr>
          <w:pgSz w:w="11900" w:h="16838" w:orient="portrait"/>
          <w:cols w:equalWidth="0" w:num="1">
            <w:col w:w="11140"/>
          </w:cols>
          <w:pgMar w:left="320" w:top="482" w:right="4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61207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612076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66" w:lineRule="exact"/>
        <w:rPr>
          <w:sz w:val="20"/>
          <w:szCs w:val="20"/>
          <w:color w:val="auto"/>
        </w:r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How will my shares be voted?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At the Annual Meeting, the members of management appointed by the Board will vote your shares as you instruct. If you sign your proxy card and return it without indicating how you would like to vote your shares, your shares will be voted as the Board recommends, which is:</w:t>
      </w:r>
    </w:p>
    <w:p>
      <w:pPr>
        <w:spacing w:after="0" w:line="1" w:lineRule="exact"/>
        <w:rPr>
          <w:sz w:val="20"/>
          <w:szCs w:val="20"/>
          <w:color w:val="auto"/>
        </w:rPr>
      </w:pPr>
    </w:p>
    <w:p>
      <w:pPr>
        <w:ind w:left="340" w:hanging="331"/>
        <w:spacing w:after="0"/>
        <w:tabs>
          <w:tab w:leader="none" w:pos="340" w:val="left"/>
        </w:tabs>
        <w:numPr>
          <w:ilvl w:val="0"/>
          <w:numId w:val="124"/>
        </w:numPr>
        <w:rPr>
          <w:rFonts w:ascii="Arial" w:cs="Arial" w:eastAsia="Arial" w:hAnsi="Arial"/>
          <w:sz w:val="16"/>
          <w:szCs w:val="16"/>
          <w:color w:val="0075C9"/>
        </w:rPr>
      </w:pPr>
      <w:r>
        <w:rPr>
          <w:rFonts w:ascii="Arial" w:cs="Arial" w:eastAsia="Arial" w:hAnsi="Arial"/>
          <w:sz w:val="16"/>
          <w:szCs w:val="16"/>
          <w:color w:val="auto"/>
        </w:rPr>
        <w:t>FOR the election of each of the Director nominees named in this Proxy Statement (Proposal 1);</w:t>
      </w:r>
    </w:p>
    <w:p>
      <w:pPr>
        <w:spacing w:after="0" w:line="30" w:lineRule="exact"/>
        <w:rPr>
          <w:rFonts w:ascii="Arial" w:cs="Arial" w:eastAsia="Arial" w:hAnsi="Arial"/>
          <w:sz w:val="16"/>
          <w:szCs w:val="16"/>
          <w:color w:val="0075C9"/>
        </w:rPr>
      </w:pPr>
    </w:p>
    <w:p>
      <w:pPr>
        <w:ind w:left="340" w:right="100" w:hanging="331"/>
        <w:spacing w:after="0" w:line="255" w:lineRule="auto"/>
        <w:tabs>
          <w:tab w:leader="none" w:pos="340" w:val="left"/>
        </w:tabs>
        <w:numPr>
          <w:ilvl w:val="0"/>
          <w:numId w:val="124"/>
        </w:numPr>
        <w:rPr>
          <w:rFonts w:ascii="Arial" w:cs="Arial" w:eastAsia="Arial" w:hAnsi="Arial"/>
          <w:sz w:val="16"/>
          <w:szCs w:val="16"/>
          <w:color w:val="0075C9"/>
        </w:rPr>
      </w:pPr>
      <w:r>
        <w:rPr>
          <w:rFonts w:ascii="Arial" w:cs="Arial" w:eastAsia="Arial" w:hAnsi="Arial"/>
          <w:sz w:val="16"/>
          <w:szCs w:val="16"/>
          <w:color w:val="auto"/>
        </w:rPr>
        <w:t>FOR the ratification of the selection of PricewaterhouseCoopers LLP (PwC) as our independent registered public accounting firm for the 2026 fiscal year (Proposal 2); and</w:t>
      </w:r>
    </w:p>
    <w:p>
      <w:pPr>
        <w:ind w:left="340" w:right="160" w:hanging="331"/>
        <w:spacing w:after="0" w:line="270" w:lineRule="auto"/>
        <w:tabs>
          <w:tab w:leader="none" w:pos="340" w:val="left"/>
        </w:tabs>
        <w:numPr>
          <w:ilvl w:val="0"/>
          <w:numId w:val="124"/>
        </w:numPr>
        <w:rPr>
          <w:rFonts w:ascii="Arial" w:cs="Arial" w:eastAsia="Arial" w:hAnsi="Arial"/>
          <w:sz w:val="16"/>
          <w:szCs w:val="16"/>
          <w:color w:val="0075C9"/>
        </w:rPr>
      </w:pPr>
      <w:r>
        <w:rPr>
          <w:rFonts w:ascii="Arial" w:cs="Arial" w:eastAsia="Arial" w:hAnsi="Arial"/>
          <w:sz w:val="16"/>
          <w:szCs w:val="16"/>
          <w:color w:val="auto"/>
        </w:rPr>
        <w:t>FOR the approval, on an advisory basis, of the compensation of our Named Executive Officers (Proposal 3).</w:t>
      </w:r>
    </w:p>
    <w:p>
      <w:pPr>
        <w:spacing w:after="0" w:line="14"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81"/>
        </w:trPr>
        <w:tc>
          <w:tcPr>
            <w:tcW w:w="2740" w:type="dxa"/>
            <w:vAlign w:val="bottom"/>
            <w:tcBorders>
              <w:top w:val="single" w:sz="8" w:color="0075C9"/>
            </w:tcBorders>
          </w:tcPr>
          <w:p>
            <w:pPr>
              <w:spacing w:after="0"/>
              <w:rPr>
                <w:sz w:val="20"/>
                <w:szCs w:val="20"/>
                <w:color w:val="auto"/>
              </w:rPr>
            </w:pPr>
            <w:r>
              <w:rPr>
                <w:rFonts w:ascii="Arial" w:cs="Arial" w:eastAsia="Arial" w:hAnsi="Arial"/>
                <w:sz w:val="7"/>
                <w:szCs w:val="7"/>
                <w:color w:val="auto"/>
              </w:rPr>
              <w:t> </w:t>
            </w:r>
          </w:p>
        </w:tc>
        <w:tc>
          <w:tcPr>
            <w:tcW w:w="1200" w:type="dxa"/>
            <w:vAlign w:val="bottom"/>
            <w:tcBorders>
              <w:top w:val="single" w:sz="8" w:color="0075C9"/>
            </w:tcBorders>
          </w:tcPr>
          <w:p>
            <w:pPr>
              <w:ind w:left="1000"/>
              <w:spacing w:after="0"/>
              <w:rPr>
                <w:sz w:val="20"/>
                <w:szCs w:val="20"/>
                <w:color w:val="auto"/>
              </w:rPr>
            </w:pPr>
            <w:r>
              <w:rPr>
                <w:rFonts w:ascii="Arial" w:cs="Arial" w:eastAsia="Arial" w:hAnsi="Arial"/>
                <w:sz w:val="7"/>
                <w:szCs w:val="7"/>
                <w:color w:val="auto"/>
              </w:rPr>
              <w:t> </w:t>
            </w:r>
          </w:p>
        </w:tc>
        <w:tc>
          <w:tcPr>
            <w:tcW w:w="7080" w:type="dxa"/>
            <w:vAlign w:val="bottom"/>
            <w:tcBorders>
              <w:top w:val="single" w:sz="8" w:color="0075C9"/>
            </w:tcBorders>
          </w:tcPr>
          <w:p>
            <w:pPr>
              <w:spacing w:after="0"/>
              <w:rPr>
                <w:sz w:val="7"/>
                <w:szCs w:val="7"/>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0075C9"/>
              </w:rPr>
              <w:t>How do proxies work?</w:t>
            </w:r>
          </w:p>
        </w:tc>
        <w:tc>
          <w:tcPr>
            <w:tcW w:w="8280" w:type="dxa"/>
            <w:vAlign w:val="bottom"/>
            <w:gridSpan w:val="2"/>
          </w:tcPr>
          <w:p>
            <w:pPr>
              <w:ind w:left="1000"/>
              <w:spacing w:after="0"/>
              <w:rPr>
                <w:sz w:val="20"/>
                <w:szCs w:val="20"/>
                <w:color w:val="auto"/>
              </w:rPr>
            </w:pPr>
            <w:r>
              <w:rPr>
                <w:rFonts w:ascii="Arial" w:cs="Arial" w:eastAsia="Arial" w:hAnsi="Arial"/>
                <w:sz w:val="16"/>
                <w:szCs w:val="16"/>
                <w:color w:val="auto"/>
              </w:rPr>
              <w:t>If you are a registered stockholder, you will receive a proxy card for all the shares you hold of record:</w:t>
            </w:r>
          </w:p>
        </w:tc>
      </w:tr>
      <w:tr>
        <w:trPr>
          <w:trHeight w:val="203"/>
        </w:trPr>
        <w:tc>
          <w:tcPr>
            <w:tcW w:w="2740" w:type="dxa"/>
            <w:vAlign w:val="bottom"/>
          </w:tcPr>
          <w:p>
            <w:pPr>
              <w:spacing w:after="0"/>
              <w:rPr>
                <w:sz w:val="17"/>
                <w:szCs w:val="17"/>
                <w:color w:val="auto"/>
              </w:rPr>
            </w:pPr>
          </w:p>
        </w:tc>
        <w:tc>
          <w:tcPr>
            <w:tcW w:w="1200" w:type="dxa"/>
            <w:vAlign w:val="bottom"/>
          </w:tcPr>
          <w:p>
            <w:pPr>
              <w:ind w:left="1000"/>
              <w:spacing w:after="0"/>
              <w:rPr>
                <w:sz w:val="20"/>
                <w:szCs w:val="20"/>
                <w:color w:val="auto"/>
              </w:rPr>
            </w:pPr>
            <w:r>
              <w:rPr>
                <w:rFonts w:ascii="Arial" w:cs="Arial" w:eastAsia="Arial" w:hAnsi="Arial"/>
                <w:sz w:val="16"/>
                <w:szCs w:val="16"/>
                <w:color w:val="0075C9"/>
              </w:rPr>
              <w:t>•</w:t>
            </w:r>
          </w:p>
        </w:tc>
        <w:tc>
          <w:tcPr>
            <w:tcW w:w="7080" w:type="dxa"/>
            <w:vAlign w:val="bottom"/>
          </w:tcPr>
          <w:p>
            <w:pPr>
              <w:ind w:left="140"/>
              <w:spacing w:after="0"/>
              <w:rPr>
                <w:sz w:val="20"/>
                <w:szCs w:val="20"/>
                <w:color w:val="auto"/>
              </w:rPr>
            </w:pPr>
            <w:r>
              <w:rPr>
                <w:rFonts w:ascii="Arial" w:cs="Arial" w:eastAsia="Arial" w:hAnsi="Arial"/>
                <w:sz w:val="16"/>
                <w:szCs w:val="16"/>
                <w:color w:val="auto"/>
              </w:rPr>
              <w:t>in certificate form; or</w:t>
            </w:r>
          </w:p>
        </w:tc>
      </w:tr>
      <w:tr>
        <w:trPr>
          <w:trHeight w:val="215"/>
        </w:trPr>
        <w:tc>
          <w:tcPr>
            <w:tcW w:w="274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Arial" w:cs="Arial" w:eastAsia="Arial" w:hAnsi="Arial"/>
                <w:sz w:val="16"/>
                <w:szCs w:val="16"/>
                <w:color w:val="0075C9"/>
              </w:rPr>
              <w:t>•</w:t>
            </w:r>
          </w:p>
        </w:tc>
        <w:tc>
          <w:tcPr>
            <w:tcW w:w="7080" w:type="dxa"/>
            <w:vAlign w:val="bottom"/>
          </w:tcPr>
          <w:p>
            <w:pPr>
              <w:ind w:left="140"/>
              <w:spacing w:after="0"/>
              <w:rPr>
                <w:sz w:val="20"/>
                <w:szCs w:val="20"/>
                <w:color w:val="auto"/>
              </w:rPr>
            </w:pPr>
            <w:r>
              <w:rPr>
                <w:rFonts w:ascii="Arial" w:cs="Arial" w:eastAsia="Arial" w:hAnsi="Arial"/>
                <w:sz w:val="16"/>
                <w:szCs w:val="16"/>
                <w:color w:val="auto"/>
              </w:rPr>
              <w:t>in book-entry form.</w:t>
            </w:r>
          </w:p>
        </w:tc>
      </w:tr>
    </w:tbl>
    <w:p>
      <w:pPr>
        <w:ind w:left="3860" w:right="120"/>
        <w:spacing w:after="0" w:line="254" w:lineRule="auto"/>
        <w:rPr>
          <w:sz w:val="20"/>
          <w:szCs w:val="20"/>
          <w:color w:val="auto"/>
        </w:rPr>
      </w:pPr>
      <w:r>
        <w:rPr>
          <w:rFonts w:ascii="Arial" w:cs="Arial" w:eastAsia="Arial" w:hAnsi="Arial"/>
          <w:sz w:val="16"/>
          <w:szCs w:val="16"/>
          <w:color w:val="auto"/>
        </w:rPr>
        <w:t>Your proxy card will serve as a voting instruction form. If you do not vote your shares or specify your voting instructions on your proxy card or voting instruction form, the administrator of the applicable savings plan and/or the trustee of a Grantor Trust, as the case may be, will vote your shares in accordance with the terms of your plan and/or Grantor Trust.</w:t>
      </w:r>
    </w:p>
    <w:p>
      <w:pPr>
        <w:sectPr>
          <w:pgSz w:w="11900" w:h="16838" w:orient="portrait"/>
          <w:cols w:equalWidth="0" w:num="1">
            <w:col w:w="11140"/>
          </w:cols>
          <w:pgMar w:left="320" w:top="482" w:right="439" w:bottom="1440" w:gutter="0" w:footer="0" w:header="0"/>
          <w:type w:val="continuous"/>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right="640"/>
        <w:spacing w:after="0" w:line="276" w:lineRule="auto"/>
        <w:rPr>
          <w:sz w:val="20"/>
          <w:szCs w:val="20"/>
          <w:color w:val="auto"/>
        </w:rPr>
      </w:pPr>
      <w:r>
        <w:rPr>
          <w:rFonts w:ascii="Arial" w:cs="Arial" w:eastAsia="Arial" w:hAnsi="Arial"/>
          <w:sz w:val="16"/>
          <w:szCs w:val="16"/>
          <w:b w:val="1"/>
          <w:bCs w:val="1"/>
          <w:i w:val="1"/>
          <w:iCs w:val="1"/>
          <w:color w:val="0075C9"/>
        </w:rPr>
        <w:t>How do I vote and what are the voting deadlines?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b w:val="1"/>
          <w:bCs w:val="1"/>
          <w:color w:val="0075C9"/>
        </w:rPr>
        <w:t xml:space="preserve">Stockholders of Record. </w:t>
      </w:r>
      <w:r>
        <w:rPr>
          <w:rFonts w:ascii="Arial" w:cs="Arial" w:eastAsia="Arial" w:hAnsi="Arial"/>
          <w:sz w:val="16"/>
          <w:szCs w:val="16"/>
          <w:color w:val="000000"/>
        </w:rPr>
        <w:t>If you are a stockholder of record, there are several ways for you to vote</w:t>
      </w:r>
      <w:r>
        <w:rPr>
          <w:rFonts w:ascii="Arial" w:cs="Arial" w:eastAsia="Arial" w:hAnsi="Arial"/>
          <w:sz w:val="16"/>
          <w:szCs w:val="16"/>
          <w:b w:val="1"/>
          <w:bCs w:val="1"/>
          <w:color w:val="0075C9"/>
        </w:rPr>
        <w:t xml:space="preserve"> </w:t>
      </w:r>
      <w:r>
        <w:rPr>
          <w:rFonts w:ascii="Arial" w:cs="Arial" w:eastAsia="Arial" w:hAnsi="Arial"/>
          <w:sz w:val="16"/>
          <w:szCs w:val="16"/>
          <w:color w:val="000000"/>
        </w:rPr>
        <w:t>your shares.</w:t>
      </w:r>
    </w:p>
    <w:p>
      <w:pPr>
        <w:spacing w:after="0" w:line="90" w:lineRule="exact"/>
        <w:rPr>
          <w:sz w:val="20"/>
          <w:szCs w:val="20"/>
          <w:color w:val="auto"/>
        </w:rPr>
      </w:pPr>
    </w:p>
    <w:p>
      <w:pPr>
        <w:sectPr>
          <w:pgSz w:w="11900" w:h="16838" w:orient="portrait"/>
          <w:cols w:equalWidth="0" w:num="2">
            <w:col w:w="3140" w:space="720"/>
            <w:col w:w="7280"/>
          </w:cols>
          <w:pgMar w:left="320" w:top="482" w:right="439" w:bottom="1440" w:gutter="0" w:footer="0" w:header="0"/>
          <w:type w:val="continuous"/>
        </w:sectPr>
      </w:pPr>
    </w:p>
    <w:p>
      <w:pPr>
        <w:ind w:left="4500" w:right="80" w:hanging="629"/>
        <w:spacing w:after="0"/>
        <w:rPr>
          <w:sz w:val="20"/>
          <w:szCs w:val="20"/>
          <w:color w:val="auto"/>
        </w:rPr>
      </w:pPr>
      <w:r>
        <w:rPr>
          <w:sz w:val="1"/>
          <w:szCs w:val="1"/>
          <w:color w:val="auto"/>
        </w:rPr>
        <w:drawing>
          <wp:inline distT="0" distB="0" distL="0" distR="0">
            <wp:extent cx="137160" cy="1371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b w:val="1"/>
          <w:bCs w:val="1"/>
          <w:color w:val="auto"/>
        </w:rPr>
        <w:t xml:space="preserve">   By Internet. </w:t>
      </w:r>
      <w:r>
        <w:rPr>
          <w:rFonts w:ascii="Arial" w:cs="Arial" w:eastAsia="Arial" w:hAnsi="Arial"/>
          <w:sz w:val="18"/>
          <w:szCs w:val="18"/>
          <w:color w:val="auto"/>
        </w:rPr>
        <w:t>You may vote at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color w:val="auto"/>
        </w:rPr>
        <w:t>, 24 hours a day, seven days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week. You will need the 16-digit control number included on your Notice of Internet Availability of Proxy Materials or, if you received a printed copy of the proxy materials, on your proxy card or voting instruction form. Votes submitted through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be received by 11:59 p.m. Eastern Time on June 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w:t>
      </w:r>
    </w:p>
    <w:p>
      <w:pPr>
        <w:spacing w:after="0" w:line="225" w:lineRule="exact"/>
        <w:rPr>
          <w:sz w:val="20"/>
          <w:szCs w:val="20"/>
          <w:color w:val="auto"/>
        </w:rPr>
      </w:pPr>
    </w:p>
    <w:p>
      <w:pPr>
        <w:ind w:left="4500" w:right="20" w:hanging="629"/>
        <w:spacing w:after="0"/>
        <w:rPr>
          <w:sz w:val="20"/>
          <w:szCs w:val="20"/>
          <w:color w:val="auto"/>
        </w:rPr>
      </w:pPr>
      <w:r>
        <w:rPr>
          <w:sz w:val="1"/>
          <w:szCs w:val="1"/>
          <w:color w:val="auto"/>
        </w:rPr>
        <w:drawing>
          <wp:inline distT="0" distB="0" distL="0" distR="0">
            <wp:extent cx="137160" cy="1371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b w:val="1"/>
          <w:bCs w:val="1"/>
          <w:color w:val="auto"/>
        </w:rPr>
        <w:t xml:space="preserve">   By Telephone. </w:t>
      </w:r>
      <w:r>
        <w:rPr>
          <w:rFonts w:ascii="Arial" w:cs="Arial" w:eastAsia="Arial" w:hAnsi="Arial"/>
          <w:sz w:val="18"/>
          <w:szCs w:val="18"/>
          <w:color w:val="auto"/>
        </w:rPr>
        <w:t>You may vote using a touch-tone telephone by calling</w:t>
      </w:r>
      <w:r>
        <w:rPr>
          <w:rFonts w:ascii="Arial" w:cs="Arial" w:eastAsia="Arial" w:hAnsi="Arial"/>
          <w:sz w:val="18"/>
          <w:szCs w:val="18"/>
          <w:b w:val="1"/>
          <w:bCs w:val="1"/>
          <w:color w:val="auto"/>
        </w:rPr>
        <w:t xml:space="preserve"> 1-800-690-6903</w:t>
      </w:r>
      <w:r>
        <w:rPr>
          <w:rFonts w:ascii="Arial" w:cs="Arial" w:eastAsia="Arial" w:hAnsi="Arial"/>
          <w:sz w:val="18"/>
          <w:szCs w:val="18"/>
          <w:color w:val="auto"/>
        </w:rPr>
        <w:t>, 24 hours a day, seven days a week. You will need the 16-digit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number included on your Notice of Internet Availability of Proxy Materials or, if you received a printed copy of the proxy materials, on your proxy card or voting instruction form. Votes submitted by telephone must be received by 11:59 p.m. Eastern Time on June 8, 2026.</w:t>
      </w:r>
    </w:p>
    <w:p>
      <w:pPr>
        <w:spacing w:after="0" w:line="225" w:lineRule="exact"/>
        <w:rPr>
          <w:sz w:val="20"/>
          <w:szCs w:val="20"/>
          <w:color w:val="auto"/>
        </w:rPr>
      </w:pPr>
    </w:p>
    <w:p>
      <w:pPr>
        <w:ind w:left="4500" w:right="140" w:hanging="629"/>
        <w:spacing w:after="0"/>
        <w:rPr>
          <w:sz w:val="20"/>
          <w:szCs w:val="20"/>
          <w:color w:val="auto"/>
        </w:rPr>
      </w:pPr>
      <w:r>
        <w:rPr>
          <w:sz w:val="1"/>
          <w:szCs w:val="1"/>
          <w:color w:val="auto"/>
        </w:rPr>
        <w:drawing>
          <wp:inline distT="0" distB="0" distL="0" distR="0">
            <wp:extent cx="137160" cy="1371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b w:val="1"/>
          <w:bCs w:val="1"/>
          <w:color w:val="auto"/>
        </w:rPr>
        <w:t xml:space="preserve">   By Mail. </w:t>
      </w:r>
      <w:r>
        <w:rPr>
          <w:rFonts w:ascii="Arial" w:cs="Arial" w:eastAsia="Arial" w:hAnsi="Arial"/>
          <w:sz w:val="18"/>
          <w:szCs w:val="18"/>
          <w:color w:val="auto"/>
        </w:rPr>
        <w:t>If you received printed proxy materials, you may submit your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signing and dating each proxy card or voting instruction form received and returning it in the prepaid envelope. Sign your name exactly as it appears on the proxy card or voting instruction form. Proxy cards or voting instruction form submitted by mail must be received no later than June 8, 2026, to be voted at the Annual Meeting.</w:t>
      </w:r>
    </w:p>
    <w:p>
      <w:pPr>
        <w:spacing w:after="0" w:line="225" w:lineRule="exact"/>
        <w:rPr>
          <w:sz w:val="20"/>
          <w:szCs w:val="20"/>
          <w:color w:val="auto"/>
        </w:rPr>
      </w:pPr>
    </w:p>
    <w:p>
      <w:pPr>
        <w:ind w:left="4500" w:right="120" w:hanging="629"/>
        <w:spacing w:after="0"/>
        <w:rPr>
          <w:sz w:val="20"/>
          <w:szCs w:val="20"/>
          <w:color w:val="auto"/>
        </w:rPr>
      </w:pPr>
      <w:r>
        <w:rPr>
          <w:sz w:val="1"/>
          <w:szCs w:val="1"/>
          <w:color w:val="auto"/>
        </w:rPr>
        <w:drawing>
          <wp:inline distT="0" distB="0" distL="0" distR="0">
            <wp:extent cx="137160" cy="1371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b w:val="1"/>
          <w:bCs w:val="1"/>
          <w:color w:val="auto"/>
        </w:rPr>
        <w:t xml:space="preserve">   During the Annual Meeting. </w:t>
      </w:r>
      <w:r>
        <w:rPr>
          <w:rFonts w:ascii="Arial" w:cs="Arial" w:eastAsia="Arial" w:hAnsi="Arial"/>
          <w:sz w:val="18"/>
          <w:szCs w:val="18"/>
          <w:color w:val="auto"/>
        </w:rPr>
        <w:t>You may vote during the Annual Meeting by going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www.virtualshareholdermeeting.com/BIIB2026</w:t>
      </w:r>
      <w:r>
        <w:rPr>
          <w:rFonts w:ascii="Arial" w:cs="Arial" w:eastAsia="Arial" w:hAnsi="Arial"/>
          <w:sz w:val="18"/>
          <w:szCs w:val="18"/>
          <w:color w:val="auto"/>
        </w:rPr>
        <w:t>. You will need the 16-digit control number included on your Notice of Internet Availability of Proxy Materials or, if you received a printed copy of the proxy materials, on your proxy card or voting instruction form to be able to vote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-66-</w:t>
      </w:r>
    </w:p>
    <w:p>
      <w:pPr>
        <w:sectPr>
          <w:pgSz w:w="11900" w:h="16838" w:orient="portrait"/>
          <w:cols w:equalWidth="0" w:num="1">
            <w:col w:w="11140"/>
          </w:cols>
          <w:pgMar w:left="320" w:top="482" w:right="4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5469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5469255"/>
                    </a:xfrm>
                    <a:prstGeom prst="rect">
                      <a:avLst/>
                    </a:prstGeom>
                    <a:noFill/>
                  </pic:spPr>
                </pic:pic>
              </a:graphicData>
            </a:graphic>
          </wp:anchor>
        </w:drawing>
      </w:r>
    </w:p>
    <w:p>
      <w:pPr>
        <w:spacing w:after="0" w:line="146" w:lineRule="exact"/>
        <w:rPr>
          <w:sz w:val="20"/>
          <w:szCs w:val="20"/>
          <w:color w:val="auto"/>
        </w:rPr>
      </w:pPr>
    </w:p>
    <w:p>
      <w:pPr>
        <w:ind w:left="386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3860" w:right="20"/>
        <w:spacing w:after="0" w:line="256" w:lineRule="auto"/>
        <w:rPr>
          <w:sz w:val="20"/>
          <w:szCs w:val="20"/>
          <w:color w:val="auto"/>
        </w:rPr>
      </w:pPr>
      <w:r>
        <w:rPr>
          <w:rFonts w:ascii="Arial" w:cs="Arial" w:eastAsia="Arial" w:hAnsi="Arial"/>
          <w:sz w:val="16"/>
          <w:szCs w:val="16"/>
          <w:color w:val="auto"/>
        </w:rPr>
        <w:t xml:space="preserve">If you vote via the Internet or by telephone before the Annual Meeting, your electronic vote authorizes the named proxies in the same manner as if you signed, dated and returned your proxy card or voting instruction form. </w:t>
      </w:r>
      <w:r>
        <w:rPr>
          <w:rFonts w:ascii="Arial" w:cs="Arial" w:eastAsia="Arial" w:hAnsi="Arial"/>
          <w:sz w:val="16"/>
          <w:szCs w:val="16"/>
          <w:b w:val="1"/>
          <w:bCs w:val="1"/>
          <w:color w:val="auto"/>
        </w:rPr>
        <w:t>If you vote via the Internet or by telephone before the Annual Meeting,</w:t>
      </w:r>
      <w:r>
        <w:rPr>
          <w:rFonts w:ascii="Arial" w:cs="Arial" w:eastAsia="Arial" w:hAnsi="Arial"/>
          <w:sz w:val="16"/>
          <w:szCs w:val="16"/>
          <w:color w:val="auto"/>
        </w:rPr>
        <w:t xml:space="preserve"> </w:t>
      </w:r>
      <w:r>
        <w:rPr>
          <w:rFonts w:ascii="Arial" w:cs="Arial" w:eastAsia="Arial" w:hAnsi="Arial"/>
          <w:sz w:val="16"/>
          <w:szCs w:val="16"/>
          <w:b w:val="1"/>
          <w:bCs w:val="1"/>
          <w:color w:val="auto"/>
        </w:rPr>
        <w:t>do not return your proxy card.</w:t>
      </w:r>
    </w:p>
    <w:p>
      <w:pPr>
        <w:spacing w:after="0" w:line="90" w:lineRule="exact"/>
        <w:rPr>
          <w:sz w:val="20"/>
          <w:szCs w:val="20"/>
          <w:color w:val="auto"/>
        </w:rPr>
      </w:pPr>
    </w:p>
    <w:p>
      <w:pPr>
        <w:ind w:left="3860" w:right="20"/>
        <w:spacing w:after="0" w:line="250" w:lineRule="auto"/>
        <w:rPr>
          <w:sz w:val="20"/>
          <w:szCs w:val="20"/>
          <w:color w:val="auto"/>
        </w:rPr>
      </w:pPr>
      <w:r>
        <w:rPr>
          <w:rFonts w:ascii="Arial" w:cs="Arial" w:eastAsia="Arial" w:hAnsi="Arial"/>
          <w:sz w:val="16"/>
          <w:szCs w:val="16"/>
          <w:b w:val="1"/>
          <w:bCs w:val="1"/>
          <w:color w:val="0075C9"/>
        </w:rPr>
        <w:t xml:space="preserve">Beneficial Owners. </w:t>
      </w:r>
      <w:r>
        <w:rPr>
          <w:rFonts w:ascii="Arial" w:cs="Arial" w:eastAsia="Arial" w:hAnsi="Arial"/>
          <w:sz w:val="16"/>
          <w:szCs w:val="16"/>
          <w:b w:val="1"/>
          <w:bCs w:val="1"/>
          <w:i w:val="1"/>
          <w:iCs w:val="1"/>
          <w:color w:val="000000"/>
        </w:rPr>
        <w:t>If your shares are held in a brokerage account in your broker’s name, then</w:t>
      </w:r>
      <w:r>
        <w:rPr>
          <w:rFonts w:ascii="Arial" w:cs="Arial" w:eastAsia="Arial" w:hAnsi="Arial"/>
          <w:sz w:val="16"/>
          <w:szCs w:val="16"/>
          <w:b w:val="1"/>
          <w:bCs w:val="1"/>
          <w:color w:val="0075C9"/>
        </w:rPr>
        <w:t xml:space="preserve"> </w:t>
      </w:r>
      <w:r>
        <w:rPr>
          <w:rFonts w:ascii="Arial" w:cs="Arial" w:eastAsia="Arial" w:hAnsi="Arial"/>
          <w:sz w:val="16"/>
          <w:szCs w:val="16"/>
          <w:b w:val="1"/>
          <w:bCs w:val="1"/>
          <w:i w:val="1"/>
          <w:iCs w:val="1"/>
          <w:color w:val="000000"/>
        </w:rPr>
        <w:t xml:space="preserve">you are the beneficial owner of shares held in “street name.” </w:t>
      </w:r>
      <w:r>
        <w:rPr>
          <w:rFonts w:ascii="Arial" w:cs="Arial" w:eastAsia="Arial" w:hAnsi="Arial"/>
          <w:sz w:val="16"/>
          <w:szCs w:val="16"/>
          <w:color w:val="000000"/>
        </w:rPr>
        <w:t>If you are a beneficial owner of</w:t>
      </w:r>
      <w:r>
        <w:rPr>
          <w:rFonts w:ascii="Arial" w:cs="Arial" w:eastAsia="Arial" w:hAnsi="Arial"/>
          <w:sz w:val="16"/>
          <w:szCs w:val="16"/>
          <w:b w:val="1"/>
          <w:bCs w:val="1"/>
          <w:i w:val="1"/>
          <w:iCs w:val="1"/>
          <w:color w:val="000000"/>
        </w:rPr>
        <w:t xml:space="preserve"> </w:t>
      </w:r>
      <w:r>
        <w:rPr>
          <w:rFonts w:ascii="Arial" w:cs="Arial" w:eastAsia="Arial" w:hAnsi="Arial"/>
          <w:sz w:val="16"/>
          <w:szCs w:val="16"/>
          <w:color w:val="000000"/>
        </w:rPr>
        <w:t>your shares, you should have received a Notice of Internet Availability of Proxy Materials or voting instructions from the bank, broker or other nominee holding your shares. You should follow the instructions in the Notice of Internet Availability of Proxy Materials or voting instructions provided by your bank, broker or other nominee to instruct your bank, broker or other nominee on how to vote your shares. The availability of telephone and Internet voting will depend on the voting process of the bank, broker or other nominee. Shares held beneficially may not be voted during the Annual Meeting; instead a beneficial holder must instruct their bank, broker or other nominee in advance of the Annual Meeting.</w:t>
      </w:r>
    </w:p>
    <w:p>
      <w:pPr>
        <w:sectPr>
          <w:pgSz w:w="11900" w:h="16838" w:orient="portrait"/>
          <w:cols w:equalWidth="0" w:num="1">
            <w:col w:w="11140"/>
          </w:cols>
          <w:pgMar w:left="320" w:top="482" w:right="439" w:bottom="1440" w:gutter="0" w:footer="0" w:header="0"/>
        </w:sectPr>
      </w:pPr>
    </w:p>
    <w:p>
      <w:pPr>
        <w:spacing w:after="0" w:line="65" w:lineRule="exact"/>
        <w:rPr>
          <w:sz w:val="20"/>
          <w:szCs w:val="20"/>
          <w:color w:val="auto"/>
        </w:r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line="258" w:lineRule="auto"/>
        <w:rPr>
          <w:sz w:val="20"/>
          <w:szCs w:val="20"/>
          <w:color w:val="auto"/>
        </w:rPr>
      </w:pPr>
      <w:r>
        <w:rPr>
          <w:rFonts w:ascii="Arial" w:cs="Arial" w:eastAsia="Arial" w:hAnsi="Arial"/>
          <w:sz w:val="16"/>
          <w:szCs w:val="16"/>
          <w:b w:val="1"/>
          <w:bCs w:val="1"/>
          <w:i w:val="1"/>
          <w:iCs w:val="1"/>
          <w:color w:val="0075C9"/>
        </w:rPr>
        <w:t>Can I revoke or change my vote after I submit my proxy?</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b w:val="1"/>
          <w:bCs w:val="1"/>
          <w:color w:val="0075C9"/>
        </w:rPr>
        <w:t xml:space="preserve">Stockholders of Record. </w:t>
      </w:r>
      <w:r>
        <w:rPr>
          <w:rFonts w:ascii="Arial" w:cs="Arial" w:eastAsia="Arial" w:hAnsi="Arial"/>
          <w:sz w:val="16"/>
          <w:szCs w:val="16"/>
          <w:color w:val="000000"/>
        </w:rPr>
        <w:t>If you are a stockholder of record, you may revoke or change your vote at</w:t>
      </w:r>
      <w:r>
        <w:rPr>
          <w:rFonts w:ascii="Arial" w:cs="Arial" w:eastAsia="Arial" w:hAnsi="Arial"/>
          <w:sz w:val="16"/>
          <w:szCs w:val="16"/>
          <w:b w:val="1"/>
          <w:bCs w:val="1"/>
          <w:color w:val="0075C9"/>
        </w:rPr>
        <w:t xml:space="preserve"> </w:t>
      </w:r>
      <w:r>
        <w:rPr>
          <w:rFonts w:ascii="Arial" w:cs="Arial" w:eastAsia="Arial" w:hAnsi="Arial"/>
          <w:sz w:val="16"/>
          <w:szCs w:val="16"/>
          <w:color w:val="000000"/>
        </w:rPr>
        <w:t>any time before the final vote at the Annual Meeting by:</w:t>
      </w:r>
    </w:p>
    <w:p>
      <w:pPr>
        <w:spacing w:after="0" w:line="1" w:lineRule="exact"/>
        <w:rPr>
          <w:sz w:val="20"/>
          <w:szCs w:val="20"/>
          <w:color w:val="auto"/>
        </w:rPr>
      </w:pPr>
    </w:p>
    <w:p>
      <w:pPr>
        <w:sectPr>
          <w:pgSz w:w="11900" w:h="16838" w:orient="portrait"/>
          <w:cols w:equalWidth="0" w:num="2">
            <w:col w:w="3620" w:space="240"/>
            <w:col w:w="7280"/>
          </w:cols>
          <w:pgMar w:left="320" w:top="482" w:right="439" w:bottom="1440" w:gutter="0" w:footer="0" w:header="0"/>
          <w:type w:val="continuous"/>
        </w:sectPr>
      </w:pPr>
    </w:p>
    <w:p>
      <w:pPr>
        <w:ind w:left="4200" w:right="40" w:hanging="331"/>
        <w:spacing w:after="0" w:line="258" w:lineRule="auto"/>
        <w:tabs>
          <w:tab w:leader="none" w:pos="4200" w:val="left"/>
        </w:tabs>
        <w:numPr>
          <w:ilvl w:val="0"/>
          <w:numId w:val="125"/>
        </w:numPr>
        <w:rPr>
          <w:rFonts w:ascii="Arial" w:cs="Arial" w:eastAsia="Arial" w:hAnsi="Arial"/>
          <w:sz w:val="16"/>
          <w:szCs w:val="16"/>
          <w:color w:val="0075C9"/>
        </w:rPr>
      </w:pPr>
      <w:r>
        <w:rPr>
          <w:rFonts w:ascii="Arial" w:cs="Arial" w:eastAsia="Arial" w:hAnsi="Arial"/>
          <w:sz w:val="16"/>
          <w:szCs w:val="16"/>
          <w:color w:val="auto"/>
        </w:rPr>
        <w:t>signing and returning a new proxy card or voting instruction form with a later date, to be received no later than June 8, 2026;</w:t>
      </w:r>
    </w:p>
    <w:p>
      <w:pPr>
        <w:spacing w:after="0" w:line="1" w:lineRule="exact"/>
        <w:rPr>
          <w:rFonts w:ascii="Arial" w:cs="Arial" w:eastAsia="Arial" w:hAnsi="Arial"/>
          <w:sz w:val="16"/>
          <w:szCs w:val="16"/>
          <w:color w:val="0075C9"/>
        </w:rPr>
      </w:pPr>
    </w:p>
    <w:p>
      <w:pPr>
        <w:ind w:left="4200" w:right="320" w:hanging="331"/>
        <w:spacing w:after="0" w:line="255" w:lineRule="auto"/>
        <w:tabs>
          <w:tab w:leader="none" w:pos="4200" w:val="left"/>
        </w:tabs>
        <w:numPr>
          <w:ilvl w:val="0"/>
          <w:numId w:val="125"/>
        </w:numPr>
        <w:rPr>
          <w:rFonts w:ascii="Arial" w:cs="Arial" w:eastAsia="Arial" w:hAnsi="Arial"/>
          <w:sz w:val="16"/>
          <w:szCs w:val="16"/>
          <w:color w:val="0075C9"/>
        </w:rPr>
      </w:pPr>
      <w:r>
        <w:rPr>
          <w:rFonts w:ascii="Arial" w:cs="Arial" w:eastAsia="Arial" w:hAnsi="Arial"/>
          <w:sz w:val="16"/>
          <w:szCs w:val="16"/>
          <w:color w:val="auto"/>
        </w:rPr>
        <w:t>submitting a later-dated vote by telephone or via the Internet — only your latest telephone or Internet proxy received by 11:59 p.m. Eastern Time on June 8, 2026, will be counted;</w:t>
      </w:r>
    </w:p>
    <w:p>
      <w:pPr>
        <w:ind w:left="4200" w:hanging="331"/>
        <w:spacing w:after="0"/>
        <w:tabs>
          <w:tab w:leader="none" w:pos="4200" w:val="left"/>
        </w:tabs>
        <w:numPr>
          <w:ilvl w:val="0"/>
          <w:numId w:val="125"/>
        </w:numPr>
        <w:rPr>
          <w:rFonts w:ascii="Arial" w:cs="Arial" w:eastAsia="Arial" w:hAnsi="Arial"/>
          <w:sz w:val="16"/>
          <w:szCs w:val="16"/>
          <w:color w:val="0075C9"/>
        </w:rPr>
      </w:pPr>
      <w:r>
        <w:rPr>
          <w:rFonts w:ascii="Arial" w:cs="Arial" w:eastAsia="Arial" w:hAnsi="Arial"/>
          <w:sz w:val="16"/>
          <w:szCs w:val="16"/>
          <w:color w:val="auto"/>
        </w:rPr>
        <w:t>participating in the Annual Meeting virtually via the Internet and voting again; or</w:t>
      </w:r>
    </w:p>
    <w:p>
      <w:pPr>
        <w:spacing w:after="0" w:line="18" w:lineRule="exact"/>
        <w:rPr>
          <w:rFonts w:ascii="Arial" w:cs="Arial" w:eastAsia="Arial" w:hAnsi="Arial"/>
          <w:sz w:val="16"/>
          <w:szCs w:val="16"/>
          <w:color w:val="0075C9"/>
        </w:rPr>
      </w:pPr>
    </w:p>
    <w:p>
      <w:pPr>
        <w:ind w:left="4200" w:right="260" w:hanging="331"/>
        <w:spacing w:after="0" w:line="255" w:lineRule="auto"/>
        <w:tabs>
          <w:tab w:leader="none" w:pos="4200" w:val="left"/>
        </w:tabs>
        <w:numPr>
          <w:ilvl w:val="0"/>
          <w:numId w:val="125"/>
        </w:numPr>
        <w:rPr>
          <w:rFonts w:ascii="Arial" w:cs="Arial" w:eastAsia="Arial" w:hAnsi="Arial"/>
          <w:sz w:val="16"/>
          <w:szCs w:val="16"/>
          <w:color w:val="0075C9"/>
        </w:rPr>
      </w:pPr>
      <w:r>
        <w:rPr>
          <w:rFonts w:ascii="Arial" w:cs="Arial" w:eastAsia="Arial" w:hAnsi="Arial"/>
          <w:sz w:val="16"/>
          <w:szCs w:val="16"/>
          <w:color w:val="auto"/>
        </w:rPr>
        <w:t>delivering a written revocation to our Secretary at Biogen Inc., 225 Binney Street, Cambridge, Massachusetts 02142, to be received no later than June 8, 2026.</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Only your latest vote, in whatever form, will be counted.</w:t>
      </w:r>
    </w:p>
    <w:p>
      <w:pPr>
        <w:spacing w:after="0" w:line="74" w:lineRule="exact"/>
        <w:rPr>
          <w:sz w:val="20"/>
          <w:szCs w:val="20"/>
          <w:color w:val="auto"/>
        </w:rPr>
      </w:pPr>
    </w:p>
    <w:p>
      <w:pPr>
        <w:ind w:left="3860" w:right="40"/>
        <w:spacing w:after="0" w:line="286" w:lineRule="auto"/>
        <w:rPr>
          <w:sz w:val="20"/>
          <w:szCs w:val="20"/>
          <w:color w:val="auto"/>
        </w:rPr>
      </w:pPr>
      <w:r>
        <w:rPr>
          <w:rFonts w:ascii="Arial" w:cs="Arial" w:eastAsia="Arial" w:hAnsi="Arial"/>
          <w:sz w:val="16"/>
          <w:szCs w:val="16"/>
          <w:b w:val="1"/>
          <w:bCs w:val="1"/>
          <w:color w:val="0075C9"/>
        </w:rPr>
        <w:t xml:space="preserve">Beneficial Owners. </w:t>
      </w:r>
      <w:r>
        <w:rPr>
          <w:rFonts w:ascii="Arial" w:cs="Arial" w:eastAsia="Arial" w:hAnsi="Arial"/>
          <w:sz w:val="16"/>
          <w:szCs w:val="16"/>
          <w:color w:val="000000"/>
        </w:rPr>
        <w:t>If you are a beneficial owner of your shares, you must contact the bank, broker</w:t>
      </w:r>
      <w:r>
        <w:rPr>
          <w:rFonts w:ascii="Arial" w:cs="Arial" w:eastAsia="Arial" w:hAnsi="Arial"/>
          <w:sz w:val="16"/>
          <w:szCs w:val="16"/>
          <w:b w:val="1"/>
          <w:bCs w:val="1"/>
          <w:color w:val="0075C9"/>
        </w:rPr>
        <w:t xml:space="preserve"> </w:t>
      </w:r>
      <w:r>
        <w:rPr>
          <w:rFonts w:ascii="Arial" w:cs="Arial" w:eastAsia="Arial" w:hAnsi="Arial"/>
          <w:sz w:val="16"/>
          <w:szCs w:val="16"/>
          <w:color w:val="000000"/>
        </w:rPr>
        <w:t>or other nominee holding your shares and follow their instructions for revoking or changing your vote.</w:t>
      </w: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81"/>
        </w:trPr>
        <w:tc>
          <w:tcPr>
            <w:tcW w:w="3520" w:type="dxa"/>
            <w:vAlign w:val="bottom"/>
            <w:tcBorders>
              <w:top w:val="single" w:sz="8" w:color="0075C9"/>
            </w:tcBorders>
          </w:tcPr>
          <w:p>
            <w:pPr>
              <w:spacing w:after="0" w:line="81" w:lineRule="exact"/>
              <w:rPr>
                <w:sz w:val="20"/>
                <w:szCs w:val="20"/>
                <w:color w:val="auto"/>
              </w:rPr>
            </w:pPr>
            <w:r>
              <w:rPr>
                <w:rFonts w:ascii="Arial" w:cs="Arial" w:eastAsia="Arial" w:hAnsi="Arial"/>
                <w:sz w:val="9"/>
                <w:szCs w:val="9"/>
                <w:b w:val="1"/>
                <w:bCs w:val="1"/>
                <w:i w:val="1"/>
                <w:iCs w:val="1"/>
                <w:color w:val="0075C9"/>
              </w:rPr>
              <w:t>Will my shares be counted if I do not vote?</w:t>
            </w:r>
          </w:p>
        </w:tc>
        <w:tc>
          <w:tcPr>
            <w:tcW w:w="7500" w:type="dxa"/>
            <w:vAlign w:val="bottom"/>
            <w:tcBorders>
              <w:top w:val="single" w:sz="8" w:color="0075C9"/>
            </w:tcBorders>
          </w:tcPr>
          <w:p>
            <w:pPr>
              <w:ind w:left="220"/>
              <w:spacing w:after="0"/>
              <w:rPr>
                <w:sz w:val="20"/>
                <w:szCs w:val="20"/>
                <w:color w:val="auto"/>
              </w:rPr>
            </w:pPr>
            <w:r>
              <w:rPr>
                <w:rFonts w:ascii="Arial" w:cs="Arial" w:eastAsia="Arial" w:hAnsi="Arial"/>
                <w:sz w:val="7"/>
                <w:szCs w:val="7"/>
                <w:color w:val="auto"/>
              </w:rPr>
              <w:t> </w:t>
            </w:r>
          </w:p>
        </w:tc>
      </w:tr>
      <w:tr>
        <w:trPr>
          <w:trHeight w:val="188"/>
        </w:trPr>
        <w:tc>
          <w:tcPr>
            <w:tcW w:w="3520" w:type="dxa"/>
            <w:vAlign w:val="bottom"/>
          </w:tcPr>
          <w:p>
            <w:pPr>
              <w:spacing w:after="0"/>
              <w:rPr>
                <w:sz w:val="16"/>
                <w:szCs w:val="16"/>
                <w:color w:val="auto"/>
              </w:rPr>
            </w:pPr>
          </w:p>
        </w:tc>
        <w:tc>
          <w:tcPr>
            <w:tcW w:w="7500" w:type="dxa"/>
            <w:vAlign w:val="bottom"/>
          </w:tcPr>
          <w:p>
            <w:pPr>
              <w:ind w:left="220"/>
              <w:spacing w:after="0"/>
              <w:rPr>
                <w:sz w:val="20"/>
                <w:szCs w:val="20"/>
                <w:color w:val="auto"/>
              </w:rPr>
            </w:pPr>
            <w:r>
              <w:rPr>
                <w:rFonts w:ascii="Arial" w:cs="Arial" w:eastAsia="Arial" w:hAnsi="Arial"/>
                <w:sz w:val="16"/>
                <w:szCs w:val="16"/>
                <w:b w:val="1"/>
                <w:bCs w:val="1"/>
                <w:color w:val="0075C9"/>
              </w:rPr>
              <w:t xml:space="preserve">Stockholders of Record. </w:t>
            </w:r>
            <w:r>
              <w:rPr>
                <w:rFonts w:ascii="Arial" w:cs="Arial" w:eastAsia="Arial" w:hAnsi="Arial"/>
                <w:sz w:val="16"/>
                <w:szCs w:val="16"/>
                <w:color w:val="000000"/>
              </w:rPr>
              <w:t>If you are the stockholder of record and you do not vote before the Annual</w:t>
            </w:r>
          </w:p>
        </w:tc>
      </w:tr>
      <w:tr>
        <w:trPr>
          <w:trHeight w:val="215"/>
        </w:trPr>
        <w:tc>
          <w:tcPr>
            <w:tcW w:w="352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Meeting your shares will not be voted at the Annual Meeting.</w:t>
            </w:r>
          </w:p>
        </w:tc>
      </w:tr>
      <w:tr>
        <w:trPr>
          <w:trHeight w:val="285"/>
        </w:trPr>
        <w:tc>
          <w:tcPr>
            <w:tcW w:w="3520" w:type="dxa"/>
            <w:vAlign w:val="bottom"/>
          </w:tcPr>
          <w:p>
            <w:pPr>
              <w:spacing w:after="0"/>
              <w:rPr>
                <w:sz w:val="24"/>
                <w:szCs w:val="24"/>
                <w:color w:val="auto"/>
              </w:rPr>
            </w:pPr>
          </w:p>
        </w:tc>
        <w:tc>
          <w:tcPr>
            <w:tcW w:w="7500" w:type="dxa"/>
            <w:vAlign w:val="bottom"/>
          </w:tcPr>
          <w:p>
            <w:pPr>
              <w:ind w:left="220"/>
              <w:spacing w:after="0"/>
              <w:rPr>
                <w:sz w:val="20"/>
                <w:szCs w:val="20"/>
                <w:color w:val="auto"/>
              </w:rPr>
            </w:pPr>
            <w:r>
              <w:rPr>
                <w:rFonts w:ascii="Arial" w:cs="Arial" w:eastAsia="Arial" w:hAnsi="Arial"/>
                <w:sz w:val="16"/>
                <w:szCs w:val="16"/>
                <w:b w:val="1"/>
                <w:bCs w:val="1"/>
                <w:color w:val="0075C9"/>
              </w:rPr>
              <w:t xml:space="preserve">Beneficial Owners. </w:t>
            </w:r>
            <w:r>
              <w:rPr>
                <w:rFonts w:ascii="Arial" w:cs="Arial" w:eastAsia="Arial" w:hAnsi="Arial"/>
                <w:sz w:val="16"/>
                <w:szCs w:val="16"/>
                <w:color w:val="000000"/>
              </w:rPr>
              <w:t>If you are the beneficial owner of shares, your bank, broker or other nominee, as</w:t>
            </w:r>
          </w:p>
        </w:tc>
      </w:tr>
      <w:tr>
        <w:trPr>
          <w:trHeight w:val="189"/>
        </w:trPr>
        <w:tc>
          <w:tcPr>
            <w:tcW w:w="3520" w:type="dxa"/>
            <w:vAlign w:val="bottom"/>
          </w:tcPr>
          <w:p>
            <w:pPr>
              <w:spacing w:after="0"/>
              <w:rPr>
                <w:sz w:val="16"/>
                <w:szCs w:val="16"/>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the record holder of the shares, is required to vote those shares in accordance with your instructions.</w:t>
            </w:r>
          </w:p>
        </w:tc>
      </w:tr>
      <w:tr>
        <w:trPr>
          <w:trHeight w:val="189"/>
        </w:trPr>
        <w:tc>
          <w:tcPr>
            <w:tcW w:w="3520" w:type="dxa"/>
            <w:vAlign w:val="bottom"/>
          </w:tcPr>
          <w:p>
            <w:pPr>
              <w:spacing w:after="0"/>
              <w:rPr>
                <w:sz w:val="16"/>
                <w:szCs w:val="16"/>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If no voting instructions are provided, these record holders can vote your shares only on</w:t>
            </w:r>
          </w:p>
        </w:tc>
      </w:tr>
      <w:tr>
        <w:trPr>
          <w:trHeight w:val="189"/>
        </w:trPr>
        <w:tc>
          <w:tcPr>
            <w:tcW w:w="3520" w:type="dxa"/>
            <w:vAlign w:val="bottom"/>
          </w:tcPr>
          <w:p>
            <w:pPr>
              <w:spacing w:after="0"/>
              <w:rPr>
                <w:sz w:val="16"/>
                <w:szCs w:val="16"/>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discretionary, or routine, matters and not on non-discretionary, or non-routine, matters. Uninstructed</w:t>
            </w:r>
          </w:p>
        </w:tc>
      </w:tr>
      <w:tr>
        <w:trPr>
          <w:trHeight w:val="189"/>
        </w:trPr>
        <w:tc>
          <w:tcPr>
            <w:tcW w:w="3520" w:type="dxa"/>
            <w:vAlign w:val="bottom"/>
          </w:tcPr>
          <w:p>
            <w:pPr>
              <w:spacing w:after="0"/>
              <w:rPr>
                <w:sz w:val="16"/>
                <w:szCs w:val="16"/>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shares whose votes cannot be counted on non-routine matters result in what are commonly referred</w:t>
            </w:r>
          </w:p>
        </w:tc>
      </w:tr>
      <w:tr>
        <w:trPr>
          <w:trHeight w:val="215"/>
        </w:trPr>
        <w:tc>
          <w:tcPr>
            <w:tcW w:w="352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to as “broker non-votes.”</w:t>
            </w:r>
          </w:p>
        </w:tc>
      </w:tr>
      <w:tr>
        <w:trPr>
          <w:trHeight w:val="285"/>
        </w:trPr>
        <w:tc>
          <w:tcPr>
            <w:tcW w:w="3520" w:type="dxa"/>
            <w:vAlign w:val="bottom"/>
          </w:tcPr>
          <w:p>
            <w:pPr>
              <w:spacing w:after="0"/>
              <w:rPr>
                <w:sz w:val="24"/>
                <w:szCs w:val="24"/>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The proposal to ratify the selection of our independent registered public accounting firm is a routine</w:t>
            </w:r>
          </w:p>
        </w:tc>
      </w:tr>
      <w:tr>
        <w:trPr>
          <w:trHeight w:val="189"/>
        </w:trPr>
        <w:tc>
          <w:tcPr>
            <w:tcW w:w="3520" w:type="dxa"/>
            <w:vAlign w:val="bottom"/>
          </w:tcPr>
          <w:p>
            <w:pPr>
              <w:spacing w:after="0"/>
              <w:rPr>
                <w:sz w:val="16"/>
                <w:szCs w:val="16"/>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matter and the other proposals are non-routine matters. If you do not give your broker voting</w:t>
            </w:r>
          </w:p>
        </w:tc>
      </w:tr>
      <w:tr>
        <w:trPr>
          <w:trHeight w:val="189"/>
        </w:trPr>
        <w:tc>
          <w:tcPr>
            <w:tcW w:w="3520" w:type="dxa"/>
            <w:vAlign w:val="bottom"/>
          </w:tcPr>
          <w:p>
            <w:pPr>
              <w:spacing w:after="0"/>
              <w:rPr>
                <w:sz w:val="16"/>
                <w:szCs w:val="16"/>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instructions, your broker (1) will be entitled to vote your shares on the proposal to ratify the selection</w:t>
            </w:r>
          </w:p>
        </w:tc>
      </w:tr>
      <w:tr>
        <w:trPr>
          <w:trHeight w:val="189"/>
        </w:trPr>
        <w:tc>
          <w:tcPr>
            <w:tcW w:w="3520" w:type="dxa"/>
            <w:vAlign w:val="bottom"/>
          </w:tcPr>
          <w:p>
            <w:pPr>
              <w:spacing w:after="0"/>
              <w:rPr>
                <w:sz w:val="16"/>
                <w:szCs w:val="16"/>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of our independent registered public accounting firm and (2) will not be entitled to vote your shares</w:t>
            </w:r>
          </w:p>
        </w:tc>
      </w:tr>
      <w:tr>
        <w:trPr>
          <w:trHeight w:val="189"/>
        </w:trPr>
        <w:tc>
          <w:tcPr>
            <w:tcW w:w="3520" w:type="dxa"/>
            <w:vAlign w:val="bottom"/>
          </w:tcPr>
          <w:p>
            <w:pPr>
              <w:spacing w:after="0"/>
              <w:rPr>
                <w:sz w:val="16"/>
                <w:szCs w:val="16"/>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on the other proposals. We urge you to provide instructions to your bank, broker or other nominee so</w:t>
            </w:r>
          </w:p>
        </w:tc>
      </w:tr>
      <w:tr>
        <w:trPr>
          <w:trHeight w:val="215"/>
        </w:trPr>
        <w:tc>
          <w:tcPr>
            <w:tcW w:w="352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that your votes may be counted on all of these important matters.</w:t>
            </w:r>
          </w:p>
        </w:tc>
      </w:tr>
      <w:tr>
        <w:trPr>
          <w:trHeight w:val="70"/>
        </w:trPr>
        <w:tc>
          <w:tcPr>
            <w:tcW w:w="3520" w:type="dxa"/>
            <w:vAlign w:val="bottom"/>
            <w:tcBorders>
              <w:bottom w:val="single" w:sz="8" w:color="0075C9"/>
            </w:tcBorders>
          </w:tcPr>
          <w:p>
            <w:pPr>
              <w:spacing w:after="0"/>
              <w:rPr>
                <w:sz w:val="6"/>
                <w:szCs w:val="6"/>
                <w:color w:val="auto"/>
              </w:rPr>
            </w:pPr>
          </w:p>
        </w:tc>
        <w:tc>
          <w:tcPr>
            <w:tcW w:w="7500" w:type="dxa"/>
            <w:vAlign w:val="bottom"/>
            <w:tcBorders>
              <w:bottom w:val="single" w:sz="8" w:color="0075C9"/>
            </w:tcBorders>
          </w:tcPr>
          <w:p>
            <w:pPr>
              <w:spacing w:after="0"/>
              <w:rPr>
                <w:sz w:val="6"/>
                <w:szCs w:val="6"/>
                <w:color w:val="auto"/>
              </w:rPr>
            </w:pPr>
          </w:p>
        </w:tc>
      </w:tr>
      <w:tr>
        <w:trPr>
          <w:trHeight w:val="416"/>
        </w:trPr>
        <w:tc>
          <w:tcPr>
            <w:tcW w:w="3520" w:type="dxa"/>
            <w:vAlign w:val="bottom"/>
          </w:tcPr>
          <w:p>
            <w:pPr>
              <w:spacing w:after="0"/>
              <w:rPr>
                <w:sz w:val="24"/>
                <w:szCs w:val="24"/>
                <w:color w:val="auto"/>
              </w:rPr>
            </w:pPr>
          </w:p>
        </w:tc>
        <w:tc>
          <w:tcPr>
            <w:tcW w:w="7500" w:type="dxa"/>
            <w:vAlign w:val="bottom"/>
          </w:tcPr>
          <w:p>
            <w:pPr>
              <w:ind w:left="5040"/>
              <w:spacing w:after="0"/>
              <w:rPr>
                <w:sz w:val="20"/>
                <w:szCs w:val="20"/>
                <w:color w:val="auto"/>
              </w:rPr>
            </w:pPr>
            <w:r>
              <w:rPr>
                <w:rFonts w:ascii="Arial" w:cs="Arial" w:eastAsia="Arial" w:hAnsi="Arial"/>
                <w:sz w:val="18"/>
                <w:szCs w:val="18"/>
                <w:color w:val="0075C9"/>
                <w:w w:val="99"/>
              </w:rPr>
              <w:t xml:space="preserve">   2026 Proxy Statement   </w:t>
            </w:r>
            <w:r>
              <w:rPr>
                <w:rFonts w:ascii="Arial" w:cs="Arial" w:eastAsia="Arial" w:hAnsi="Arial"/>
                <w:sz w:val="16"/>
                <w:szCs w:val="16"/>
                <w:color w:val="0075C9"/>
                <w:w w:val="99"/>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-173355</wp:posOffset>
            </wp:positionV>
            <wp:extent cx="419735"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1" w:lineRule="exact"/>
        <w:rPr>
          <w:sz w:val="20"/>
          <w:szCs w:val="20"/>
          <w:color w:val="auto"/>
        </w:rPr>
      </w:pPr>
    </w:p>
    <w:p>
      <w:pPr>
        <w:jc w:val="both"/>
        <w:ind w:left="120"/>
        <w:spacing w:after="0" w:line="294" w:lineRule="auto"/>
        <w:rPr>
          <w:sz w:val="20"/>
          <w:szCs w:val="20"/>
          <w:color w:val="auto"/>
        </w:rPr>
      </w:pPr>
      <w:r>
        <w:rPr>
          <w:rFonts w:ascii="Arial" w:cs="Arial" w:eastAsia="Arial" w:hAnsi="Arial"/>
          <w:sz w:val="16"/>
          <w:szCs w:val="16"/>
          <w:b w:val="1"/>
          <w:bCs w:val="1"/>
          <w:i w:val="1"/>
          <w:iCs w:val="1"/>
          <w:color w:val="0075C9"/>
        </w:rPr>
        <w:t>What vote is required to approve each proposal and how are votes counted?</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20" w:type="dxa"/>
            <w:vAlign w:val="bottom"/>
            <w:shd w:val="clear" w:color="auto" w:fill="0075C9"/>
          </w:tcPr>
          <w:p>
            <w:pPr>
              <w:spacing w:after="0"/>
              <w:rPr>
                <w:sz w:val="15"/>
                <w:szCs w:val="15"/>
                <w:color w:val="auto"/>
              </w:rPr>
            </w:pPr>
          </w:p>
        </w:tc>
        <w:tc>
          <w:tcPr>
            <w:tcW w:w="2860" w:type="dxa"/>
            <w:vAlign w:val="bottom"/>
            <w:shd w:val="clear" w:color="auto" w:fill="0075C9"/>
          </w:tcPr>
          <w:p>
            <w:pPr>
              <w:spacing w:after="0"/>
              <w:rPr>
                <w:sz w:val="15"/>
                <w:szCs w:val="15"/>
                <w:color w:val="auto"/>
              </w:rPr>
            </w:pPr>
          </w:p>
        </w:tc>
        <w:tc>
          <w:tcPr>
            <w:tcW w:w="2540" w:type="dxa"/>
            <w:vAlign w:val="bottom"/>
            <w:shd w:val="clear" w:color="auto" w:fill="0075C9"/>
          </w:tcPr>
          <w:p>
            <w:pPr>
              <w:spacing w:after="0"/>
              <w:rPr>
                <w:sz w:val="15"/>
                <w:szCs w:val="15"/>
                <w:color w:val="auto"/>
              </w:rPr>
            </w:pPr>
          </w:p>
        </w:tc>
        <w:tc>
          <w:tcPr>
            <w:tcW w:w="1860" w:type="dxa"/>
            <w:vAlign w:val="bottom"/>
            <w:shd w:val="clear" w:color="auto" w:fill="0075C9"/>
          </w:tcPr>
          <w:p>
            <w:pPr>
              <w:ind w:left="200"/>
              <w:spacing w:after="0"/>
              <w:rPr>
                <w:sz w:val="20"/>
                <w:szCs w:val="20"/>
                <w:color w:val="auto"/>
              </w:rPr>
            </w:pPr>
            <w:r>
              <w:rPr>
                <w:rFonts w:ascii="Arial" w:cs="Arial" w:eastAsia="Arial" w:hAnsi="Arial"/>
                <w:sz w:val="14"/>
                <w:szCs w:val="14"/>
                <w:color w:val="FFFFFF"/>
              </w:rPr>
              <w:t>Broker Discretionary</w:t>
            </w:r>
          </w:p>
        </w:tc>
      </w:tr>
      <w:tr>
        <w:trPr>
          <w:trHeight w:val="171"/>
        </w:trPr>
        <w:tc>
          <w:tcPr>
            <w:tcW w:w="2980" w:type="dxa"/>
            <w:vAlign w:val="bottom"/>
            <w:gridSpan w:val="2"/>
            <w:shd w:val="clear" w:color="auto" w:fill="0075C9"/>
          </w:tcPr>
          <w:p>
            <w:pPr>
              <w:ind w:left="120"/>
              <w:spacing w:after="0"/>
              <w:rPr>
                <w:sz w:val="20"/>
                <w:szCs w:val="20"/>
                <w:color w:val="auto"/>
              </w:rPr>
            </w:pPr>
            <w:r>
              <w:rPr>
                <w:rFonts w:ascii="Arial" w:cs="Arial" w:eastAsia="Arial" w:hAnsi="Arial"/>
                <w:sz w:val="14"/>
                <w:szCs w:val="14"/>
                <w:color w:val="FFFFFF"/>
              </w:rPr>
              <w:t>Proposal</w:t>
            </w:r>
          </w:p>
        </w:tc>
        <w:tc>
          <w:tcPr>
            <w:tcW w:w="2540" w:type="dxa"/>
            <w:vAlign w:val="bottom"/>
            <w:shd w:val="clear" w:color="auto" w:fill="0075C9"/>
          </w:tcPr>
          <w:p>
            <w:pPr>
              <w:ind w:left="120"/>
              <w:spacing w:after="0"/>
              <w:rPr>
                <w:sz w:val="20"/>
                <w:szCs w:val="20"/>
                <w:color w:val="auto"/>
              </w:rPr>
            </w:pPr>
            <w:r>
              <w:rPr>
                <w:rFonts w:ascii="Arial" w:cs="Arial" w:eastAsia="Arial" w:hAnsi="Arial"/>
                <w:sz w:val="14"/>
                <w:szCs w:val="14"/>
                <w:color w:val="FFFFFF"/>
              </w:rPr>
              <w:t>Vote Required</w:t>
            </w:r>
          </w:p>
        </w:tc>
        <w:tc>
          <w:tcPr>
            <w:tcW w:w="1860" w:type="dxa"/>
            <w:vAlign w:val="bottom"/>
            <w:shd w:val="clear" w:color="auto" w:fill="0075C9"/>
          </w:tcPr>
          <w:p>
            <w:pPr>
              <w:ind w:left="200"/>
              <w:spacing w:after="0"/>
              <w:rPr>
                <w:sz w:val="20"/>
                <w:szCs w:val="20"/>
                <w:color w:val="auto"/>
              </w:rPr>
            </w:pPr>
            <w:r>
              <w:rPr>
                <w:rFonts w:ascii="Arial" w:cs="Arial" w:eastAsia="Arial" w:hAnsi="Arial"/>
                <w:sz w:val="14"/>
                <w:szCs w:val="14"/>
                <w:color w:val="FFFFFF"/>
              </w:rPr>
              <w:t>Voting Allowed</w:t>
            </w:r>
          </w:p>
        </w:tc>
      </w:tr>
      <w:tr>
        <w:trPr>
          <w:trHeight w:val="68"/>
        </w:trPr>
        <w:tc>
          <w:tcPr>
            <w:tcW w:w="2980" w:type="dxa"/>
            <w:vAlign w:val="bottom"/>
            <w:gridSpan w:val="2"/>
            <w:shd w:val="clear" w:color="auto" w:fill="E5F1F9"/>
          </w:tcPr>
          <w:p>
            <w:pPr>
              <w:ind w:left="120"/>
              <w:spacing w:after="0" w:line="68" w:lineRule="exact"/>
              <w:rPr>
                <w:sz w:val="20"/>
                <w:szCs w:val="20"/>
                <w:color w:val="auto"/>
              </w:rPr>
            </w:pPr>
            <w:r>
              <w:rPr>
                <w:rFonts w:ascii="Arial" w:cs="Arial" w:eastAsia="Arial" w:hAnsi="Arial"/>
                <w:sz w:val="7"/>
                <w:szCs w:val="7"/>
                <w:color w:val="auto"/>
              </w:rPr>
              <w:t> </w:t>
            </w:r>
          </w:p>
        </w:tc>
        <w:tc>
          <w:tcPr>
            <w:tcW w:w="2540" w:type="dxa"/>
            <w:vAlign w:val="bottom"/>
            <w:shd w:val="clear" w:color="auto" w:fill="E5F1F9"/>
          </w:tcPr>
          <w:p>
            <w:pPr>
              <w:ind w:left="120"/>
              <w:spacing w:after="0" w:line="68" w:lineRule="exact"/>
              <w:rPr>
                <w:sz w:val="20"/>
                <w:szCs w:val="20"/>
                <w:color w:val="auto"/>
              </w:rPr>
            </w:pPr>
            <w:r>
              <w:rPr>
                <w:rFonts w:ascii="Arial" w:cs="Arial" w:eastAsia="Arial" w:hAnsi="Arial"/>
                <w:sz w:val="7"/>
                <w:szCs w:val="7"/>
                <w:color w:val="auto"/>
              </w:rPr>
              <w:t> </w:t>
            </w:r>
          </w:p>
        </w:tc>
        <w:tc>
          <w:tcPr>
            <w:tcW w:w="1860" w:type="dxa"/>
            <w:vAlign w:val="bottom"/>
            <w:shd w:val="clear" w:color="auto" w:fill="E5F1F9"/>
          </w:tcPr>
          <w:p>
            <w:pPr>
              <w:ind w:left="200"/>
              <w:spacing w:after="0" w:line="68" w:lineRule="exact"/>
              <w:rPr>
                <w:sz w:val="20"/>
                <w:szCs w:val="20"/>
                <w:color w:val="auto"/>
              </w:rPr>
            </w:pPr>
            <w:r>
              <w:rPr>
                <w:rFonts w:ascii="Arial" w:cs="Arial" w:eastAsia="Arial" w:hAnsi="Arial"/>
                <w:sz w:val="7"/>
                <w:szCs w:val="7"/>
                <w:color w:val="auto"/>
              </w:rPr>
              <w:t> </w:t>
            </w:r>
          </w:p>
        </w:tc>
      </w:tr>
      <w:tr>
        <w:trPr>
          <w:trHeight w:val="216"/>
        </w:trPr>
        <w:tc>
          <w:tcPr>
            <w:tcW w:w="298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Election of Directors (Proposal 1)</w:t>
            </w:r>
          </w:p>
        </w:tc>
        <w:tc>
          <w:tcPr>
            <w:tcW w:w="2540" w:type="dxa"/>
            <w:vAlign w:val="bottom"/>
            <w:shd w:val="clear" w:color="auto" w:fill="E5F1F9"/>
          </w:tcPr>
          <w:p>
            <w:pPr>
              <w:ind w:left="120"/>
              <w:spacing w:after="0"/>
              <w:rPr>
                <w:sz w:val="20"/>
                <w:szCs w:val="20"/>
                <w:color w:val="auto"/>
              </w:rPr>
            </w:pPr>
            <w:r>
              <w:rPr>
                <w:rFonts w:ascii="Arial" w:cs="Arial" w:eastAsia="Arial" w:hAnsi="Arial"/>
                <w:sz w:val="16"/>
                <w:szCs w:val="16"/>
                <w:color w:val="auto"/>
              </w:rPr>
              <w:t>Majority of Votes Cast*</w:t>
            </w:r>
          </w:p>
        </w:tc>
        <w:tc>
          <w:tcPr>
            <w:tcW w:w="1860" w:type="dxa"/>
            <w:vAlign w:val="bottom"/>
            <w:shd w:val="clear" w:color="auto" w:fill="E5F1F9"/>
          </w:tcPr>
          <w:p>
            <w:pPr>
              <w:ind w:left="200"/>
              <w:spacing w:after="0"/>
              <w:rPr>
                <w:sz w:val="20"/>
                <w:szCs w:val="20"/>
                <w:color w:val="auto"/>
              </w:rPr>
            </w:pPr>
            <w:r>
              <w:rPr>
                <w:rFonts w:ascii="Arial" w:cs="Arial" w:eastAsia="Arial" w:hAnsi="Arial"/>
                <w:sz w:val="16"/>
                <w:szCs w:val="16"/>
                <w:color w:val="auto"/>
              </w:rPr>
              <w:t>No</w:t>
            </w:r>
          </w:p>
        </w:tc>
      </w:tr>
      <w:tr>
        <w:trPr>
          <w:trHeight w:val="68"/>
        </w:trPr>
        <w:tc>
          <w:tcPr>
            <w:tcW w:w="120" w:type="dxa"/>
            <w:vAlign w:val="bottom"/>
          </w:tcPr>
          <w:p>
            <w:pPr>
              <w:spacing w:after="0"/>
              <w:rPr>
                <w:sz w:val="5"/>
                <w:szCs w:val="5"/>
                <w:color w:val="auto"/>
              </w:rPr>
            </w:pPr>
          </w:p>
        </w:tc>
        <w:tc>
          <w:tcPr>
            <w:tcW w:w="2860" w:type="dxa"/>
            <w:vAlign w:val="bottom"/>
            <w:shd w:val="clear" w:color="auto" w:fill="E5F1F9"/>
          </w:tcPr>
          <w:p>
            <w:pPr>
              <w:spacing w:after="0" w:line="68" w:lineRule="exact"/>
              <w:rPr>
                <w:sz w:val="20"/>
                <w:szCs w:val="20"/>
                <w:color w:val="auto"/>
              </w:rPr>
            </w:pPr>
            <w:r>
              <w:rPr>
                <w:rFonts w:ascii="Arial" w:cs="Arial" w:eastAsia="Arial" w:hAnsi="Arial"/>
                <w:sz w:val="7"/>
                <w:szCs w:val="7"/>
                <w:color w:val="auto"/>
              </w:rPr>
              <w:t> </w:t>
            </w:r>
          </w:p>
        </w:tc>
        <w:tc>
          <w:tcPr>
            <w:tcW w:w="2540" w:type="dxa"/>
            <w:vAlign w:val="bottom"/>
            <w:shd w:val="clear" w:color="auto" w:fill="E5F1F9"/>
          </w:tcPr>
          <w:p>
            <w:pPr>
              <w:ind w:left="120"/>
              <w:spacing w:after="0" w:line="68" w:lineRule="exact"/>
              <w:rPr>
                <w:sz w:val="20"/>
                <w:szCs w:val="20"/>
                <w:color w:val="auto"/>
              </w:rPr>
            </w:pPr>
            <w:r>
              <w:rPr>
                <w:rFonts w:ascii="Arial" w:cs="Arial" w:eastAsia="Arial" w:hAnsi="Arial"/>
                <w:sz w:val="7"/>
                <w:szCs w:val="7"/>
                <w:color w:val="auto"/>
              </w:rPr>
              <w:t> </w:t>
            </w:r>
          </w:p>
        </w:tc>
        <w:tc>
          <w:tcPr>
            <w:tcW w:w="1860" w:type="dxa"/>
            <w:vAlign w:val="bottom"/>
            <w:shd w:val="clear" w:color="auto" w:fill="E5F1F9"/>
          </w:tcPr>
          <w:p>
            <w:pPr>
              <w:ind w:left="200"/>
              <w:spacing w:after="0" w:line="68" w:lineRule="exact"/>
              <w:rPr>
                <w:sz w:val="20"/>
                <w:szCs w:val="20"/>
                <w:color w:val="auto"/>
              </w:rPr>
            </w:pPr>
            <w:r>
              <w:rPr>
                <w:rFonts w:ascii="Arial" w:cs="Arial" w:eastAsia="Arial" w:hAnsi="Arial"/>
                <w:sz w:val="7"/>
                <w:szCs w:val="7"/>
                <w:color w:val="auto"/>
              </w:rPr>
              <w:t> </w:t>
            </w:r>
          </w:p>
        </w:tc>
      </w:tr>
      <w:tr>
        <w:trPr>
          <w:trHeight w:val="188"/>
        </w:trPr>
        <w:tc>
          <w:tcPr>
            <w:tcW w:w="120" w:type="dxa"/>
            <w:vAlign w:val="bottom"/>
          </w:tcPr>
          <w:p>
            <w:pPr>
              <w:spacing w:after="0"/>
              <w:rPr>
                <w:sz w:val="16"/>
                <w:szCs w:val="16"/>
                <w:color w:val="auto"/>
              </w:rPr>
            </w:pPr>
          </w:p>
        </w:tc>
        <w:tc>
          <w:tcPr>
            <w:tcW w:w="2860" w:type="dxa"/>
            <w:vAlign w:val="bottom"/>
            <w:shd w:val="clear" w:color="auto" w:fill="E5F1F9"/>
          </w:tcPr>
          <w:p>
            <w:pPr>
              <w:spacing w:after="0"/>
              <w:rPr>
                <w:sz w:val="20"/>
                <w:szCs w:val="20"/>
                <w:color w:val="auto"/>
              </w:rPr>
            </w:pPr>
            <w:r>
              <w:rPr>
                <w:rFonts w:ascii="Arial" w:cs="Arial" w:eastAsia="Arial" w:hAnsi="Arial"/>
                <w:sz w:val="16"/>
                <w:szCs w:val="16"/>
                <w:color w:val="auto"/>
              </w:rPr>
              <w:t>Ratification of PwC (Proposal 2)</w:t>
            </w:r>
          </w:p>
        </w:tc>
        <w:tc>
          <w:tcPr>
            <w:tcW w:w="2540" w:type="dxa"/>
            <w:vAlign w:val="bottom"/>
            <w:shd w:val="clear" w:color="auto" w:fill="E5F1F9"/>
          </w:tcPr>
          <w:p>
            <w:pPr>
              <w:ind w:left="120"/>
              <w:spacing w:after="0"/>
              <w:rPr>
                <w:sz w:val="20"/>
                <w:szCs w:val="20"/>
                <w:color w:val="auto"/>
              </w:rPr>
            </w:pPr>
            <w:r>
              <w:rPr>
                <w:rFonts w:ascii="Arial" w:cs="Arial" w:eastAsia="Arial" w:hAnsi="Arial"/>
                <w:sz w:val="16"/>
                <w:szCs w:val="16"/>
                <w:color w:val="auto"/>
              </w:rPr>
              <w:t>Majority of Stock Present and</w:t>
            </w:r>
          </w:p>
        </w:tc>
        <w:tc>
          <w:tcPr>
            <w:tcW w:w="1860" w:type="dxa"/>
            <w:vAlign w:val="bottom"/>
            <w:shd w:val="clear" w:color="auto" w:fill="E5F1F9"/>
          </w:tcPr>
          <w:p>
            <w:pPr>
              <w:ind w:left="200"/>
              <w:spacing w:after="0"/>
              <w:rPr>
                <w:sz w:val="20"/>
                <w:szCs w:val="20"/>
                <w:color w:val="auto"/>
              </w:rPr>
            </w:pPr>
            <w:r>
              <w:rPr>
                <w:rFonts w:ascii="Arial" w:cs="Arial" w:eastAsia="Arial" w:hAnsi="Arial"/>
                <w:sz w:val="16"/>
                <w:szCs w:val="16"/>
                <w:color w:val="auto"/>
              </w:rPr>
              <w:t>Yes</w:t>
            </w:r>
          </w:p>
        </w:tc>
      </w:tr>
      <w:tr>
        <w:trPr>
          <w:trHeight w:val="215"/>
        </w:trPr>
        <w:tc>
          <w:tcPr>
            <w:tcW w:w="120" w:type="dxa"/>
            <w:vAlign w:val="bottom"/>
          </w:tcPr>
          <w:p>
            <w:pPr>
              <w:spacing w:after="0"/>
              <w:rPr>
                <w:sz w:val="18"/>
                <w:szCs w:val="18"/>
                <w:color w:val="auto"/>
              </w:rPr>
            </w:pPr>
          </w:p>
        </w:tc>
        <w:tc>
          <w:tcPr>
            <w:tcW w:w="2860" w:type="dxa"/>
            <w:vAlign w:val="bottom"/>
            <w:shd w:val="clear" w:color="auto" w:fill="E5F1F9"/>
          </w:tcPr>
          <w:p>
            <w:pPr>
              <w:spacing w:after="0"/>
              <w:rPr>
                <w:sz w:val="18"/>
                <w:szCs w:val="18"/>
                <w:color w:val="auto"/>
              </w:rPr>
            </w:pPr>
          </w:p>
        </w:tc>
        <w:tc>
          <w:tcPr>
            <w:tcW w:w="2540" w:type="dxa"/>
            <w:vAlign w:val="bottom"/>
            <w:shd w:val="clear" w:color="auto" w:fill="E5F1F9"/>
          </w:tcPr>
          <w:p>
            <w:pPr>
              <w:ind w:left="120"/>
              <w:spacing w:after="0"/>
              <w:rPr>
                <w:sz w:val="20"/>
                <w:szCs w:val="20"/>
                <w:color w:val="auto"/>
              </w:rPr>
            </w:pPr>
            <w:r>
              <w:rPr>
                <w:rFonts w:ascii="Arial" w:cs="Arial" w:eastAsia="Arial" w:hAnsi="Arial"/>
                <w:sz w:val="16"/>
                <w:szCs w:val="16"/>
                <w:color w:val="auto"/>
              </w:rPr>
              <w:t>Entitled to Vote on the Matter**</w:t>
            </w:r>
          </w:p>
        </w:tc>
        <w:tc>
          <w:tcPr>
            <w:tcW w:w="1860" w:type="dxa"/>
            <w:vAlign w:val="bottom"/>
            <w:shd w:val="clear" w:color="auto" w:fill="E5F1F9"/>
          </w:tcPr>
          <w:p>
            <w:pPr>
              <w:spacing w:after="0"/>
              <w:rPr>
                <w:sz w:val="18"/>
                <w:szCs w:val="18"/>
                <w:color w:val="auto"/>
              </w:rPr>
            </w:pPr>
          </w:p>
        </w:tc>
      </w:tr>
      <w:tr>
        <w:trPr>
          <w:trHeight w:val="69"/>
        </w:trPr>
        <w:tc>
          <w:tcPr>
            <w:tcW w:w="120" w:type="dxa"/>
            <w:vAlign w:val="bottom"/>
          </w:tcPr>
          <w:p>
            <w:pPr>
              <w:spacing w:after="0"/>
              <w:rPr>
                <w:sz w:val="6"/>
                <w:szCs w:val="6"/>
                <w:color w:val="auto"/>
              </w:rPr>
            </w:pPr>
          </w:p>
        </w:tc>
        <w:tc>
          <w:tcPr>
            <w:tcW w:w="2860" w:type="dxa"/>
            <w:vAlign w:val="bottom"/>
            <w:shd w:val="clear" w:color="auto" w:fill="E5F1F9"/>
          </w:tcPr>
          <w:p>
            <w:pPr>
              <w:spacing w:after="0" w:line="70" w:lineRule="exact"/>
              <w:rPr>
                <w:sz w:val="20"/>
                <w:szCs w:val="20"/>
                <w:color w:val="auto"/>
              </w:rPr>
            </w:pPr>
            <w:r>
              <w:rPr>
                <w:rFonts w:ascii="Arial" w:cs="Arial" w:eastAsia="Arial" w:hAnsi="Arial"/>
                <w:sz w:val="7"/>
                <w:szCs w:val="7"/>
                <w:color w:val="auto"/>
              </w:rPr>
              <w:t> </w:t>
            </w:r>
          </w:p>
        </w:tc>
        <w:tc>
          <w:tcPr>
            <w:tcW w:w="2540" w:type="dxa"/>
            <w:vAlign w:val="bottom"/>
            <w:shd w:val="clear" w:color="auto" w:fill="E5F1F9"/>
          </w:tcPr>
          <w:p>
            <w:pPr>
              <w:ind w:left="120"/>
              <w:spacing w:after="0" w:line="70" w:lineRule="exact"/>
              <w:rPr>
                <w:sz w:val="20"/>
                <w:szCs w:val="20"/>
                <w:color w:val="auto"/>
              </w:rPr>
            </w:pPr>
            <w:r>
              <w:rPr>
                <w:rFonts w:ascii="Arial" w:cs="Arial" w:eastAsia="Arial" w:hAnsi="Arial"/>
                <w:sz w:val="7"/>
                <w:szCs w:val="7"/>
                <w:color w:val="auto"/>
              </w:rPr>
              <w:t> </w:t>
            </w:r>
          </w:p>
        </w:tc>
        <w:tc>
          <w:tcPr>
            <w:tcW w:w="1860" w:type="dxa"/>
            <w:vAlign w:val="bottom"/>
            <w:shd w:val="clear" w:color="auto" w:fill="E5F1F9"/>
          </w:tcPr>
          <w:p>
            <w:pPr>
              <w:ind w:left="200"/>
              <w:spacing w:after="0" w:line="70" w:lineRule="exact"/>
              <w:rPr>
                <w:sz w:val="20"/>
                <w:szCs w:val="20"/>
                <w:color w:val="auto"/>
              </w:rPr>
            </w:pPr>
            <w:r>
              <w:rPr>
                <w:rFonts w:ascii="Arial" w:cs="Arial" w:eastAsia="Arial" w:hAnsi="Arial"/>
                <w:sz w:val="7"/>
                <w:szCs w:val="7"/>
                <w:color w:val="auto"/>
              </w:rPr>
              <w:t> </w:t>
            </w:r>
          </w:p>
        </w:tc>
      </w:tr>
      <w:tr>
        <w:trPr>
          <w:trHeight w:val="188"/>
        </w:trPr>
        <w:tc>
          <w:tcPr>
            <w:tcW w:w="120" w:type="dxa"/>
            <w:vAlign w:val="bottom"/>
          </w:tcPr>
          <w:p>
            <w:pPr>
              <w:spacing w:after="0"/>
              <w:rPr>
                <w:sz w:val="16"/>
                <w:szCs w:val="16"/>
                <w:color w:val="auto"/>
              </w:rPr>
            </w:pPr>
          </w:p>
        </w:tc>
        <w:tc>
          <w:tcPr>
            <w:tcW w:w="2860" w:type="dxa"/>
            <w:vAlign w:val="bottom"/>
            <w:shd w:val="clear" w:color="auto" w:fill="E5F1F9"/>
          </w:tcPr>
          <w:p>
            <w:pPr>
              <w:spacing w:after="0"/>
              <w:rPr>
                <w:sz w:val="20"/>
                <w:szCs w:val="20"/>
                <w:color w:val="auto"/>
              </w:rPr>
            </w:pPr>
            <w:r>
              <w:rPr>
                <w:rFonts w:ascii="Arial" w:cs="Arial" w:eastAsia="Arial" w:hAnsi="Arial"/>
                <w:sz w:val="16"/>
                <w:szCs w:val="16"/>
                <w:color w:val="auto"/>
              </w:rPr>
              <w:t>Advisory Vote on Executive</w:t>
            </w:r>
          </w:p>
        </w:tc>
        <w:tc>
          <w:tcPr>
            <w:tcW w:w="2540" w:type="dxa"/>
            <w:vAlign w:val="bottom"/>
            <w:shd w:val="clear" w:color="auto" w:fill="E5F1F9"/>
          </w:tcPr>
          <w:p>
            <w:pPr>
              <w:ind w:left="120"/>
              <w:spacing w:after="0"/>
              <w:rPr>
                <w:sz w:val="20"/>
                <w:szCs w:val="20"/>
                <w:color w:val="auto"/>
              </w:rPr>
            </w:pPr>
            <w:r>
              <w:rPr>
                <w:rFonts w:ascii="Arial" w:cs="Arial" w:eastAsia="Arial" w:hAnsi="Arial"/>
                <w:sz w:val="16"/>
                <w:szCs w:val="16"/>
                <w:color w:val="auto"/>
              </w:rPr>
              <w:t>Not Applicable***</w:t>
            </w:r>
          </w:p>
        </w:tc>
        <w:tc>
          <w:tcPr>
            <w:tcW w:w="1860" w:type="dxa"/>
            <w:vAlign w:val="bottom"/>
            <w:shd w:val="clear" w:color="auto" w:fill="E5F1F9"/>
          </w:tcPr>
          <w:p>
            <w:pPr>
              <w:ind w:left="200"/>
              <w:spacing w:after="0"/>
              <w:rPr>
                <w:sz w:val="20"/>
                <w:szCs w:val="20"/>
                <w:color w:val="auto"/>
              </w:rPr>
            </w:pPr>
            <w:r>
              <w:rPr>
                <w:rFonts w:ascii="Arial" w:cs="Arial" w:eastAsia="Arial" w:hAnsi="Arial"/>
                <w:sz w:val="16"/>
                <w:szCs w:val="16"/>
                <w:color w:val="auto"/>
              </w:rPr>
              <w:t>No</w:t>
            </w:r>
          </w:p>
        </w:tc>
      </w:tr>
      <w:tr>
        <w:trPr>
          <w:trHeight w:val="217"/>
        </w:trPr>
        <w:tc>
          <w:tcPr>
            <w:tcW w:w="120" w:type="dxa"/>
            <w:vAlign w:val="bottom"/>
          </w:tcPr>
          <w:p>
            <w:pPr>
              <w:spacing w:after="0"/>
              <w:rPr>
                <w:sz w:val="18"/>
                <w:szCs w:val="18"/>
                <w:color w:val="auto"/>
              </w:rPr>
            </w:pPr>
          </w:p>
        </w:tc>
        <w:tc>
          <w:tcPr>
            <w:tcW w:w="2860" w:type="dxa"/>
            <w:vAlign w:val="bottom"/>
            <w:shd w:val="clear" w:color="auto" w:fill="E5F1F9"/>
          </w:tcPr>
          <w:p>
            <w:pPr>
              <w:spacing w:after="0"/>
              <w:rPr>
                <w:sz w:val="20"/>
                <w:szCs w:val="20"/>
                <w:color w:val="auto"/>
              </w:rPr>
            </w:pPr>
            <w:r>
              <w:rPr>
                <w:rFonts w:ascii="Arial" w:cs="Arial" w:eastAsia="Arial" w:hAnsi="Arial"/>
                <w:sz w:val="16"/>
                <w:szCs w:val="16"/>
                <w:color w:val="auto"/>
              </w:rPr>
              <w:t>Compensation (Proposal 3)</w:t>
            </w:r>
          </w:p>
        </w:tc>
        <w:tc>
          <w:tcPr>
            <w:tcW w:w="2540" w:type="dxa"/>
            <w:vAlign w:val="bottom"/>
            <w:shd w:val="clear" w:color="auto" w:fill="E5F1F9"/>
          </w:tcPr>
          <w:p>
            <w:pPr>
              <w:spacing w:after="0"/>
              <w:rPr>
                <w:sz w:val="18"/>
                <w:szCs w:val="18"/>
                <w:color w:val="auto"/>
              </w:rPr>
            </w:pPr>
          </w:p>
        </w:tc>
        <w:tc>
          <w:tcPr>
            <w:tcW w:w="1860" w:type="dxa"/>
            <w:vAlign w:val="bottom"/>
            <w:shd w:val="clear" w:color="auto" w:fill="E5F1F9"/>
          </w:tcPr>
          <w:p>
            <w:pPr>
              <w:spacing w:after="0"/>
              <w:rPr>
                <w:sz w:val="18"/>
                <w:szCs w:val="18"/>
                <w:color w:val="auto"/>
              </w:rPr>
            </w:pPr>
          </w:p>
        </w:tc>
      </w:tr>
      <w:tr>
        <w:trPr>
          <w:trHeight w:val="83"/>
        </w:trPr>
        <w:tc>
          <w:tcPr>
            <w:tcW w:w="120" w:type="dxa"/>
            <w:vAlign w:val="bottom"/>
          </w:tcPr>
          <w:p>
            <w:pPr>
              <w:spacing w:after="0"/>
              <w:rPr>
                <w:sz w:val="7"/>
                <w:szCs w:val="7"/>
                <w:color w:val="auto"/>
              </w:rPr>
            </w:pPr>
          </w:p>
        </w:tc>
        <w:tc>
          <w:tcPr>
            <w:tcW w:w="2860" w:type="dxa"/>
            <w:vAlign w:val="bottom"/>
          </w:tcPr>
          <w:p>
            <w:pPr>
              <w:spacing w:after="0"/>
              <w:rPr>
                <w:sz w:val="20"/>
                <w:szCs w:val="20"/>
                <w:color w:val="auto"/>
              </w:rPr>
            </w:pPr>
            <w:r>
              <w:rPr>
                <w:rFonts w:ascii="Arial" w:cs="Arial" w:eastAsia="Arial" w:hAnsi="Arial"/>
                <w:sz w:val="7"/>
                <w:szCs w:val="7"/>
                <w:color w:val="auto"/>
              </w:rPr>
              <w:t> </w:t>
            </w:r>
          </w:p>
        </w:tc>
        <w:tc>
          <w:tcPr>
            <w:tcW w:w="2540" w:type="dxa"/>
            <w:vAlign w:val="bottom"/>
          </w:tcPr>
          <w:p>
            <w:pPr>
              <w:spacing w:after="0"/>
              <w:rPr>
                <w:sz w:val="7"/>
                <w:szCs w:val="7"/>
                <w:color w:val="auto"/>
              </w:rPr>
            </w:pPr>
          </w:p>
        </w:tc>
        <w:tc>
          <w:tcPr>
            <w:tcW w:w="18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-831850</wp:posOffset>
            </wp:positionV>
            <wp:extent cx="6995160" cy="58204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5820410"/>
                    </a:xfrm>
                    <a:prstGeom prst="rect">
                      <a:avLst/>
                    </a:prstGeom>
                    <a:noFill/>
                  </pic:spPr>
                </pic:pic>
              </a:graphicData>
            </a:graphic>
          </wp:anchor>
        </w:drawing>
      </w:r>
    </w:p>
    <w:p>
      <w:pPr>
        <w:ind w:left="440" w:right="20" w:hanging="323"/>
        <w:spacing w:after="0" w:line="248" w:lineRule="auto"/>
        <w:rPr>
          <w:sz w:val="20"/>
          <w:szCs w:val="20"/>
          <w:color w:val="auto"/>
        </w:rPr>
      </w:pPr>
      <w:r>
        <w:rPr>
          <w:rFonts w:ascii="Arial" w:cs="Arial" w:eastAsia="Arial" w:hAnsi="Arial"/>
          <w:sz w:val="16"/>
          <w:szCs w:val="16"/>
          <w:color w:val="auto"/>
        </w:rPr>
        <w:t>*     The Board shall not nominate for election as director any candidate who has not agreed to tender, promptly following the annual meeting at which he or she is elected as director, an irrevocable resignation that will be effective upon (a) the failure to receive the required number of votes for reelection at the next annual meeting of stockholders at which he or she faces reelection, and (b) acceptance of such resignation by the Board. Any nominee who does not receive a majority of votes cast “for” his or her election shall be subject to the terms of the irrevocable resignation discussed above. The Board (excluding the director in question) shall, within ninety (90) days after certification of the election results, decide whether to accept the director’s resignation, taking into account such factors as it deems relevant. The Board shall promptly disclose its decision and, if applicable, the reasons for rejecting the resignation in a filing with the SEC. Abstentions and broker non-votes, if any, are not considered votes cast under our bylaws and will have no effect on the results of this vote.</w:t>
      </w:r>
    </w:p>
    <w:p>
      <w:pPr>
        <w:spacing w:after="0" w:line="92" w:lineRule="exact"/>
        <w:rPr>
          <w:sz w:val="20"/>
          <w:szCs w:val="20"/>
          <w:color w:val="auto"/>
        </w:rPr>
      </w:pPr>
    </w:p>
    <w:p>
      <w:pPr>
        <w:ind w:left="440" w:right="60" w:hanging="323"/>
        <w:spacing w:after="0" w:line="254" w:lineRule="auto"/>
        <w:rPr>
          <w:sz w:val="20"/>
          <w:szCs w:val="20"/>
          <w:color w:val="auto"/>
        </w:rPr>
      </w:pPr>
      <w:r>
        <w:rPr>
          <w:rFonts w:ascii="Arial" w:cs="Arial" w:eastAsia="Arial" w:hAnsi="Arial"/>
          <w:sz w:val="16"/>
          <w:szCs w:val="16"/>
          <w:color w:val="auto"/>
        </w:rPr>
        <w:t>**   The affirmative vote of a majority of votes present in person or represented by proxy and having voting power at the Annual Meeting is required to ratify the selection of PwC as our independent registered public accounting firm. Abstentions will have the effect of votes against the proposal. Brokers generally have discretionary authority to vote on the ratification of the selection of our independent registered public accounting firm, thus we do not expect any broker non-votes on this proposal.</w:t>
      </w:r>
    </w:p>
    <w:p>
      <w:pPr>
        <w:spacing w:after="0" w:line="87" w:lineRule="exact"/>
        <w:rPr>
          <w:sz w:val="20"/>
          <w:szCs w:val="20"/>
          <w:color w:val="auto"/>
        </w:rPr>
      </w:pPr>
    </w:p>
    <w:p>
      <w:pPr>
        <w:ind w:left="440" w:right="120" w:hanging="323"/>
        <w:spacing w:after="0" w:line="252" w:lineRule="auto"/>
        <w:rPr>
          <w:sz w:val="20"/>
          <w:szCs w:val="20"/>
          <w:color w:val="auto"/>
        </w:rPr>
      </w:pPr>
      <w:r>
        <w:rPr>
          <w:rFonts w:ascii="Arial" w:cs="Arial" w:eastAsia="Arial" w:hAnsi="Arial"/>
          <w:sz w:val="16"/>
          <w:szCs w:val="16"/>
          <w:color w:val="auto"/>
        </w:rPr>
        <w:t>***    Because the Advisory Vote on Executive Compensation asks for a non-binding, advisory vote, there is no “required vote” that would constitute approval. Abstentions will have the effect of a vote against the proposal, and broker non-votes, if any, will not have any effect on the results of those deliberations. We value the opinions expressed by our stockholders in this advisory vote, and the CMDC, which is responsible for overseeing and administering our executive compensation programs, will consider the outcome of this vote when designing our compensation programs and making future compensation decisions for our named executive officers.</w:t>
      </w:r>
    </w:p>
    <w:p>
      <w:pPr>
        <w:spacing w:after="0" w:line="72" w:lineRule="exact"/>
        <w:rPr>
          <w:sz w:val="20"/>
          <w:szCs w:val="20"/>
          <w:color w:val="auto"/>
        </w:rPr>
      </w:pPr>
    </w:p>
    <w:p>
      <w:pPr>
        <w:sectPr>
          <w:pgSz w:w="11900" w:h="16838" w:orient="portrait"/>
          <w:cols w:equalWidth="0" w:num="2">
            <w:col w:w="3060" w:space="700"/>
            <w:col w:w="738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line="276" w:lineRule="auto"/>
        <w:rPr>
          <w:sz w:val="20"/>
          <w:szCs w:val="20"/>
          <w:color w:val="auto"/>
        </w:rPr>
      </w:pPr>
      <w:r>
        <w:rPr>
          <w:rFonts w:ascii="Arial" w:cs="Arial" w:eastAsia="Arial" w:hAnsi="Arial"/>
          <w:sz w:val="16"/>
          <w:szCs w:val="16"/>
          <w:b w:val="1"/>
          <w:bCs w:val="1"/>
          <w:i w:val="1"/>
          <w:iCs w:val="1"/>
          <w:color w:val="0075C9"/>
        </w:rPr>
        <w:t>Are there other matters to be voted on at the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do not know of any other matters that may come before the Annual Meeting. If any other matters are properly presented at the Annual Meeting, your proxy authorizes the individuals named as proxies to vote, or otherwise act, in accordance with their best judgment.</w:t>
      </w:r>
    </w:p>
    <w:p>
      <w:pPr>
        <w:spacing w:after="0" w:line="67" w:lineRule="exact"/>
        <w:rPr>
          <w:sz w:val="20"/>
          <w:szCs w:val="20"/>
          <w:color w:val="auto"/>
        </w:rPr>
      </w:pPr>
    </w:p>
    <w:p>
      <w:pPr>
        <w:sectPr>
          <w:pgSz w:w="11900" w:h="16838" w:orient="portrait"/>
          <w:cols w:equalWidth="0" w:num="2">
            <w:col w:w="3540" w:space="340"/>
            <w:col w:w="726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b w:val="1"/>
          <w:bCs w:val="1"/>
          <w:i w:val="1"/>
          <w:iCs w:val="1"/>
          <w:color w:val="0075C9"/>
        </w:rPr>
        <w:t>Why did I receive a one-page notice in the mail regarding the Internet availability of proxy materials instead of a full set of proxy materials?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 xml:space="preserve">We have elected to provide access to our proxy materials on the Internet, consistent with the rules of the SEC. Accordingly, in most instances we are mailing a Notice of Internet Availability of Proxy Materials to our stockholders. We are making this Proxy Statement and other Annual Meeting materials available on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or, upon request, by sending printed versions of these materials on or about April 28, 2026, to all stockholders of record as of the Record Date. For ten days before the Annual Meeting, ending on the day before the meeting date, a list of stockholders entitled to vote will be available for inspection at our offices located at 225 Binney Street, Cambridge, Massachusetts 02142. If you would like to review the list, please call our Investor Relations department at (781) 464-2442.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43815</wp:posOffset>
            </wp:positionV>
            <wp:extent cx="69951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180"/>
            <w:col w:w="7260"/>
          </w:cols>
          <w:pgMar w:left="320" w:top="482" w:right="439" w:bottom="1440" w:gutter="0" w:footer="0" w:header="0"/>
          <w:type w:val="continuous"/>
        </w:sectPr>
      </w:pPr>
    </w:p>
    <w:p>
      <w:pPr>
        <w:spacing w:after="0" w:line="31"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-68-</w:t>
      </w:r>
    </w:p>
    <w:p>
      <w:pPr>
        <w:sectPr>
          <w:pgSz w:w="11900" w:h="16838" w:orient="portrait"/>
          <w:cols w:equalWidth="0" w:num="1">
            <w:col w:w="11140"/>
          </w:cols>
          <w:pgMar w:left="320" w:top="482" w:right="4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26060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26060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66" w:lineRule="exact"/>
        <w:rPr>
          <w:sz w:val="20"/>
          <w:szCs w:val="20"/>
          <w:color w:val="auto"/>
        </w:r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b w:val="1"/>
          <w:bCs w:val="1"/>
          <w:i w:val="1"/>
          <w:iCs w:val="1"/>
          <w:color w:val="0075C9"/>
        </w:rPr>
        <w:t>What does it mean if I receive more than one notice regarding the Internet availability of proxy materials or more than one set of printed proxy materials?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If you hold your shares in more than one account, you may receive a separate Notice of Internet Availability of Proxy Materials or a separate set of printed proxy materials, including a separate proxy card or voting instruction form, for each account. To ensure that all of your shares are voted, please vote by telephone or by Internet or sign, date and return a proxy card or voting instruction form for each account.</w:t>
      </w:r>
    </w:p>
    <w:p>
      <w:pPr>
        <w:spacing w:after="0" w:line="72" w:lineRule="exact"/>
        <w:rPr>
          <w:sz w:val="20"/>
          <w:szCs w:val="20"/>
          <w:color w:val="auto"/>
        </w:rPr>
      </w:pPr>
    </w:p>
    <w:p>
      <w:pPr>
        <w:sectPr>
          <w:pgSz w:w="11900" w:h="16838" w:orient="portrait"/>
          <w:cols w:equalWidth="0" w:num="2">
            <w:col w:w="3760" w:space="120"/>
            <w:col w:w="726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line="276" w:lineRule="auto"/>
        <w:rPr>
          <w:sz w:val="20"/>
          <w:szCs w:val="20"/>
          <w:color w:val="auto"/>
        </w:rPr>
      </w:pPr>
      <w:r>
        <w:rPr>
          <w:rFonts w:ascii="Arial" w:cs="Arial" w:eastAsia="Arial" w:hAnsi="Arial"/>
          <w:sz w:val="16"/>
          <w:szCs w:val="16"/>
          <w:b w:val="1"/>
          <w:bCs w:val="1"/>
          <w:i w:val="1"/>
          <w:iCs w:val="1"/>
          <w:color w:val="0075C9"/>
        </w:rPr>
        <w:t>Where do I find the voting results of the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We will publish the voting results of the Annual Meeting in a Current Report on Form 8-K filed with the SEC within four business days after the end of the Annual Meeting. You may request a copy of this Form 8-K by contacting Investor Relations, Biogen Inc., 225 Binney Street, Cambridge, Massachusetts 02142, (781) 464-2442. You will also be able to find a copy of this Form 8-K on the Internet through the SEC’s electronic data system, called EDGAR,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on our website, </w:t>
      </w:r>
      <w:r>
        <w:rPr>
          <w:rFonts w:ascii="Arial" w:cs="Arial" w:eastAsia="Arial" w:hAnsi="Arial"/>
          <w:sz w:val="16"/>
          <w:szCs w:val="16"/>
          <w:i w:val="1"/>
          <w:iCs w:val="1"/>
          <w:color w:val="auto"/>
        </w:rPr>
        <w:t xml:space="preserve">www.biogen.com, </w:t>
      </w:r>
      <w:r>
        <w:rPr>
          <w:rFonts w:ascii="Arial" w:cs="Arial" w:eastAsia="Arial" w:hAnsi="Arial"/>
          <w:sz w:val="16"/>
          <w:szCs w:val="16"/>
          <w:color w:val="auto"/>
        </w:rPr>
        <w:t>under the “Financials” subsection of the “Investors” section of the website</w:t>
      </w:r>
      <w:r>
        <w:rPr>
          <w:rFonts w:ascii="Arial" w:cs="Arial" w:eastAsia="Arial" w:hAnsi="Arial"/>
          <w:sz w:val="16"/>
          <w:szCs w:val="16"/>
          <w:i w:val="1"/>
          <w:iCs w:val="1"/>
          <w:color w:val="auto"/>
        </w:rPr>
        <w:t>.</w:t>
      </w:r>
    </w:p>
    <w:p>
      <w:pPr>
        <w:spacing w:after="0" w:line="73" w:lineRule="exact"/>
        <w:rPr>
          <w:sz w:val="20"/>
          <w:szCs w:val="20"/>
          <w:color w:val="auto"/>
        </w:rPr>
      </w:pPr>
    </w:p>
    <w:p>
      <w:pPr>
        <w:sectPr>
          <w:pgSz w:w="11900" w:h="16838" w:orient="portrait"/>
          <w:cols w:equalWidth="0" w:num="2">
            <w:col w:w="3760" w:space="120"/>
            <w:col w:w="726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75C9"/>
        </w:rPr>
        <w:t>Who should I call if I have any questions?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If you have any questions or require any assistance with voting your shares, please contact the bank, broker or other nominee holding your shares, or our Investor Relations department at (781) 464-2442.</w:t>
      </w:r>
    </w:p>
    <w:p>
      <w:pPr>
        <w:spacing w:after="0" w:line="200" w:lineRule="exact"/>
        <w:rPr>
          <w:sz w:val="20"/>
          <w:szCs w:val="20"/>
          <w:color w:val="auto"/>
        </w:rPr>
      </w:pPr>
    </w:p>
    <w:p>
      <w:pPr>
        <w:sectPr>
          <w:pgSz w:w="11900" w:h="16838" w:orient="portrait"/>
          <w:cols w:equalWidth="0" w:num="2">
            <w:col w:w="3340" w:space="540"/>
            <w:col w:w="7260"/>
          </w:cols>
          <w:pgMar w:left="320" w:top="482" w:right="439" w:bottom="1440" w:gutter="0" w:footer="0" w:header="0"/>
          <w:type w:val="continuous"/>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jc w:val="both"/>
        <w:ind w:left="120"/>
        <w:spacing w:after="0" w:line="261" w:lineRule="auto"/>
        <w:rPr>
          <w:sz w:val="20"/>
          <w:szCs w:val="20"/>
          <w:color w:val="auto"/>
        </w:rPr>
      </w:pPr>
      <w:r>
        <w:rPr>
          <w:rFonts w:ascii="Arial" w:cs="Arial" w:eastAsia="Arial" w:hAnsi="Arial"/>
          <w:sz w:val="16"/>
          <w:szCs w:val="16"/>
          <w:b w:val="1"/>
          <w:bCs w:val="1"/>
          <w:i w:val="1"/>
          <w:iCs w:val="1"/>
          <w:color w:val="0075C9"/>
        </w:rPr>
        <w:t>Who do I contact if I experience technical difficulties trying to access or during the Annual Meeting?</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7"/>
          <w:szCs w:val="7"/>
          <w:color w:val="auto"/>
        </w:rPr>
        <w:t> </w:t>
      </w:r>
    </w:p>
    <w:p>
      <w:pPr>
        <w:spacing w:after="0" w:line="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If you have technical difficulties when accessing the Annual Meeting, there will be technicians available to assist you. If you encounter any technical difficulties accessing the virtual meeting during the check-in or meeting time, please call the technical support number that will be posted on the Annual Meeting login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39370</wp:posOffset>
            </wp:positionV>
            <wp:extent cx="69951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580"/>
            <w:col w:w="7260"/>
          </w:cols>
          <w:pgMar w:left="320" w:top="482" w:right="439" w:bottom="1440" w:gutter="0" w:footer="0" w:header="0"/>
          <w:type w:val="continuous"/>
        </w:sectPr>
      </w:pPr>
    </w:p>
    <w:p>
      <w:pPr>
        <w:spacing w:after="0" w:line="2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-69-</w:t>
      </w:r>
    </w:p>
    <w:p>
      <w:pPr>
        <w:sectPr>
          <w:pgSz w:w="11900" w:h="16838" w:orient="portrait"/>
          <w:cols w:equalWidth="0" w:num="1">
            <w:col w:w="11140"/>
          </w:cols>
          <w:pgMar w:left="320" w:top="482" w:right="4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260"/>
        <w:spacing w:after="0"/>
        <w:rPr>
          <w:sz w:val="20"/>
          <w:szCs w:val="20"/>
          <w:color w:val="auto"/>
        </w:rPr>
      </w:pPr>
      <w:r>
        <w:rPr>
          <w:rFonts w:ascii="Arial" w:cs="Arial" w:eastAsia="Arial" w:hAnsi="Arial"/>
          <w:sz w:val="19"/>
          <w:szCs w:val="19"/>
          <w:color w:val="0075C9"/>
        </w:rPr>
        <w:t>Certain Relationships and Related Person Transactions</w:t>
      </w:r>
    </w:p>
    <w:p>
      <w:pPr>
        <w:spacing w:after="0" w:line="136" w:lineRule="exact"/>
        <w:rPr>
          <w:sz w:val="20"/>
          <w:szCs w:val="20"/>
          <w:color w:val="auto"/>
        </w:rPr>
      </w:pPr>
    </w:p>
    <w:p>
      <w:pPr>
        <w:ind w:left="120" w:right="1440"/>
        <w:spacing w:after="0" w:line="273" w:lineRule="auto"/>
        <w:rPr>
          <w:sz w:val="20"/>
          <w:szCs w:val="20"/>
          <w:color w:val="auto"/>
        </w:rPr>
      </w:pPr>
      <w:r>
        <w:rPr>
          <w:rFonts w:ascii="Arial" w:cs="Arial" w:eastAsia="Arial" w:hAnsi="Arial"/>
          <w:sz w:val="40"/>
          <w:szCs w:val="40"/>
          <w:color w:val="0075C9"/>
        </w:rPr>
        <w:t>CERTAIN RELATIONSHIPS AND RELATED PERSON TRANSACTIONS</w:t>
      </w:r>
    </w:p>
    <w:p>
      <w:pPr>
        <w:spacing w:after="0" w:line="105"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color w:val="auto"/>
        </w:rPr>
        <w:t>Our Code of Business Conduct, Corporate Governance Principles, Related Person Transaction Policy and Conflicts of Interest Policy set forth our written policies and procedures for the review and approval of transactions with related persons, including transactions that would be required to be disclosed in this Proxy Statement in accordance with SEC rules.</w:t>
      </w:r>
    </w:p>
    <w:p>
      <w:pPr>
        <w:spacing w:after="0" w:line="63"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In circumstances where one of our directors or executive officers, or a family member, has a direct or indirect material interest in a transaction involving Biogen, our CGC must review and approve all such proposed transactions or courses of dealing. In determining whether to approve or ratify a transaction with a related person, among the factors our CGC may consider (as applicable) are:</w:t>
      </w:r>
    </w:p>
    <w:p>
      <w:pPr>
        <w:spacing w:after="0" w:line="77" w:lineRule="exact"/>
        <w:rPr>
          <w:sz w:val="20"/>
          <w:szCs w:val="20"/>
          <w:color w:val="auto"/>
        </w:rPr>
      </w:pPr>
    </w:p>
    <w:p>
      <w:pPr>
        <w:ind w:left="980" w:hanging="432"/>
        <w:spacing w:after="0"/>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the business reasons for entering into the transaction;</w:t>
      </w:r>
    </w:p>
    <w:p>
      <w:pPr>
        <w:spacing w:after="0" w:line="21" w:lineRule="exact"/>
        <w:rPr>
          <w:rFonts w:ascii="Arial" w:cs="Arial" w:eastAsia="Arial" w:hAnsi="Arial"/>
          <w:sz w:val="16"/>
          <w:szCs w:val="16"/>
          <w:color w:val="0075C9"/>
        </w:rPr>
      </w:pPr>
    </w:p>
    <w:p>
      <w:pPr>
        <w:ind w:left="980" w:hanging="432"/>
        <w:spacing w:after="0"/>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the size of the transaction and the nature of the related person’s interest in the transaction;</w:t>
      </w:r>
    </w:p>
    <w:p>
      <w:pPr>
        <w:spacing w:after="0" w:line="5" w:lineRule="exact"/>
        <w:rPr>
          <w:rFonts w:ascii="Arial" w:cs="Arial" w:eastAsia="Arial" w:hAnsi="Arial"/>
          <w:sz w:val="16"/>
          <w:szCs w:val="16"/>
          <w:color w:val="0075C9"/>
        </w:rPr>
      </w:pPr>
    </w:p>
    <w:p>
      <w:pPr>
        <w:ind w:left="980" w:hanging="432"/>
        <w:spacing w:after="0"/>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whether the transaction terms are as favorable to us as they would be to an unaffiliated third party;</w:t>
      </w:r>
    </w:p>
    <w:p>
      <w:pPr>
        <w:spacing w:after="0" w:line="5" w:lineRule="exact"/>
        <w:rPr>
          <w:rFonts w:ascii="Arial" w:cs="Arial" w:eastAsia="Arial" w:hAnsi="Arial"/>
          <w:sz w:val="16"/>
          <w:szCs w:val="16"/>
          <w:color w:val="0075C9"/>
        </w:rPr>
      </w:pPr>
    </w:p>
    <w:p>
      <w:pPr>
        <w:ind w:left="980" w:hanging="432"/>
        <w:spacing w:after="0"/>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whether the transaction terms are more favorable to the related person than they would be to an unaffiliated third party;</w:t>
      </w:r>
    </w:p>
    <w:p>
      <w:pPr>
        <w:spacing w:after="0" w:line="5" w:lineRule="exact"/>
        <w:rPr>
          <w:rFonts w:ascii="Arial" w:cs="Arial" w:eastAsia="Arial" w:hAnsi="Arial"/>
          <w:sz w:val="16"/>
          <w:szCs w:val="16"/>
          <w:color w:val="0075C9"/>
        </w:rPr>
      </w:pPr>
    </w:p>
    <w:p>
      <w:pPr>
        <w:ind w:left="980" w:hanging="432"/>
        <w:spacing w:after="0"/>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the availability of alternative sources for comparable products, services or other benefits;</w:t>
      </w:r>
    </w:p>
    <w:p>
      <w:pPr>
        <w:spacing w:after="0" w:line="5" w:lineRule="exact"/>
        <w:rPr>
          <w:rFonts w:ascii="Arial" w:cs="Arial" w:eastAsia="Arial" w:hAnsi="Arial"/>
          <w:sz w:val="16"/>
          <w:szCs w:val="16"/>
          <w:color w:val="0075C9"/>
        </w:rPr>
      </w:pPr>
    </w:p>
    <w:p>
      <w:pPr>
        <w:ind w:left="980" w:hanging="432"/>
        <w:spacing w:after="0"/>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whether the transaction would impair the independence or judgment of the related person in the performance of his or her duties to us;</w:t>
      </w:r>
    </w:p>
    <w:p>
      <w:pPr>
        <w:spacing w:after="0" w:line="5" w:lineRule="exact"/>
        <w:rPr>
          <w:rFonts w:ascii="Arial" w:cs="Arial" w:eastAsia="Arial" w:hAnsi="Arial"/>
          <w:sz w:val="16"/>
          <w:szCs w:val="16"/>
          <w:color w:val="0075C9"/>
        </w:rPr>
      </w:pPr>
    </w:p>
    <w:p>
      <w:pPr>
        <w:ind w:left="980" w:hanging="432"/>
        <w:spacing w:after="0"/>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for non-employee directors, whether the transaction would be consistent with Nasdaq’s requirements for independent directors;</w:t>
      </w:r>
    </w:p>
    <w:p>
      <w:pPr>
        <w:spacing w:after="0" w:line="5" w:lineRule="exact"/>
        <w:rPr>
          <w:rFonts w:ascii="Arial" w:cs="Arial" w:eastAsia="Arial" w:hAnsi="Arial"/>
          <w:sz w:val="16"/>
          <w:szCs w:val="16"/>
          <w:color w:val="0075C9"/>
        </w:rPr>
      </w:pPr>
    </w:p>
    <w:p>
      <w:pPr>
        <w:ind w:left="980" w:right="240" w:hanging="432"/>
        <w:spacing w:after="0" w:line="246" w:lineRule="auto"/>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whether the transaction is consistent with our Conflicts of Interest Policy, which prohibits related persons and others from having a financial interest in any competitor, customer, vendor or supplier of ours;</w:t>
      </w:r>
    </w:p>
    <w:p>
      <w:pPr>
        <w:ind w:left="980" w:hanging="432"/>
        <w:spacing w:after="0"/>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the related person’s role in arranging the transaction;</w:t>
      </w:r>
    </w:p>
    <w:p>
      <w:pPr>
        <w:spacing w:after="0" w:line="5" w:lineRule="exact"/>
        <w:rPr>
          <w:rFonts w:ascii="Arial" w:cs="Arial" w:eastAsia="Arial" w:hAnsi="Arial"/>
          <w:sz w:val="16"/>
          <w:szCs w:val="16"/>
          <w:color w:val="0075C9"/>
        </w:rPr>
      </w:pPr>
    </w:p>
    <w:p>
      <w:pPr>
        <w:ind w:left="980" w:hanging="432"/>
        <w:spacing w:after="0"/>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the potential for the transaction to be viewed as representing or leading to an actual or apparent conflict of interest; and</w:t>
      </w:r>
    </w:p>
    <w:p>
      <w:pPr>
        <w:spacing w:after="0" w:line="5" w:lineRule="exact"/>
        <w:rPr>
          <w:rFonts w:ascii="Arial" w:cs="Arial" w:eastAsia="Arial" w:hAnsi="Arial"/>
          <w:sz w:val="16"/>
          <w:szCs w:val="16"/>
          <w:color w:val="0075C9"/>
        </w:rPr>
      </w:pPr>
    </w:p>
    <w:p>
      <w:pPr>
        <w:ind w:left="980" w:hanging="432"/>
        <w:spacing w:after="0"/>
        <w:tabs>
          <w:tab w:leader="none" w:pos="980" w:val="left"/>
        </w:tabs>
        <w:numPr>
          <w:ilvl w:val="0"/>
          <w:numId w:val="126"/>
        </w:numPr>
        <w:rPr>
          <w:rFonts w:ascii="Arial" w:cs="Arial" w:eastAsia="Arial" w:hAnsi="Arial"/>
          <w:sz w:val="16"/>
          <w:szCs w:val="16"/>
          <w:color w:val="0075C9"/>
        </w:rPr>
      </w:pPr>
      <w:r>
        <w:rPr>
          <w:rFonts w:ascii="Arial" w:cs="Arial" w:eastAsia="Arial" w:hAnsi="Arial"/>
          <w:sz w:val="16"/>
          <w:szCs w:val="16"/>
          <w:color w:val="auto"/>
        </w:rPr>
        <w:t>any other factors that our CGC deems appropriate.</w:t>
      </w:r>
    </w:p>
    <w:p>
      <w:pPr>
        <w:spacing w:after="0" w:line="97"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Our Code of Business Conduct, which sets forth legal and ethical guidelines for all of our directors and employees, states that directors, executive officers and employees must avoid relationships or activities that might impair their ability to make objective and fair decisions while acting in their company roles.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 are no relationships or transactions with related persons that are required to be disclosed in this Proxy Statement under SEC rules.</w:t>
      </w:r>
    </w:p>
    <w:p>
      <w:pPr>
        <w:spacing w:after="0" w:line="168"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-70-</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760"/>
        <w:spacing w:after="0"/>
        <w:rPr>
          <w:sz w:val="20"/>
          <w:szCs w:val="20"/>
          <w:color w:val="auto"/>
        </w:rPr>
      </w:pPr>
      <w:r>
        <w:rPr>
          <w:rFonts w:ascii="Arial" w:cs="Arial" w:eastAsia="Arial" w:hAnsi="Arial"/>
          <w:sz w:val="19"/>
          <w:szCs w:val="19"/>
          <w:color w:val="0075C9"/>
        </w:rPr>
        <w:t>Equity Compensation Plan Information</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40"/>
          <w:szCs w:val="40"/>
          <w:color w:val="0075C9"/>
        </w:rPr>
        <w:t>EQUITY COMPENSATION PLAN INFORMATION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information as of December 31, 2025, about:</w:t>
      </w:r>
    </w:p>
    <w:p>
      <w:pPr>
        <w:spacing w:after="0" w:line="127" w:lineRule="exact"/>
        <w:rPr>
          <w:sz w:val="20"/>
          <w:szCs w:val="20"/>
          <w:color w:val="auto"/>
        </w:rPr>
      </w:pPr>
    </w:p>
    <w:p>
      <w:pPr>
        <w:ind w:left="440" w:right="240" w:hanging="324"/>
        <w:spacing w:after="0" w:line="256" w:lineRule="auto"/>
        <w:tabs>
          <w:tab w:leader="none" w:pos="440" w:val="left"/>
        </w:tabs>
        <w:numPr>
          <w:ilvl w:val="0"/>
          <w:numId w:val="127"/>
        </w:numPr>
        <w:rPr>
          <w:rFonts w:ascii="Arial" w:cs="Arial" w:eastAsia="Arial" w:hAnsi="Arial"/>
          <w:sz w:val="16"/>
          <w:szCs w:val="16"/>
          <w:color w:val="0075C9"/>
        </w:rPr>
      </w:pPr>
      <w:r>
        <w:rPr>
          <w:rFonts w:ascii="Arial" w:cs="Arial" w:eastAsia="Arial" w:hAnsi="Arial"/>
          <w:sz w:val="16"/>
          <w:szCs w:val="16"/>
          <w:color w:val="auto"/>
        </w:rPr>
        <w:t>the number of shares of common stock subject to issuance upon exercise of stock options or vesting of RSUs and PSUs under plans adopted and assumed by us (assuming target performance); and</w:t>
      </w:r>
    </w:p>
    <w:p>
      <w:pPr>
        <w:spacing w:after="0" w:line="1" w:lineRule="exact"/>
        <w:rPr>
          <w:rFonts w:ascii="Arial" w:cs="Arial" w:eastAsia="Arial" w:hAnsi="Arial"/>
          <w:sz w:val="16"/>
          <w:szCs w:val="16"/>
          <w:color w:val="0075C9"/>
        </w:rPr>
      </w:pPr>
    </w:p>
    <w:p>
      <w:pPr>
        <w:ind w:left="440" w:right="140" w:hanging="324"/>
        <w:spacing w:after="0" w:line="265" w:lineRule="auto"/>
        <w:tabs>
          <w:tab w:leader="none" w:pos="440" w:val="left"/>
        </w:tabs>
        <w:numPr>
          <w:ilvl w:val="0"/>
          <w:numId w:val="127"/>
        </w:numPr>
        <w:rPr>
          <w:rFonts w:ascii="Arial" w:cs="Arial" w:eastAsia="Arial" w:hAnsi="Arial"/>
          <w:sz w:val="16"/>
          <w:szCs w:val="16"/>
          <w:color w:val="0075C9"/>
        </w:rPr>
      </w:pPr>
      <w:r>
        <w:rPr>
          <w:rFonts w:ascii="Arial" w:cs="Arial" w:eastAsia="Arial" w:hAnsi="Arial"/>
          <w:sz w:val="16"/>
          <w:szCs w:val="16"/>
          <w:color w:val="auto"/>
        </w:rPr>
        <w:t>the number of shares of common stock available for future issuance under our active plans: our 2024 Omnibus Equity Plan and our 2024 Employee Stock Purchase Plan.</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shd w:val="clear" w:color="auto" w:fill="0075C9"/>
          </w:tcPr>
          <w:p>
            <w:pPr>
              <w:spacing w:after="0"/>
              <w:rPr>
                <w:sz w:val="14"/>
                <w:szCs w:val="14"/>
                <w:color w:val="auto"/>
              </w:rPr>
            </w:pPr>
          </w:p>
        </w:tc>
        <w:tc>
          <w:tcPr>
            <w:tcW w:w="1640" w:type="dxa"/>
            <w:vAlign w:val="bottom"/>
            <w:shd w:val="clear" w:color="auto" w:fill="0075C9"/>
          </w:tcPr>
          <w:p>
            <w:pPr>
              <w:spacing w:after="0"/>
              <w:rPr>
                <w:sz w:val="14"/>
                <w:szCs w:val="14"/>
                <w:color w:val="auto"/>
              </w:rPr>
            </w:pPr>
          </w:p>
        </w:tc>
        <w:tc>
          <w:tcPr>
            <w:tcW w:w="1480" w:type="dxa"/>
            <w:vAlign w:val="bottom"/>
            <w:shd w:val="clear" w:color="auto" w:fill="0075C9"/>
          </w:tcPr>
          <w:p>
            <w:pPr>
              <w:spacing w:after="0"/>
              <w:rPr>
                <w:sz w:val="14"/>
                <w:szCs w:val="14"/>
                <w:color w:val="auto"/>
              </w:rPr>
            </w:pPr>
          </w:p>
        </w:tc>
        <w:tc>
          <w:tcPr>
            <w:tcW w:w="19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Number of Securities</w:t>
            </w:r>
          </w:p>
        </w:tc>
      </w:tr>
      <w:tr>
        <w:trPr>
          <w:trHeight w:val="162"/>
        </w:trPr>
        <w:tc>
          <w:tcPr>
            <w:tcW w:w="5960" w:type="dxa"/>
            <w:vAlign w:val="bottom"/>
            <w:shd w:val="clear" w:color="auto" w:fill="0075C9"/>
          </w:tcPr>
          <w:p>
            <w:pPr>
              <w:spacing w:after="0"/>
              <w:rPr>
                <w:sz w:val="14"/>
                <w:szCs w:val="14"/>
                <w:color w:val="auto"/>
              </w:rPr>
            </w:pPr>
          </w:p>
        </w:tc>
        <w:tc>
          <w:tcPr>
            <w:tcW w:w="1640" w:type="dxa"/>
            <w:vAlign w:val="bottom"/>
            <w:shd w:val="clear" w:color="auto" w:fill="0075C9"/>
          </w:tcPr>
          <w:p>
            <w:pPr>
              <w:ind w:left="120"/>
              <w:spacing w:after="0"/>
              <w:rPr>
                <w:sz w:val="20"/>
                <w:szCs w:val="20"/>
                <w:color w:val="auto"/>
              </w:rPr>
            </w:pPr>
            <w:r>
              <w:rPr>
                <w:rFonts w:ascii="Arial" w:cs="Arial" w:eastAsia="Arial" w:hAnsi="Arial"/>
                <w:sz w:val="14"/>
                <w:szCs w:val="14"/>
                <w:color w:val="FFFFFF"/>
              </w:rPr>
              <w:t>  Number of Securities</w:t>
            </w:r>
          </w:p>
        </w:tc>
        <w:tc>
          <w:tcPr>
            <w:tcW w:w="1480" w:type="dxa"/>
            <w:vAlign w:val="bottom"/>
            <w:shd w:val="clear" w:color="auto" w:fill="0075C9"/>
          </w:tcPr>
          <w:p>
            <w:pPr>
              <w:spacing w:after="0"/>
              <w:rPr>
                <w:sz w:val="14"/>
                <w:szCs w:val="14"/>
                <w:color w:val="auto"/>
              </w:rPr>
            </w:pPr>
          </w:p>
        </w:tc>
        <w:tc>
          <w:tcPr>
            <w:tcW w:w="19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Remaining Available for</w:t>
            </w:r>
          </w:p>
        </w:tc>
      </w:tr>
      <w:tr>
        <w:trPr>
          <w:trHeight w:val="162"/>
        </w:trPr>
        <w:tc>
          <w:tcPr>
            <w:tcW w:w="5960" w:type="dxa"/>
            <w:vAlign w:val="bottom"/>
            <w:shd w:val="clear" w:color="auto" w:fill="0075C9"/>
          </w:tcPr>
          <w:p>
            <w:pPr>
              <w:spacing w:after="0"/>
              <w:rPr>
                <w:sz w:val="14"/>
                <w:szCs w:val="14"/>
                <w:color w:val="auto"/>
              </w:rPr>
            </w:pPr>
          </w:p>
        </w:tc>
        <w:tc>
          <w:tcPr>
            <w:tcW w:w="1640" w:type="dxa"/>
            <w:vAlign w:val="bottom"/>
            <w:shd w:val="clear" w:color="auto" w:fill="0075C9"/>
          </w:tcPr>
          <w:p>
            <w:pPr>
              <w:jc w:val="center"/>
              <w:ind w:left="25"/>
              <w:spacing w:after="0"/>
              <w:rPr>
                <w:sz w:val="20"/>
                <w:szCs w:val="20"/>
                <w:color w:val="auto"/>
              </w:rPr>
            </w:pPr>
            <w:r>
              <w:rPr>
                <w:rFonts w:ascii="Arial" w:cs="Arial" w:eastAsia="Arial" w:hAnsi="Arial"/>
                <w:sz w:val="14"/>
                <w:szCs w:val="14"/>
                <w:color w:val="FFFFFF"/>
              </w:rPr>
              <w:t>to be Issued Upon</w:t>
            </w:r>
          </w:p>
        </w:tc>
        <w:tc>
          <w:tcPr>
            <w:tcW w:w="1480" w:type="dxa"/>
            <w:vAlign w:val="bottom"/>
            <w:shd w:val="clear" w:color="auto" w:fill="0075C9"/>
          </w:tcPr>
          <w:p>
            <w:pPr>
              <w:jc w:val="center"/>
              <w:ind w:left="25"/>
              <w:spacing w:after="0"/>
              <w:rPr>
                <w:sz w:val="20"/>
                <w:szCs w:val="20"/>
                <w:color w:val="auto"/>
              </w:rPr>
            </w:pPr>
            <w:r>
              <w:rPr>
                <w:rFonts w:ascii="Arial" w:cs="Arial" w:eastAsia="Arial" w:hAnsi="Arial"/>
                <w:sz w:val="14"/>
                <w:szCs w:val="14"/>
                <w:color w:val="FFFFFF"/>
              </w:rPr>
              <w:t>Weighted-average</w:t>
            </w:r>
          </w:p>
        </w:tc>
        <w:tc>
          <w:tcPr>
            <w:tcW w:w="19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Future Issuance Under</w:t>
            </w:r>
          </w:p>
        </w:tc>
      </w:tr>
      <w:tr>
        <w:trPr>
          <w:trHeight w:val="162"/>
        </w:trPr>
        <w:tc>
          <w:tcPr>
            <w:tcW w:w="5960" w:type="dxa"/>
            <w:vAlign w:val="bottom"/>
            <w:shd w:val="clear" w:color="auto" w:fill="0075C9"/>
          </w:tcPr>
          <w:p>
            <w:pPr>
              <w:spacing w:after="0"/>
              <w:rPr>
                <w:sz w:val="14"/>
                <w:szCs w:val="14"/>
                <w:color w:val="auto"/>
              </w:rPr>
            </w:pPr>
          </w:p>
        </w:tc>
        <w:tc>
          <w:tcPr>
            <w:tcW w:w="1640" w:type="dxa"/>
            <w:vAlign w:val="bottom"/>
            <w:shd w:val="clear" w:color="auto" w:fill="0075C9"/>
          </w:tcPr>
          <w:p>
            <w:pPr>
              <w:jc w:val="center"/>
              <w:ind w:left="25"/>
              <w:spacing w:after="0"/>
              <w:rPr>
                <w:sz w:val="20"/>
                <w:szCs w:val="20"/>
                <w:color w:val="auto"/>
              </w:rPr>
            </w:pPr>
            <w:r>
              <w:rPr>
                <w:rFonts w:ascii="Arial" w:cs="Arial" w:eastAsia="Arial" w:hAnsi="Arial"/>
                <w:sz w:val="14"/>
                <w:szCs w:val="14"/>
                <w:color w:val="FFFFFF"/>
              </w:rPr>
              <w:t>Exercise of</w:t>
            </w:r>
          </w:p>
        </w:tc>
        <w:tc>
          <w:tcPr>
            <w:tcW w:w="1480" w:type="dxa"/>
            <w:vAlign w:val="bottom"/>
            <w:shd w:val="clear" w:color="auto" w:fill="0075C9"/>
          </w:tcPr>
          <w:p>
            <w:pPr>
              <w:jc w:val="center"/>
              <w:ind w:left="5"/>
              <w:spacing w:after="0"/>
              <w:rPr>
                <w:sz w:val="20"/>
                <w:szCs w:val="20"/>
                <w:color w:val="auto"/>
              </w:rPr>
            </w:pPr>
            <w:r>
              <w:rPr>
                <w:rFonts w:ascii="Arial" w:cs="Arial" w:eastAsia="Arial" w:hAnsi="Arial"/>
                <w:sz w:val="14"/>
                <w:szCs w:val="14"/>
                <w:color w:val="FFFFFF"/>
              </w:rPr>
              <w:t>Exercise Price of</w:t>
            </w:r>
          </w:p>
        </w:tc>
        <w:tc>
          <w:tcPr>
            <w:tcW w:w="19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Equity Compensation</w:t>
            </w:r>
          </w:p>
        </w:tc>
      </w:tr>
      <w:tr>
        <w:trPr>
          <w:trHeight w:val="162"/>
        </w:trPr>
        <w:tc>
          <w:tcPr>
            <w:tcW w:w="5960" w:type="dxa"/>
            <w:vAlign w:val="bottom"/>
            <w:shd w:val="clear" w:color="auto" w:fill="0075C9"/>
          </w:tcPr>
          <w:p>
            <w:pPr>
              <w:spacing w:after="0"/>
              <w:rPr>
                <w:sz w:val="14"/>
                <w:szCs w:val="14"/>
                <w:color w:val="auto"/>
              </w:rPr>
            </w:pPr>
          </w:p>
        </w:tc>
        <w:tc>
          <w:tcPr>
            <w:tcW w:w="1640" w:type="dxa"/>
            <w:vAlign w:val="bottom"/>
            <w:shd w:val="clear" w:color="auto" w:fill="0075C9"/>
          </w:tcPr>
          <w:p>
            <w:pPr>
              <w:jc w:val="center"/>
              <w:ind w:left="25"/>
              <w:spacing w:after="0"/>
              <w:rPr>
                <w:sz w:val="20"/>
                <w:szCs w:val="20"/>
                <w:color w:val="auto"/>
              </w:rPr>
            </w:pPr>
            <w:r>
              <w:rPr>
                <w:rFonts w:ascii="Arial" w:cs="Arial" w:eastAsia="Arial" w:hAnsi="Arial"/>
                <w:sz w:val="14"/>
                <w:szCs w:val="14"/>
                <w:color w:val="FFFFFF"/>
              </w:rPr>
              <w:t>Outstanding Options</w:t>
            </w:r>
          </w:p>
        </w:tc>
        <w:tc>
          <w:tcPr>
            <w:tcW w:w="1480" w:type="dxa"/>
            <w:vAlign w:val="bottom"/>
            <w:shd w:val="clear" w:color="auto" w:fill="0075C9"/>
          </w:tcPr>
          <w:p>
            <w:pPr>
              <w:jc w:val="center"/>
              <w:ind w:left="25"/>
              <w:spacing w:after="0"/>
              <w:rPr>
                <w:sz w:val="20"/>
                <w:szCs w:val="20"/>
                <w:color w:val="auto"/>
              </w:rPr>
            </w:pPr>
            <w:r>
              <w:rPr>
                <w:rFonts w:ascii="Arial" w:cs="Arial" w:eastAsia="Arial" w:hAnsi="Arial"/>
                <w:sz w:val="14"/>
                <w:szCs w:val="14"/>
                <w:color w:val="FFFFFF"/>
              </w:rPr>
              <w:t>Outstanding</w:t>
            </w:r>
          </w:p>
        </w:tc>
        <w:tc>
          <w:tcPr>
            <w:tcW w:w="1940" w:type="dxa"/>
            <w:vAlign w:val="bottom"/>
            <w:shd w:val="clear" w:color="auto" w:fill="0075C9"/>
          </w:tcPr>
          <w:p>
            <w:pPr>
              <w:ind w:left="60"/>
              <w:spacing w:after="0"/>
              <w:rPr>
                <w:sz w:val="20"/>
                <w:szCs w:val="20"/>
                <w:color w:val="auto"/>
              </w:rPr>
            </w:pPr>
            <w:r>
              <w:rPr>
                <w:rFonts w:ascii="Arial" w:cs="Arial" w:eastAsia="Arial" w:hAnsi="Arial"/>
                <w:sz w:val="14"/>
                <w:szCs w:val="14"/>
                <w:color w:val="FFFFFF"/>
              </w:rPr>
              <w:t>  Plans (excluding securities</w:t>
            </w:r>
          </w:p>
        </w:tc>
      </w:tr>
      <w:tr>
        <w:trPr>
          <w:trHeight w:val="162"/>
        </w:trPr>
        <w:tc>
          <w:tcPr>
            <w:tcW w:w="5960" w:type="dxa"/>
            <w:vAlign w:val="bottom"/>
            <w:shd w:val="clear" w:color="auto" w:fill="0075C9"/>
          </w:tcPr>
          <w:p>
            <w:pPr>
              <w:spacing w:after="0"/>
              <w:rPr>
                <w:sz w:val="14"/>
                <w:szCs w:val="14"/>
                <w:color w:val="auto"/>
              </w:rPr>
            </w:pPr>
          </w:p>
        </w:tc>
        <w:tc>
          <w:tcPr>
            <w:tcW w:w="1640" w:type="dxa"/>
            <w:vAlign w:val="bottom"/>
            <w:shd w:val="clear" w:color="auto" w:fill="0075C9"/>
          </w:tcPr>
          <w:p>
            <w:pPr>
              <w:jc w:val="center"/>
              <w:ind w:left="25"/>
              <w:spacing w:after="0"/>
              <w:rPr>
                <w:sz w:val="20"/>
                <w:szCs w:val="20"/>
                <w:color w:val="auto"/>
              </w:rPr>
            </w:pPr>
            <w:r>
              <w:rPr>
                <w:rFonts w:ascii="Arial" w:cs="Arial" w:eastAsia="Arial" w:hAnsi="Arial"/>
                <w:sz w:val="14"/>
                <w:szCs w:val="14"/>
                <w:color w:val="FFFFFF"/>
              </w:rPr>
              <w:t>and Rights</w:t>
            </w:r>
          </w:p>
        </w:tc>
        <w:tc>
          <w:tcPr>
            <w:tcW w:w="1480" w:type="dxa"/>
            <w:vAlign w:val="bottom"/>
            <w:shd w:val="clear" w:color="auto" w:fill="0075C9"/>
          </w:tcPr>
          <w:p>
            <w:pPr>
              <w:ind w:left="100"/>
              <w:spacing w:after="0"/>
              <w:rPr>
                <w:sz w:val="20"/>
                <w:szCs w:val="20"/>
                <w:color w:val="auto"/>
              </w:rPr>
            </w:pPr>
            <w:r>
              <w:rPr>
                <w:rFonts w:ascii="Arial" w:cs="Arial" w:eastAsia="Arial" w:hAnsi="Arial"/>
                <w:sz w:val="14"/>
                <w:szCs w:val="14"/>
                <w:color w:val="FFFFFF"/>
              </w:rPr>
              <w:t>  Options and Rights</w:t>
            </w:r>
          </w:p>
        </w:tc>
        <w:tc>
          <w:tcPr>
            <w:tcW w:w="19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reflected in column (a))</w:t>
            </w:r>
          </w:p>
        </w:tc>
      </w:tr>
      <w:tr>
        <w:trPr>
          <w:trHeight w:val="212"/>
        </w:trPr>
        <w:tc>
          <w:tcPr>
            <w:tcW w:w="5960" w:type="dxa"/>
            <w:vAlign w:val="bottom"/>
            <w:shd w:val="clear" w:color="auto" w:fill="0075C9"/>
          </w:tcPr>
          <w:p>
            <w:pPr>
              <w:spacing w:after="0"/>
              <w:rPr>
                <w:sz w:val="20"/>
                <w:szCs w:val="20"/>
                <w:color w:val="auto"/>
              </w:rPr>
            </w:pPr>
            <w:r>
              <w:rPr>
                <w:rFonts w:ascii="Arial" w:cs="Arial" w:eastAsia="Arial" w:hAnsi="Arial"/>
                <w:sz w:val="14"/>
                <w:szCs w:val="14"/>
                <w:color w:val="FFFFFF"/>
              </w:rPr>
              <w:t>  Plan Category</w:t>
            </w:r>
          </w:p>
        </w:tc>
        <w:tc>
          <w:tcPr>
            <w:tcW w:w="1640" w:type="dxa"/>
            <w:vAlign w:val="bottom"/>
            <w:shd w:val="clear" w:color="auto" w:fill="0075C9"/>
          </w:tcPr>
          <w:p>
            <w:pPr>
              <w:jc w:val="center"/>
              <w:ind w:left="25"/>
              <w:spacing w:after="0"/>
              <w:rPr>
                <w:sz w:val="20"/>
                <w:szCs w:val="20"/>
                <w:color w:val="auto"/>
              </w:rPr>
            </w:pPr>
            <w:r>
              <w:rPr>
                <w:rFonts w:ascii="Arial" w:cs="Arial" w:eastAsia="Arial" w:hAnsi="Arial"/>
                <w:sz w:val="14"/>
                <w:szCs w:val="14"/>
                <w:color w:val="FFFFFF"/>
              </w:rPr>
              <w:t>(a)</w:t>
            </w:r>
          </w:p>
        </w:tc>
        <w:tc>
          <w:tcPr>
            <w:tcW w:w="1480" w:type="dxa"/>
            <w:vAlign w:val="bottom"/>
            <w:shd w:val="clear" w:color="auto" w:fill="0075C9"/>
          </w:tcPr>
          <w:p>
            <w:pPr>
              <w:jc w:val="center"/>
              <w:ind w:left="25"/>
              <w:spacing w:after="0"/>
              <w:rPr>
                <w:sz w:val="20"/>
                <w:szCs w:val="20"/>
                <w:color w:val="auto"/>
              </w:rPr>
            </w:pPr>
            <w:r>
              <w:rPr>
                <w:rFonts w:ascii="Arial" w:cs="Arial" w:eastAsia="Arial" w:hAnsi="Arial"/>
                <w:sz w:val="14"/>
                <w:szCs w:val="14"/>
                <w:color w:val="FFFFFF"/>
              </w:rPr>
              <w:t>(b)</w:t>
            </w:r>
          </w:p>
        </w:tc>
        <w:tc>
          <w:tcPr>
            <w:tcW w:w="1940" w:type="dxa"/>
            <w:vAlign w:val="bottom"/>
            <w:shd w:val="clear" w:color="auto" w:fill="0075C9"/>
          </w:tcPr>
          <w:p>
            <w:pPr>
              <w:jc w:val="center"/>
              <w:spacing w:after="0"/>
              <w:rPr>
                <w:sz w:val="20"/>
                <w:szCs w:val="20"/>
                <w:color w:val="auto"/>
              </w:rPr>
            </w:pPr>
            <w:r>
              <w:rPr>
                <w:rFonts w:ascii="Arial" w:cs="Arial" w:eastAsia="Arial" w:hAnsi="Arial"/>
                <w:sz w:val="14"/>
                <w:szCs w:val="14"/>
                <w:color w:val="FFFFFF"/>
              </w:rPr>
              <w:t>(c)</w:t>
            </w:r>
          </w:p>
        </w:tc>
      </w:tr>
      <w:tr>
        <w:trPr>
          <w:trHeight w:val="216"/>
        </w:trPr>
        <w:tc>
          <w:tcPr>
            <w:tcW w:w="5960" w:type="dxa"/>
            <w:vAlign w:val="bottom"/>
            <w:shd w:val="clear" w:color="auto" w:fill="E5F1F9"/>
          </w:tcPr>
          <w:p>
            <w:pPr>
              <w:ind w:left="80"/>
              <w:spacing w:after="0"/>
              <w:rPr>
                <w:sz w:val="20"/>
                <w:szCs w:val="20"/>
                <w:color w:val="auto"/>
              </w:rPr>
            </w:pPr>
            <w:r>
              <w:rPr>
                <w:rFonts w:ascii="Arial" w:cs="Arial" w:eastAsia="Arial" w:hAnsi="Arial"/>
                <w:sz w:val="16"/>
                <w:szCs w:val="16"/>
                <w:color w:val="auto"/>
              </w:rPr>
              <w:t>Equity compensation plans approved by stockholders</w:t>
            </w:r>
          </w:p>
        </w:tc>
        <w:tc>
          <w:tcPr>
            <w:tcW w:w="1640" w:type="dxa"/>
            <w:vAlign w:val="bottom"/>
            <w:shd w:val="clear" w:color="auto" w:fill="E5F1F9"/>
          </w:tcPr>
          <w:p>
            <w:pPr>
              <w:jc w:val="center"/>
              <w:ind w:left="5"/>
              <w:spacing w:after="0"/>
              <w:rPr>
                <w:sz w:val="20"/>
                <w:szCs w:val="20"/>
                <w:color w:val="auto"/>
              </w:rPr>
            </w:pPr>
            <w:r>
              <w:rPr>
                <w:rFonts w:ascii="Arial" w:cs="Arial" w:eastAsia="Arial" w:hAnsi="Arial"/>
                <w:sz w:val="16"/>
                <w:szCs w:val="16"/>
                <w:color w:val="auto"/>
              </w:rPr>
              <w:t>3,961,244</w:t>
            </w:r>
          </w:p>
        </w:tc>
        <w:tc>
          <w:tcPr>
            <w:tcW w:w="1480" w:type="dxa"/>
            <w:vAlign w:val="bottom"/>
            <w:shd w:val="clear" w:color="auto" w:fill="E5F1F9"/>
          </w:tcPr>
          <w:p>
            <w:pPr>
              <w:jc w:val="center"/>
              <w:ind w:left="5"/>
              <w:spacing w:after="0" w:line="216" w:lineRule="exact"/>
              <w:rPr>
                <w:sz w:val="20"/>
                <w:szCs w:val="20"/>
                <w:color w:val="auto"/>
              </w:rPr>
            </w:pPr>
            <w:r>
              <w:rPr>
                <w:rFonts w:ascii="Arial" w:cs="Arial" w:eastAsia="Arial" w:hAnsi="Arial"/>
                <w:sz w:val="16"/>
                <w:szCs w:val="16"/>
                <w:color w:val="auto"/>
                <w:w w:val="94"/>
              </w:rPr>
              <w:t>$301.85</w:t>
            </w:r>
            <w:r>
              <w:rPr>
                <w:rFonts w:ascii="Arial" w:cs="Arial" w:eastAsia="Arial" w:hAnsi="Arial"/>
                <w:sz w:val="24"/>
                <w:szCs w:val="24"/>
                <w:color w:val="auto"/>
                <w:w w:val="94"/>
                <w:vertAlign w:val="superscript"/>
              </w:rPr>
              <w:t> (1)</w:t>
            </w:r>
          </w:p>
        </w:tc>
        <w:tc>
          <w:tcPr>
            <w:tcW w:w="1940" w:type="dxa"/>
            <w:vAlign w:val="bottom"/>
            <w:shd w:val="clear" w:color="auto" w:fill="E5F1F9"/>
          </w:tcPr>
          <w:p>
            <w:pPr>
              <w:jc w:val="center"/>
              <w:spacing w:after="0" w:line="216" w:lineRule="exact"/>
              <w:rPr>
                <w:sz w:val="20"/>
                <w:szCs w:val="20"/>
                <w:color w:val="auto"/>
              </w:rPr>
            </w:pPr>
            <w:r>
              <w:rPr>
                <w:rFonts w:ascii="Arial" w:cs="Arial" w:eastAsia="Arial" w:hAnsi="Arial"/>
                <w:sz w:val="16"/>
                <w:szCs w:val="16"/>
                <w:color w:val="auto"/>
                <w:w w:val="95"/>
              </w:rPr>
              <w:t>8,090,967</w:t>
            </w:r>
            <w:r>
              <w:rPr>
                <w:rFonts w:ascii="Arial" w:cs="Arial" w:eastAsia="Arial" w:hAnsi="Arial"/>
                <w:sz w:val="24"/>
                <w:szCs w:val="24"/>
                <w:color w:val="auto"/>
                <w:w w:val="95"/>
                <w:vertAlign w:val="superscript"/>
              </w:rPr>
              <w:t> (2)</w:t>
            </w:r>
          </w:p>
        </w:tc>
      </w:tr>
      <w:tr>
        <w:trPr>
          <w:trHeight w:val="216"/>
        </w:trPr>
        <w:tc>
          <w:tcPr>
            <w:tcW w:w="5960" w:type="dxa"/>
            <w:vAlign w:val="bottom"/>
            <w:shd w:val="clear" w:color="auto" w:fill="B2D5EE"/>
          </w:tcPr>
          <w:p>
            <w:pPr>
              <w:ind w:left="80"/>
              <w:spacing w:after="0"/>
              <w:rPr>
                <w:sz w:val="20"/>
                <w:szCs w:val="20"/>
                <w:color w:val="auto"/>
              </w:rPr>
            </w:pPr>
            <w:r>
              <w:rPr>
                <w:rFonts w:ascii="Arial" w:cs="Arial" w:eastAsia="Arial" w:hAnsi="Arial"/>
                <w:sz w:val="16"/>
                <w:szCs w:val="16"/>
                <w:color w:val="auto"/>
              </w:rPr>
              <w:t>Equity compensation plans not approved by stockholders</w:t>
            </w:r>
          </w:p>
        </w:tc>
        <w:tc>
          <w:tcPr>
            <w:tcW w:w="1640" w:type="dxa"/>
            <w:vAlign w:val="bottom"/>
            <w:shd w:val="clear" w:color="auto" w:fill="B2D5EE"/>
          </w:tcPr>
          <w:p>
            <w:pPr>
              <w:jc w:val="center"/>
              <w:ind w:left="5"/>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B2D5EE"/>
          </w:tcPr>
          <w:p>
            <w:pPr>
              <w:jc w:val="center"/>
              <w:ind w:left="5"/>
              <w:spacing w:after="0"/>
              <w:rPr>
                <w:sz w:val="20"/>
                <w:szCs w:val="20"/>
                <w:color w:val="auto"/>
              </w:rPr>
            </w:pPr>
            <w:r>
              <w:rPr>
                <w:rFonts w:ascii="Arial" w:cs="Arial" w:eastAsia="Arial" w:hAnsi="Arial"/>
                <w:sz w:val="16"/>
                <w:szCs w:val="16"/>
                <w:color w:val="auto"/>
                <w:w w:val="99"/>
              </w:rPr>
              <w:t>—</w:t>
            </w:r>
          </w:p>
        </w:tc>
        <w:tc>
          <w:tcPr>
            <w:tcW w:w="1940" w:type="dxa"/>
            <w:vAlign w:val="bottom"/>
            <w:shd w:val="clear" w:color="auto" w:fill="B2D5EE"/>
          </w:tcPr>
          <w:p>
            <w:pPr>
              <w:jc w:val="center"/>
              <w:spacing w:after="0"/>
              <w:rPr>
                <w:sz w:val="20"/>
                <w:szCs w:val="20"/>
                <w:color w:val="auto"/>
              </w:rPr>
            </w:pPr>
            <w:r>
              <w:rPr>
                <w:rFonts w:ascii="Arial" w:cs="Arial" w:eastAsia="Arial" w:hAnsi="Arial"/>
                <w:sz w:val="16"/>
                <w:szCs w:val="16"/>
                <w:color w:val="auto"/>
                <w:w w:val="99"/>
              </w:rPr>
              <w:t>—</w:t>
            </w:r>
          </w:p>
        </w:tc>
      </w:tr>
      <w:tr>
        <w:trPr>
          <w:trHeight w:val="216"/>
        </w:trPr>
        <w:tc>
          <w:tcPr>
            <w:tcW w:w="5960" w:type="dxa"/>
            <w:vAlign w:val="bottom"/>
            <w:tcBorders>
              <w:bottom w:val="single" w:sz="8" w:color="auto"/>
            </w:tcBorders>
            <w:shd w:val="clear" w:color="auto" w:fill="E5F1F9"/>
          </w:tcPr>
          <w:p>
            <w:pPr>
              <w:ind w:left="8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shd w:val="clear" w:color="auto" w:fill="E5F1F9"/>
          </w:tcPr>
          <w:p>
            <w:pPr>
              <w:jc w:val="center"/>
              <w:ind w:left="5"/>
              <w:spacing w:after="0"/>
              <w:rPr>
                <w:sz w:val="20"/>
                <w:szCs w:val="20"/>
                <w:color w:val="auto"/>
              </w:rPr>
            </w:pPr>
            <w:r>
              <w:rPr>
                <w:rFonts w:ascii="Arial" w:cs="Arial" w:eastAsia="Arial" w:hAnsi="Arial"/>
                <w:sz w:val="16"/>
                <w:szCs w:val="16"/>
                <w:color w:val="auto"/>
              </w:rPr>
              <w:t>3,961,244</w:t>
            </w:r>
          </w:p>
        </w:tc>
        <w:tc>
          <w:tcPr>
            <w:tcW w:w="1480" w:type="dxa"/>
            <w:vAlign w:val="bottom"/>
            <w:tcBorders>
              <w:bottom w:val="single" w:sz="8" w:color="auto"/>
            </w:tcBorders>
            <w:shd w:val="clear" w:color="auto" w:fill="E5F1F9"/>
          </w:tcPr>
          <w:p>
            <w:pPr>
              <w:jc w:val="center"/>
              <w:ind w:left="5"/>
              <w:spacing w:after="0" w:line="216" w:lineRule="exact"/>
              <w:rPr>
                <w:sz w:val="20"/>
                <w:szCs w:val="20"/>
                <w:color w:val="auto"/>
              </w:rPr>
            </w:pPr>
            <w:r>
              <w:rPr>
                <w:rFonts w:ascii="Arial" w:cs="Arial" w:eastAsia="Arial" w:hAnsi="Arial"/>
                <w:sz w:val="16"/>
                <w:szCs w:val="16"/>
                <w:color w:val="auto"/>
                <w:w w:val="94"/>
              </w:rPr>
              <w:t>$301.85</w:t>
            </w:r>
            <w:r>
              <w:rPr>
                <w:rFonts w:ascii="Arial" w:cs="Arial" w:eastAsia="Arial" w:hAnsi="Arial"/>
                <w:sz w:val="24"/>
                <w:szCs w:val="24"/>
                <w:color w:val="auto"/>
                <w:w w:val="94"/>
                <w:vertAlign w:val="superscript"/>
              </w:rPr>
              <w:t> (1)</w:t>
            </w:r>
          </w:p>
        </w:tc>
        <w:tc>
          <w:tcPr>
            <w:tcW w:w="1940" w:type="dxa"/>
            <w:vAlign w:val="bottom"/>
            <w:tcBorders>
              <w:bottom w:val="single" w:sz="8" w:color="auto"/>
            </w:tcBorders>
            <w:shd w:val="clear" w:color="auto" w:fill="E5F1F9"/>
          </w:tcPr>
          <w:p>
            <w:pPr>
              <w:jc w:val="center"/>
              <w:spacing w:after="0" w:line="216" w:lineRule="exact"/>
              <w:rPr>
                <w:sz w:val="20"/>
                <w:szCs w:val="20"/>
                <w:color w:val="auto"/>
              </w:rPr>
            </w:pPr>
            <w:r>
              <w:rPr>
                <w:rFonts w:ascii="Arial" w:cs="Arial" w:eastAsia="Arial" w:hAnsi="Arial"/>
                <w:sz w:val="16"/>
                <w:szCs w:val="16"/>
                <w:color w:val="auto"/>
                <w:w w:val="95"/>
              </w:rPr>
              <w:t>8,090,967</w:t>
            </w:r>
            <w:r>
              <w:rPr>
                <w:rFonts w:ascii="Arial" w:cs="Arial" w:eastAsia="Arial" w:hAnsi="Arial"/>
                <w:sz w:val="24"/>
                <w:szCs w:val="24"/>
                <w:color w:val="auto"/>
                <w:w w:val="95"/>
                <w:vertAlign w:val="superscript"/>
              </w:rPr>
              <w:t> (2)</w:t>
            </w:r>
          </w:p>
        </w:tc>
      </w:tr>
    </w:tbl>
    <w:p>
      <w:pPr>
        <w:spacing w:after="0" w:line="58" w:lineRule="exact"/>
        <w:rPr>
          <w:sz w:val="20"/>
          <w:szCs w:val="20"/>
          <w:color w:val="auto"/>
        </w:rPr>
      </w:pPr>
    </w:p>
    <w:p>
      <w:pPr>
        <w:ind w:left="440" w:hanging="324"/>
        <w:spacing w:after="0"/>
        <w:tabs>
          <w:tab w:leader="none" w:pos="4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weighted-average exercise price only pertains to outstanding options.</w:t>
      </w:r>
    </w:p>
    <w:p>
      <w:pPr>
        <w:spacing w:after="0" w:line="15" w:lineRule="exact"/>
        <w:rPr>
          <w:rFonts w:ascii="Arial" w:cs="Arial" w:eastAsia="Arial" w:hAnsi="Arial"/>
          <w:sz w:val="14"/>
          <w:szCs w:val="14"/>
          <w:color w:val="auto"/>
        </w:rPr>
      </w:pPr>
    </w:p>
    <w:p>
      <w:pPr>
        <w:ind w:left="440" w:right="80" w:hanging="324"/>
        <w:spacing w:after="0" w:line="252" w:lineRule="auto"/>
        <w:tabs>
          <w:tab w:leader="none" w:pos="4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Of these shares, (a) 5,925,677 remain available for future issuance under our 2024 Omnibus Equity Plan and (b) 2,165,290 remain available under our 2024 Employee Stock Purchase Plan. In addition to shares issuable upon the exercise of options or rights, the shares under our 2024 Omnibus Equity Plan may also be issued other than upon such exercise.</w:t>
      </w:r>
    </w:p>
    <w:p>
      <w:pPr>
        <w:spacing w:after="0" w:line="123"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-71-</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Miscellaneous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40"/>
          <w:szCs w:val="40"/>
          <w:color w:val="0075C9"/>
        </w:rPr>
        <w:t>MISCELLANEOUS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Stockholder Rights and Proposals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Stockholder Proposals</w:t>
      </w:r>
    </w:p>
    <w:p>
      <w:pPr>
        <w:spacing w:after="0" w:line="108"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Our Fifth Amended and Restated Bylaws (Bylaws) contain provisions that address the process by which a stockholder may nominate an individual to stand for election to our Board at an annual meeting of stockholders.</w:t>
      </w:r>
    </w:p>
    <w:p>
      <w:pPr>
        <w:spacing w:after="0" w:line="61" w:lineRule="exact"/>
        <w:rPr>
          <w:sz w:val="20"/>
          <w:szCs w:val="20"/>
          <w:color w:val="auto"/>
        </w:rPr>
      </w:pPr>
    </w:p>
    <w:p>
      <w:pPr>
        <w:ind w:left="440" w:right="60" w:hanging="324"/>
        <w:spacing w:after="0" w:line="217" w:lineRule="auto"/>
        <w:tabs>
          <w:tab w:leader="none" w:pos="440" w:val="left"/>
        </w:tabs>
        <w:numPr>
          <w:ilvl w:val="0"/>
          <w:numId w:val="129"/>
        </w:numPr>
        <w:rPr>
          <w:rFonts w:ascii="Arial" w:cs="Arial" w:eastAsia="Arial" w:hAnsi="Arial"/>
          <w:sz w:val="16"/>
          <w:szCs w:val="16"/>
          <w:color w:val="0075C9"/>
        </w:rPr>
      </w:pPr>
      <w:r>
        <w:rPr>
          <w:rFonts w:ascii="Arial" w:cs="Arial" w:eastAsia="Arial" w:hAnsi="Arial"/>
          <w:sz w:val="16"/>
          <w:szCs w:val="16"/>
          <w:b w:val="1"/>
          <w:bCs w:val="1"/>
          <w:color w:val="auto"/>
        </w:rPr>
        <w:t>Stockholder Nominations Not for Inclusion in Company’s Proxy Statement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Bylaws permit stockholders to nominate directors for</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at an annual meeting. To nominate a director for consideration at an annual meeting, a nominating stockholder must provide the information required by our Bylaws, Rule 14a-19 under the Exchange Act, as applicable, and give timely notice of the nomination to our Secretary in accordance with our Bylaws, and each nominee must meet the qualifications required by our Bylaws. To nominate a director for consideration at next year’s annual meeting, stockholders must provide the notice required by our Bylaws no later than March 11, 2027, and no earlier than February 9, 2027. However, if the date of the 2027 annual meeting of stockholders is more than 30 days before or more than 60 days after the anniversary of the Annual Meeting, stockholders must provide the notice required by our Bylaws not earlier than the close of business on the 120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before the 2027 annual meeting of stockholders and not later than the close of business on the later of (1) the 90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prior to the 2027 annual meeting of stockholders and (2) the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following the day on which public announcement of the date of the 2027 annual meeting of stockholders is first made.</w:t>
      </w:r>
    </w:p>
    <w:p>
      <w:pPr>
        <w:spacing w:after="0" w:line="98" w:lineRule="exact"/>
        <w:rPr>
          <w:rFonts w:ascii="Arial" w:cs="Arial" w:eastAsia="Arial" w:hAnsi="Arial"/>
          <w:sz w:val="16"/>
          <w:szCs w:val="16"/>
          <w:color w:val="0075C9"/>
        </w:rPr>
      </w:pPr>
    </w:p>
    <w:p>
      <w:pPr>
        <w:ind w:left="440" w:right="20" w:hanging="324"/>
        <w:spacing w:after="0" w:line="250" w:lineRule="auto"/>
        <w:tabs>
          <w:tab w:leader="none" w:pos="440" w:val="left"/>
        </w:tabs>
        <w:numPr>
          <w:ilvl w:val="0"/>
          <w:numId w:val="129"/>
        </w:numPr>
        <w:rPr>
          <w:rFonts w:ascii="Arial" w:cs="Arial" w:eastAsia="Arial" w:hAnsi="Arial"/>
          <w:sz w:val="16"/>
          <w:szCs w:val="16"/>
          <w:color w:val="0075C9"/>
        </w:rPr>
      </w:pPr>
      <w:r>
        <w:rPr>
          <w:rFonts w:ascii="Arial" w:cs="Arial" w:eastAsia="Arial" w:hAnsi="Arial"/>
          <w:sz w:val="16"/>
          <w:szCs w:val="16"/>
          <w:b w:val="1"/>
          <w:bCs w:val="1"/>
          <w:color w:val="auto"/>
        </w:rPr>
        <w:t xml:space="preserve">Stockholder Nominations Under Proxy Access Bylaw. </w:t>
      </w:r>
      <w:r>
        <w:rPr>
          <w:rFonts w:ascii="Arial" w:cs="Arial" w:eastAsia="Arial" w:hAnsi="Arial"/>
          <w:sz w:val="16"/>
          <w:szCs w:val="16"/>
          <w:color w:val="auto"/>
        </w:rPr>
        <w:t>In addition, our Bylaws provide that, under certain circumstances, a stockholder or group</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stockholders may include director candidates that they have nominated in our annual meeting proxy statement. These proxy access provisions of our Bylaws provide, among other things, that a stockholder or group of up to 20 stockholders seeking to include director candidates in our annual meeting proxy statement must own 3% or more of our outstanding common stock continuously for at least the previous 3 years. The number of stockholder-nominated candidates appearing in any annual meeting proxy statement can equal up to 25% of the number of directors then serving on our Board. If 25% is not a whole number, the maximum number of stockholder-nominated candidates would be the closest whole number below 25%, subject to a minimum of one. A nominee will be counted in determining whether the 25% maximum has been reached if the nominee was included in the proxy materials as a Board-nominated candidate, if we have received notice that such nominee has been nominated by a stockholder pursuant to our Bylaws, the nominee was submitted under the proxy access procedures and later withdrawn or the nominee was nominated in any of our three preceding annual meetings and is being recommended by our Board for reelection.</w:t>
      </w:r>
    </w:p>
    <w:p>
      <w:pPr>
        <w:spacing w:after="0" w:line="81" w:lineRule="exact"/>
        <w:rPr>
          <w:sz w:val="20"/>
          <w:szCs w:val="20"/>
          <w:color w:val="auto"/>
        </w:rPr>
      </w:pPr>
    </w:p>
    <w:p>
      <w:pPr>
        <w:ind w:left="120" w:right="680"/>
        <w:spacing w:after="0" w:line="286" w:lineRule="auto"/>
        <w:rPr>
          <w:sz w:val="20"/>
          <w:szCs w:val="20"/>
          <w:color w:val="auto"/>
        </w:rPr>
      </w:pPr>
      <w:r>
        <w:rPr>
          <w:rFonts w:ascii="Arial" w:cs="Arial" w:eastAsia="Arial" w:hAnsi="Arial"/>
          <w:sz w:val="16"/>
          <w:szCs w:val="16"/>
          <w:color w:val="auto"/>
        </w:rPr>
        <w:t>The nominating stockholder or group of stockholders also must deliver the information required by our Bylaws, and each nominee must meet the qualifications required by our Bylaws.</w:t>
      </w:r>
    </w:p>
    <w:p>
      <w:pPr>
        <w:spacing w:after="0" w:line="48" w:lineRule="exact"/>
        <w:rPr>
          <w:sz w:val="20"/>
          <w:szCs w:val="20"/>
          <w:color w:val="auto"/>
        </w:rPr>
      </w:pPr>
    </w:p>
    <w:p>
      <w:pPr>
        <w:ind w:left="120" w:right="40"/>
        <w:spacing w:after="0" w:line="235" w:lineRule="auto"/>
        <w:rPr>
          <w:sz w:val="20"/>
          <w:szCs w:val="20"/>
          <w:color w:val="auto"/>
        </w:rPr>
      </w:pPr>
      <w:r>
        <w:rPr>
          <w:rFonts w:ascii="Arial" w:cs="Arial" w:eastAsia="Arial" w:hAnsi="Arial"/>
          <w:sz w:val="16"/>
          <w:szCs w:val="16"/>
          <w:color w:val="auto"/>
        </w:rPr>
        <w:t>Requests to include stockholder-nominated candidates in our proxy materials for next year’s annual meeting must be received by our Secretary no earlier than November 29, 2026, and no later than December 29, 2026. However, if the 2027 annual meeting of stockholders is called for more than 30 days earlier or later than the anniversary of the Annual Meeting, requests to include stockholder-nominated candidates in our proxy materials for the 2027 annual meeting of stockholders must be received not later than (1) the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after public announcement of the date of the 2027 annual meeting of stockholders or (2) the 60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prior to the date we file our proxy statement in connection with the 2027 annual meeting of stockholders.</w:t>
      </w:r>
    </w:p>
    <w:p>
      <w:pPr>
        <w:jc w:val="both"/>
        <w:ind w:left="440" w:right="120" w:hanging="324"/>
        <w:spacing w:after="0" w:line="257" w:lineRule="auto"/>
        <w:tabs>
          <w:tab w:leader="none" w:pos="440" w:val="left"/>
        </w:tabs>
        <w:numPr>
          <w:ilvl w:val="0"/>
          <w:numId w:val="130"/>
        </w:numPr>
        <w:rPr>
          <w:rFonts w:ascii="Arial" w:cs="Arial" w:eastAsia="Arial" w:hAnsi="Arial"/>
          <w:sz w:val="16"/>
          <w:szCs w:val="16"/>
          <w:color w:val="0075C9"/>
        </w:rPr>
      </w:pPr>
      <w:r>
        <w:rPr>
          <w:rFonts w:ascii="Arial" w:cs="Arial" w:eastAsia="Arial" w:hAnsi="Arial"/>
          <w:sz w:val="16"/>
          <w:szCs w:val="16"/>
          <w:b w:val="1"/>
          <w:bCs w:val="1"/>
          <w:color w:val="auto"/>
        </w:rPr>
        <w:t xml:space="preserve">Universal Proxy Card. </w:t>
      </w:r>
      <w:r>
        <w:rPr>
          <w:rFonts w:ascii="Arial" w:cs="Arial" w:eastAsia="Arial" w:hAnsi="Arial"/>
          <w:sz w:val="16"/>
          <w:szCs w:val="16"/>
          <w:color w:val="auto"/>
        </w:rPr>
        <w:t>In addition to satisfying the foregoing requirements under our Bylaws, to comply with the universal proxy rules,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who intend to solicit proxies in support of director nominees other than the company’s nominees must provide notice and information in accordance with Rule 14a-19 under the Exchange Act and otherwise comply with the requirements of Rule 14a-19.</w:t>
      </w:r>
    </w:p>
    <w:p>
      <w:pPr>
        <w:spacing w:after="0" w:line="124"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-72-</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2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380" w:type="dxa"/>
            <w:vAlign w:val="bottom"/>
            <w:gridSpan w:val="2"/>
          </w:tcPr>
          <w:p>
            <w:pPr>
              <w:ind w:left="3100"/>
              <w:spacing w:after="0"/>
              <w:rPr>
                <w:sz w:val="20"/>
                <w:szCs w:val="20"/>
                <w:color w:val="auto"/>
              </w:rPr>
            </w:pPr>
            <w:r>
              <w:rPr>
                <w:rFonts w:ascii="Arial" w:cs="Arial" w:eastAsia="Arial" w:hAnsi="Arial"/>
                <w:sz w:val="20"/>
                <w:szCs w:val="20"/>
                <w:color w:val="0075C9"/>
                <w:w w:val="99"/>
              </w:rPr>
              <w:t>Miscellaneous</w:t>
            </w: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4560" w:type="dxa"/>
            <w:vAlign w:val="bottom"/>
            <w:gridSpan w:val="2"/>
          </w:tcPr>
          <w:p>
            <w:pPr>
              <w:spacing w:after="0"/>
              <w:rPr>
                <w:sz w:val="10"/>
                <w:szCs w:val="10"/>
                <w:color w:val="auto"/>
              </w:rPr>
            </w:pPr>
          </w:p>
        </w:tc>
        <w:tc>
          <w:tcPr>
            <w:tcW w:w="43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100" w:type="dxa"/>
            <w:vAlign w:val="bottom"/>
            <w:tcBorders>
              <w:bottom w:val="single" w:sz="8" w:color="0075C9"/>
            </w:tcBorders>
            <w:shd w:val="clear" w:color="auto" w:fill="0075C9"/>
          </w:tcPr>
          <w:p>
            <w:pPr>
              <w:spacing w:after="0"/>
              <w:rPr>
                <w:sz w:val="20"/>
                <w:szCs w:val="20"/>
                <w:color w:val="auto"/>
              </w:rPr>
            </w:pPr>
            <w:r>
              <w:rPr>
                <w:rFonts w:ascii="Arial" w:cs="Arial" w:eastAsia="Arial" w:hAnsi="Arial"/>
                <w:sz w:val="14"/>
                <w:szCs w:val="14"/>
                <w:color w:val="FFFFFF"/>
              </w:rPr>
              <w:t>  Type</w:t>
            </w:r>
          </w:p>
        </w:tc>
        <w:tc>
          <w:tcPr>
            <w:tcW w:w="4560" w:type="dxa"/>
            <w:vAlign w:val="bottom"/>
            <w:tcBorders>
              <w:bottom w:val="single" w:sz="8" w:color="0075C9"/>
            </w:tcBorders>
            <w:gridSpan w:val="2"/>
            <w:shd w:val="clear" w:color="auto" w:fill="0075C9"/>
          </w:tcPr>
          <w:p>
            <w:pPr>
              <w:ind w:left="120"/>
              <w:spacing w:after="0"/>
              <w:rPr>
                <w:sz w:val="20"/>
                <w:szCs w:val="20"/>
                <w:color w:val="auto"/>
              </w:rPr>
            </w:pPr>
            <w:r>
              <w:rPr>
                <w:rFonts w:ascii="Arial" w:cs="Arial" w:eastAsia="Arial" w:hAnsi="Arial"/>
                <w:sz w:val="14"/>
                <w:szCs w:val="14"/>
                <w:color w:val="FFFFFF"/>
              </w:rPr>
              <w:t>Deadline</w:t>
            </w:r>
          </w:p>
        </w:tc>
        <w:tc>
          <w:tcPr>
            <w:tcW w:w="4360" w:type="dxa"/>
            <w:vAlign w:val="bottom"/>
            <w:tcBorders>
              <w:bottom w:val="single" w:sz="8" w:color="0075C9"/>
            </w:tcBorders>
            <w:shd w:val="clear" w:color="auto" w:fill="0075C9"/>
          </w:tcPr>
          <w:p>
            <w:pPr>
              <w:ind w:left="60"/>
              <w:spacing w:after="0"/>
              <w:rPr>
                <w:sz w:val="20"/>
                <w:szCs w:val="20"/>
                <w:color w:val="auto"/>
              </w:rPr>
            </w:pPr>
            <w:r>
              <w:rPr>
                <w:rFonts w:ascii="Arial" w:cs="Arial" w:eastAsia="Arial" w:hAnsi="Arial"/>
                <w:sz w:val="14"/>
                <w:szCs w:val="14"/>
                <w:color w:val="FFFFFF"/>
              </w:rPr>
              <w:t>Submission Requirements*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100" w:type="dxa"/>
            <w:vAlign w:val="bottom"/>
            <w:shd w:val="clear" w:color="auto" w:fill="E5F1F9"/>
          </w:tcPr>
          <w:p>
            <w:pPr>
              <w:spacing w:after="0" w:line="68" w:lineRule="exact"/>
              <w:rPr>
                <w:sz w:val="20"/>
                <w:szCs w:val="20"/>
                <w:color w:val="auto"/>
              </w:rPr>
            </w:pPr>
            <w:r>
              <w:rPr>
                <w:rFonts w:ascii="Arial" w:cs="Arial" w:eastAsia="Arial" w:hAnsi="Arial"/>
                <w:sz w:val="7"/>
                <w:szCs w:val="7"/>
                <w:color w:val="auto"/>
              </w:rPr>
              <w:t> </w:t>
            </w:r>
          </w:p>
        </w:tc>
        <w:tc>
          <w:tcPr>
            <w:tcW w:w="300" w:type="dxa"/>
            <w:vAlign w:val="bottom"/>
            <w:shd w:val="clear" w:color="auto" w:fill="E5F1F9"/>
          </w:tcPr>
          <w:p>
            <w:pPr>
              <w:ind w:left="120"/>
              <w:spacing w:after="0" w:line="68" w:lineRule="exact"/>
              <w:rPr>
                <w:sz w:val="20"/>
                <w:szCs w:val="20"/>
                <w:color w:val="auto"/>
              </w:rPr>
            </w:pPr>
            <w:r>
              <w:rPr>
                <w:rFonts w:ascii="Arial" w:cs="Arial" w:eastAsia="Arial" w:hAnsi="Arial"/>
                <w:sz w:val="7"/>
                <w:szCs w:val="7"/>
                <w:color w:val="auto"/>
              </w:rPr>
              <w:t> </w:t>
            </w:r>
          </w:p>
        </w:tc>
        <w:tc>
          <w:tcPr>
            <w:tcW w:w="4260" w:type="dxa"/>
            <w:vAlign w:val="bottom"/>
            <w:shd w:val="clear" w:color="auto" w:fill="E5F1F9"/>
          </w:tcPr>
          <w:p>
            <w:pPr>
              <w:spacing w:after="0"/>
              <w:rPr>
                <w:sz w:val="5"/>
                <w:szCs w:val="5"/>
                <w:color w:val="auto"/>
              </w:rPr>
            </w:pPr>
          </w:p>
        </w:tc>
        <w:tc>
          <w:tcPr>
            <w:tcW w:w="4360" w:type="dxa"/>
            <w:vAlign w:val="bottom"/>
            <w:shd w:val="clear" w:color="auto" w:fill="E5F1F9"/>
          </w:tcPr>
          <w:p>
            <w:pPr>
              <w:ind w:left="60"/>
              <w:spacing w:after="0" w:line="68" w:lineRule="exact"/>
              <w:rPr>
                <w:sz w:val="20"/>
                <w:szCs w:val="20"/>
                <w:color w:val="auto"/>
              </w:rPr>
            </w:pPr>
            <w:r>
              <w:rPr>
                <w:rFonts w:ascii="Arial" w:cs="Arial" w:eastAsia="Arial" w:hAnsi="Arial"/>
                <w:sz w:val="7"/>
                <w:szCs w:val="7"/>
                <w:color w:val="auto"/>
              </w:rPr>
              <w:t> </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E5F1F9"/>
          </w:tcPr>
          <w:p>
            <w:pPr>
              <w:ind w:left="80"/>
              <w:spacing w:after="0"/>
              <w:rPr>
                <w:sz w:val="20"/>
                <w:szCs w:val="20"/>
                <w:color w:val="auto"/>
              </w:rPr>
            </w:pPr>
            <w:r>
              <w:rPr>
                <w:rFonts w:ascii="Arial" w:cs="Arial" w:eastAsia="Arial" w:hAnsi="Arial"/>
                <w:sz w:val="16"/>
                <w:szCs w:val="16"/>
                <w:color w:val="auto"/>
              </w:rPr>
              <w:t>Proposals for inclusion in</w:t>
            </w: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No later than December 29, 2026</w:t>
            </w:r>
          </w:p>
        </w:tc>
        <w:tc>
          <w:tcPr>
            <w:tcW w:w="4360" w:type="dxa"/>
            <w:vAlign w:val="bottom"/>
            <w:shd w:val="clear" w:color="auto" w:fill="E5F1F9"/>
          </w:tcPr>
          <w:p>
            <w:pPr>
              <w:ind w:left="60"/>
              <w:spacing w:after="0"/>
              <w:rPr>
                <w:sz w:val="20"/>
                <w:szCs w:val="20"/>
                <w:color w:val="auto"/>
              </w:rPr>
            </w:pPr>
            <w:r>
              <w:rPr>
                <w:rFonts w:ascii="Arial" w:cs="Arial" w:eastAsia="Arial" w:hAnsi="Arial"/>
                <w:sz w:val="16"/>
                <w:szCs w:val="16"/>
                <w:color w:val="auto"/>
              </w:rPr>
              <w:t>Must comply with Rule 14a-8 under the 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00" w:type="dxa"/>
            <w:vAlign w:val="bottom"/>
            <w:shd w:val="clear" w:color="auto" w:fill="E5F1F9"/>
          </w:tcPr>
          <w:p>
            <w:pPr>
              <w:ind w:left="80"/>
              <w:spacing w:after="0"/>
              <w:rPr>
                <w:sz w:val="20"/>
                <w:szCs w:val="20"/>
                <w:color w:val="auto"/>
              </w:rPr>
            </w:pPr>
            <w:r>
              <w:rPr>
                <w:rFonts w:ascii="Arial" w:cs="Arial" w:eastAsia="Arial" w:hAnsi="Arial"/>
                <w:sz w:val="16"/>
                <w:szCs w:val="16"/>
                <w:color w:val="auto"/>
              </w:rPr>
              <w:t>our 2027 Proxy Materials</w:t>
            </w:r>
          </w:p>
        </w:tc>
        <w:tc>
          <w:tcPr>
            <w:tcW w:w="300" w:type="dxa"/>
            <w:vAlign w:val="bottom"/>
            <w:shd w:val="clear" w:color="auto" w:fill="E5F1F9"/>
          </w:tcPr>
          <w:p>
            <w:pPr>
              <w:spacing w:after="0"/>
              <w:rPr>
                <w:sz w:val="18"/>
                <w:szCs w:val="18"/>
                <w:color w:val="auto"/>
              </w:rPr>
            </w:pPr>
          </w:p>
        </w:tc>
        <w:tc>
          <w:tcPr>
            <w:tcW w:w="4260" w:type="dxa"/>
            <w:vAlign w:val="bottom"/>
            <w:shd w:val="clear" w:color="auto" w:fill="E5F1F9"/>
          </w:tcPr>
          <w:p>
            <w:pPr>
              <w:spacing w:after="0"/>
              <w:rPr>
                <w:sz w:val="18"/>
                <w:szCs w:val="18"/>
                <w:color w:val="auto"/>
              </w:rPr>
            </w:pPr>
          </w:p>
        </w:tc>
        <w:tc>
          <w:tcPr>
            <w:tcW w:w="4360" w:type="dxa"/>
            <w:vAlign w:val="bottom"/>
            <w:shd w:val="clear" w:color="auto" w:fill="E5F1F9"/>
          </w:tcPr>
          <w:p>
            <w:pPr>
              <w:ind w:left="60"/>
              <w:spacing w:after="0"/>
              <w:rPr>
                <w:sz w:val="20"/>
                <w:szCs w:val="20"/>
                <w:color w:val="auto"/>
              </w:rPr>
            </w:pPr>
            <w:r>
              <w:rPr>
                <w:rFonts w:ascii="Arial" w:cs="Arial" w:eastAsia="Arial" w:hAnsi="Arial"/>
                <w:sz w:val="16"/>
                <w:szCs w:val="16"/>
                <w:color w:val="auto"/>
              </w:rPr>
              <w:t>Exchange Act of 1934, as amended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100" w:type="dxa"/>
            <w:vAlign w:val="bottom"/>
            <w:shd w:val="clear" w:color="auto" w:fill="E5F1F9"/>
          </w:tcPr>
          <w:p>
            <w:pPr>
              <w:spacing w:after="0"/>
              <w:rPr>
                <w:sz w:val="6"/>
                <w:szCs w:val="6"/>
                <w:color w:val="auto"/>
              </w:rPr>
            </w:pPr>
          </w:p>
        </w:tc>
        <w:tc>
          <w:tcPr>
            <w:tcW w:w="300" w:type="dxa"/>
            <w:vAlign w:val="bottom"/>
            <w:shd w:val="clear" w:color="auto" w:fill="E5F1F9"/>
          </w:tcPr>
          <w:p>
            <w:pPr>
              <w:spacing w:after="0"/>
              <w:rPr>
                <w:sz w:val="6"/>
                <w:szCs w:val="6"/>
                <w:color w:val="auto"/>
              </w:rPr>
            </w:pPr>
          </w:p>
        </w:tc>
        <w:tc>
          <w:tcPr>
            <w:tcW w:w="4260" w:type="dxa"/>
            <w:vAlign w:val="bottom"/>
            <w:shd w:val="clear" w:color="auto" w:fill="E5F1F9"/>
          </w:tcPr>
          <w:p>
            <w:pPr>
              <w:spacing w:after="0"/>
              <w:rPr>
                <w:sz w:val="6"/>
                <w:szCs w:val="6"/>
                <w:color w:val="auto"/>
              </w:rPr>
            </w:pPr>
          </w:p>
        </w:tc>
        <w:tc>
          <w:tcPr>
            <w:tcW w:w="4360" w:type="dxa"/>
            <w:vAlign w:val="bottom"/>
            <w:shd w:val="clear" w:color="auto" w:fill="E5F1F9"/>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100" w:type="dxa"/>
            <w:vAlign w:val="bottom"/>
            <w:shd w:val="clear" w:color="auto" w:fill="B2D5EE"/>
          </w:tcPr>
          <w:p>
            <w:pPr>
              <w:spacing w:after="0" w:line="68" w:lineRule="exact"/>
              <w:rPr>
                <w:sz w:val="20"/>
                <w:szCs w:val="20"/>
                <w:color w:val="auto"/>
              </w:rPr>
            </w:pPr>
            <w:r>
              <w:rPr>
                <w:rFonts w:ascii="Arial" w:cs="Arial" w:eastAsia="Arial" w:hAnsi="Arial"/>
                <w:sz w:val="7"/>
                <w:szCs w:val="7"/>
                <w:color w:val="auto"/>
              </w:rPr>
              <w:t> </w:t>
            </w:r>
          </w:p>
        </w:tc>
        <w:tc>
          <w:tcPr>
            <w:tcW w:w="300" w:type="dxa"/>
            <w:vAlign w:val="bottom"/>
            <w:shd w:val="clear" w:color="auto" w:fill="B2D5EE"/>
          </w:tcPr>
          <w:p>
            <w:pPr>
              <w:ind w:left="120"/>
              <w:spacing w:after="0" w:line="68" w:lineRule="exact"/>
              <w:rPr>
                <w:sz w:val="20"/>
                <w:szCs w:val="20"/>
                <w:color w:val="auto"/>
              </w:rPr>
            </w:pPr>
            <w:r>
              <w:rPr>
                <w:rFonts w:ascii="Arial" w:cs="Arial" w:eastAsia="Arial" w:hAnsi="Arial"/>
                <w:sz w:val="7"/>
                <w:szCs w:val="7"/>
                <w:color w:val="auto"/>
              </w:rPr>
              <w:t> </w:t>
            </w:r>
          </w:p>
        </w:tc>
        <w:tc>
          <w:tcPr>
            <w:tcW w:w="4260" w:type="dxa"/>
            <w:vAlign w:val="bottom"/>
            <w:shd w:val="clear" w:color="auto" w:fill="B2D5EE"/>
          </w:tcPr>
          <w:p>
            <w:pPr>
              <w:spacing w:after="0"/>
              <w:rPr>
                <w:sz w:val="5"/>
                <w:szCs w:val="5"/>
                <w:color w:val="auto"/>
              </w:rPr>
            </w:pPr>
          </w:p>
        </w:tc>
        <w:tc>
          <w:tcPr>
            <w:tcW w:w="4360" w:type="dxa"/>
            <w:vAlign w:val="bottom"/>
            <w:shd w:val="clear" w:color="auto" w:fill="B2D5EE"/>
          </w:tcPr>
          <w:p>
            <w:pPr>
              <w:ind w:left="60"/>
              <w:spacing w:after="0" w:line="68" w:lineRule="exact"/>
              <w:rPr>
                <w:sz w:val="20"/>
                <w:szCs w:val="20"/>
                <w:color w:val="auto"/>
              </w:rPr>
            </w:pPr>
            <w:r>
              <w:rPr>
                <w:rFonts w:ascii="Arial" w:cs="Arial" w:eastAsia="Arial" w:hAnsi="Arial"/>
                <w:sz w:val="7"/>
                <w:szCs w:val="7"/>
                <w:color w:val="auto"/>
              </w:rPr>
              <w:t> </w:t>
            </w: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B2D5EE"/>
          </w:tcPr>
          <w:p>
            <w:pPr>
              <w:ind w:left="80"/>
              <w:spacing w:after="0"/>
              <w:rPr>
                <w:sz w:val="20"/>
                <w:szCs w:val="20"/>
                <w:color w:val="auto"/>
              </w:rPr>
            </w:pPr>
            <w:r>
              <w:rPr>
                <w:rFonts w:ascii="Arial" w:cs="Arial" w:eastAsia="Arial" w:hAnsi="Arial"/>
                <w:sz w:val="16"/>
                <w:szCs w:val="16"/>
                <w:color w:val="auto"/>
              </w:rPr>
              <w:t>Director Nominations</w:t>
            </w:r>
          </w:p>
        </w:tc>
        <w:tc>
          <w:tcPr>
            <w:tcW w:w="4560" w:type="dxa"/>
            <w:vAlign w:val="bottom"/>
            <w:gridSpan w:val="2"/>
            <w:shd w:val="clear" w:color="auto" w:fill="B2D5EE"/>
          </w:tcPr>
          <w:p>
            <w:pPr>
              <w:ind w:left="120"/>
              <w:spacing w:after="0"/>
              <w:rPr>
                <w:sz w:val="20"/>
                <w:szCs w:val="20"/>
                <w:color w:val="auto"/>
              </w:rPr>
            </w:pPr>
            <w:r>
              <w:rPr>
                <w:rFonts w:ascii="Arial" w:cs="Arial" w:eastAsia="Arial" w:hAnsi="Arial"/>
                <w:sz w:val="16"/>
                <w:szCs w:val="16"/>
                <w:color w:val="auto"/>
              </w:rPr>
              <w:t>No later than December 29, 2026</w:t>
            </w:r>
          </w:p>
        </w:tc>
        <w:tc>
          <w:tcPr>
            <w:tcW w:w="4360" w:type="dxa"/>
            <w:vAlign w:val="bottom"/>
            <w:shd w:val="clear" w:color="auto" w:fill="B2D5EE"/>
          </w:tcPr>
          <w:p>
            <w:pPr>
              <w:ind w:left="60"/>
              <w:spacing w:after="0"/>
              <w:rPr>
                <w:sz w:val="20"/>
                <w:szCs w:val="20"/>
                <w:color w:val="auto"/>
              </w:rPr>
            </w:pPr>
            <w:r>
              <w:rPr>
                <w:rFonts w:ascii="Arial" w:cs="Arial" w:eastAsia="Arial" w:hAnsi="Arial"/>
                <w:sz w:val="16"/>
                <w:szCs w:val="16"/>
                <w:color w:val="auto"/>
              </w:rPr>
              <w:t>Must include the information set forth in our Bylaws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B2D5EE"/>
          </w:tcPr>
          <w:p>
            <w:pPr>
              <w:ind w:left="80"/>
              <w:spacing w:after="0"/>
              <w:rPr>
                <w:sz w:val="20"/>
                <w:szCs w:val="20"/>
                <w:color w:val="auto"/>
              </w:rPr>
            </w:pPr>
            <w:r>
              <w:rPr>
                <w:rFonts w:ascii="Arial" w:cs="Arial" w:eastAsia="Arial" w:hAnsi="Arial"/>
                <w:sz w:val="16"/>
                <w:szCs w:val="16"/>
                <w:color w:val="auto"/>
              </w:rPr>
              <w:t>Pursuant to Our Proxy</w:t>
            </w:r>
          </w:p>
        </w:tc>
        <w:tc>
          <w:tcPr>
            <w:tcW w:w="300" w:type="dxa"/>
            <w:vAlign w:val="bottom"/>
            <w:shd w:val="clear" w:color="auto" w:fill="B2D5EE"/>
          </w:tcPr>
          <w:p>
            <w:pPr>
              <w:spacing w:after="0"/>
              <w:rPr>
                <w:sz w:val="16"/>
                <w:szCs w:val="16"/>
                <w:color w:val="auto"/>
              </w:rPr>
            </w:pPr>
          </w:p>
        </w:tc>
        <w:tc>
          <w:tcPr>
            <w:tcW w:w="4260" w:type="dxa"/>
            <w:vAlign w:val="bottom"/>
            <w:shd w:val="clear" w:color="auto" w:fill="B2D5EE"/>
          </w:tcPr>
          <w:p>
            <w:pPr>
              <w:spacing w:after="0"/>
              <w:rPr>
                <w:sz w:val="16"/>
                <w:szCs w:val="16"/>
                <w:color w:val="auto"/>
              </w:rPr>
            </w:pPr>
          </w:p>
        </w:tc>
        <w:tc>
          <w:tcPr>
            <w:tcW w:w="4360" w:type="dxa"/>
            <w:vAlign w:val="bottom"/>
            <w:shd w:val="clear" w:color="auto" w:fill="B2D5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00" w:type="dxa"/>
            <w:vAlign w:val="bottom"/>
            <w:shd w:val="clear" w:color="auto" w:fill="B2D5EE"/>
          </w:tcPr>
          <w:p>
            <w:pPr>
              <w:ind w:left="80"/>
              <w:spacing w:after="0"/>
              <w:rPr>
                <w:sz w:val="20"/>
                <w:szCs w:val="20"/>
                <w:color w:val="auto"/>
              </w:rPr>
            </w:pPr>
            <w:r>
              <w:rPr>
                <w:rFonts w:ascii="Arial" w:cs="Arial" w:eastAsia="Arial" w:hAnsi="Arial"/>
                <w:sz w:val="16"/>
                <w:szCs w:val="16"/>
                <w:color w:val="auto"/>
              </w:rPr>
              <w:t>Access By-law</w:t>
            </w:r>
          </w:p>
        </w:tc>
        <w:tc>
          <w:tcPr>
            <w:tcW w:w="300" w:type="dxa"/>
            <w:vAlign w:val="bottom"/>
            <w:shd w:val="clear" w:color="auto" w:fill="B2D5EE"/>
          </w:tcPr>
          <w:p>
            <w:pPr>
              <w:spacing w:after="0"/>
              <w:rPr>
                <w:sz w:val="18"/>
                <w:szCs w:val="18"/>
                <w:color w:val="auto"/>
              </w:rPr>
            </w:pPr>
          </w:p>
        </w:tc>
        <w:tc>
          <w:tcPr>
            <w:tcW w:w="4260" w:type="dxa"/>
            <w:vAlign w:val="bottom"/>
            <w:shd w:val="clear" w:color="auto" w:fill="B2D5EE"/>
          </w:tcPr>
          <w:p>
            <w:pPr>
              <w:spacing w:after="0"/>
              <w:rPr>
                <w:sz w:val="18"/>
                <w:szCs w:val="18"/>
                <w:color w:val="auto"/>
              </w:rPr>
            </w:pPr>
          </w:p>
        </w:tc>
        <w:tc>
          <w:tcPr>
            <w:tcW w:w="4360" w:type="dxa"/>
            <w:vAlign w:val="bottom"/>
            <w:shd w:val="clear" w:color="auto" w:fill="B2D5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100" w:type="dxa"/>
            <w:vAlign w:val="bottom"/>
            <w:shd w:val="clear" w:color="auto" w:fill="B2D5EE"/>
          </w:tcPr>
          <w:p>
            <w:pPr>
              <w:spacing w:after="0"/>
              <w:rPr>
                <w:sz w:val="6"/>
                <w:szCs w:val="6"/>
                <w:color w:val="auto"/>
              </w:rPr>
            </w:pPr>
          </w:p>
        </w:tc>
        <w:tc>
          <w:tcPr>
            <w:tcW w:w="300" w:type="dxa"/>
            <w:vAlign w:val="bottom"/>
            <w:shd w:val="clear" w:color="auto" w:fill="B2D5EE"/>
          </w:tcPr>
          <w:p>
            <w:pPr>
              <w:spacing w:after="0"/>
              <w:rPr>
                <w:sz w:val="6"/>
                <w:szCs w:val="6"/>
                <w:color w:val="auto"/>
              </w:rPr>
            </w:pPr>
          </w:p>
        </w:tc>
        <w:tc>
          <w:tcPr>
            <w:tcW w:w="4260" w:type="dxa"/>
            <w:vAlign w:val="bottom"/>
            <w:shd w:val="clear" w:color="auto" w:fill="B2D5EE"/>
          </w:tcPr>
          <w:p>
            <w:pPr>
              <w:spacing w:after="0"/>
              <w:rPr>
                <w:sz w:val="6"/>
                <w:szCs w:val="6"/>
                <w:color w:val="auto"/>
              </w:rPr>
            </w:pPr>
          </w:p>
        </w:tc>
        <w:tc>
          <w:tcPr>
            <w:tcW w:w="4360" w:type="dxa"/>
            <w:vAlign w:val="bottom"/>
            <w:shd w:val="clear" w:color="auto" w:fill="B2D5EE"/>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100" w:type="dxa"/>
            <w:vAlign w:val="bottom"/>
            <w:shd w:val="clear" w:color="auto" w:fill="E5F1F9"/>
          </w:tcPr>
          <w:p>
            <w:pPr>
              <w:spacing w:after="0" w:line="68" w:lineRule="exact"/>
              <w:rPr>
                <w:sz w:val="20"/>
                <w:szCs w:val="20"/>
                <w:color w:val="auto"/>
              </w:rPr>
            </w:pPr>
            <w:r>
              <w:rPr>
                <w:rFonts w:ascii="Arial" w:cs="Arial" w:eastAsia="Arial" w:hAnsi="Arial"/>
                <w:sz w:val="7"/>
                <w:szCs w:val="7"/>
                <w:color w:val="auto"/>
              </w:rPr>
              <w:t> </w:t>
            </w:r>
          </w:p>
        </w:tc>
        <w:tc>
          <w:tcPr>
            <w:tcW w:w="300" w:type="dxa"/>
            <w:vAlign w:val="bottom"/>
            <w:shd w:val="clear" w:color="auto" w:fill="E5F1F9"/>
          </w:tcPr>
          <w:p>
            <w:pPr>
              <w:ind w:left="120"/>
              <w:spacing w:after="0" w:line="68" w:lineRule="exact"/>
              <w:rPr>
                <w:sz w:val="20"/>
                <w:szCs w:val="20"/>
                <w:color w:val="auto"/>
              </w:rPr>
            </w:pPr>
            <w:r>
              <w:rPr>
                <w:rFonts w:ascii="Arial" w:cs="Arial" w:eastAsia="Arial" w:hAnsi="Arial"/>
                <w:sz w:val="7"/>
                <w:szCs w:val="7"/>
                <w:color w:val="auto"/>
              </w:rPr>
              <w:t> </w:t>
            </w:r>
          </w:p>
        </w:tc>
        <w:tc>
          <w:tcPr>
            <w:tcW w:w="4260" w:type="dxa"/>
            <w:vAlign w:val="bottom"/>
            <w:shd w:val="clear" w:color="auto" w:fill="E5F1F9"/>
          </w:tcPr>
          <w:p>
            <w:pPr>
              <w:spacing w:after="0"/>
              <w:rPr>
                <w:sz w:val="5"/>
                <w:szCs w:val="5"/>
                <w:color w:val="auto"/>
              </w:rPr>
            </w:pPr>
          </w:p>
        </w:tc>
        <w:tc>
          <w:tcPr>
            <w:tcW w:w="4360" w:type="dxa"/>
            <w:vAlign w:val="bottom"/>
            <w:shd w:val="clear" w:color="auto" w:fill="E5F1F9"/>
          </w:tcPr>
          <w:p>
            <w:pPr>
              <w:ind w:left="60"/>
              <w:spacing w:after="0" w:line="68" w:lineRule="exact"/>
              <w:rPr>
                <w:sz w:val="20"/>
                <w:szCs w:val="20"/>
                <w:color w:val="auto"/>
              </w:rPr>
            </w:pPr>
            <w:r>
              <w:rPr>
                <w:rFonts w:ascii="Arial" w:cs="Arial" w:eastAsia="Arial" w:hAnsi="Arial"/>
                <w:sz w:val="7"/>
                <w:szCs w:val="7"/>
                <w:color w:val="auto"/>
              </w:rPr>
              <w:t> </w:t>
            </w: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E5F1F9"/>
          </w:tcPr>
          <w:p>
            <w:pPr>
              <w:ind w:left="80"/>
              <w:spacing w:after="0"/>
              <w:rPr>
                <w:sz w:val="20"/>
                <w:szCs w:val="20"/>
                <w:color w:val="auto"/>
              </w:rPr>
            </w:pPr>
            <w:r>
              <w:rPr>
                <w:rFonts w:ascii="Arial" w:cs="Arial" w:eastAsia="Arial" w:hAnsi="Arial"/>
                <w:sz w:val="16"/>
                <w:szCs w:val="16"/>
                <w:color w:val="auto"/>
              </w:rPr>
              <w:t>Other Proposals or</w:t>
            </w: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If the 2027 annual meeting of stockholders is to be held</w:t>
            </w:r>
          </w:p>
        </w:tc>
        <w:tc>
          <w:tcPr>
            <w:tcW w:w="4360" w:type="dxa"/>
            <w:vAlign w:val="bottom"/>
            <w:shd w:val="clear" w:color="auto" w:fill="E5F1F9"/>
          </w:tcPr>
          <w:p>
            <w:pPr>
              <w:ind w:left="60"/>
              <w:spacing w:after="0"/>
              <w:rPr>
                <w:sz w:val="20"/>
                <w:szCs w:val="20"/>
                <w:color w:val="auto"/>
              </w:rPr>
            </w:pPr>
            <w:r>
              <w:rPr>
                <w:rFonts w:ascii="Arial" w:cs="Arial" w:eastAsia="Arial" w:hAnsi="Arial"/>
                <w:sz w:val="16"/>
                <w:szCs w:val="16"/>
                <w:color w:val="auto"/>
              </w:rPr>
              <w:t>Must include the information set forth in our Bylaws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E5F1F9"/>
          </w:tcPr>
          <w:p>
            <w:pPr>
              <w:ind w:left="80"/>
              <w:spacing w:after="0"/>
              <w:rPr>
                <w:sz w:val="20"/>
                <w:szCs w:val="20"/>
                <w:color w:val="auto"/>
              </w:rPr>
            </w:pPr>
            <w:r>
              <w:rPr>
                <w:rFonts w:ascii="Arial" w:cs="Arial" w:eastAsia="Arial" w:hAnsi="Arial"/>
                <w:sz w:val="16"/>
                <w:szCs w:val="16"/>
                <w:color w:val="auto"/>
              </w:rPr>
              <w:t>Nominations to be Brought</w:t>
            </w: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within 30 days before or after the anniversary of the date of</w:t>
            </w:r>
          </w:p>
        </w:tc>
        <w:tc>
          <w:tcPr>
            <w:tcW w:w="4360" w:type="dxa"/>
            <w:vAlign w:val="bottom"/>
            <w:shd w:val="clear" w:color="auto" w:fill="E5F1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E5F1F9"/>
          </w:tcPr>
          <w:p>
            <w:pPr>
              <w:ind w:left="80"/>
              <w:spacing w:after="0"/>
              <w:rPr>
                <w:sz w:val="20"/>
                <w:szCs w:val="20"/>
                <w:color w:val="auto"/>
              </w:rPr>
            </w:pPr>
            <w:r>
              <w:rPr>
                <w:rFonts w:ascii="Arial" w:cs="Arial" w:eastAsia="Arial" w:hAnsi="Arial"/>
                <w:sz w:val="16"/>
                <w:szCs w:val="16"/>
                <w:color w:val="auto"/>
              </w:rPr>
              <w:t>before Our 2027 Annual</w:t>
            </w: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this year’s Annual Meeting (June 9, 2026), then Biogen must</w:t>
            </w:r>
          </w:p>
        </w:tc>
        <w:tc>
          <w:tcPr>
            <w:tcW w:w="4360" w:type="dxa"/>
            <w:vAlign w:val="bottom"/>
            <w:shd w:val="clear" w:color="auto" w:fill="E5F1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E5F1F9"/>
          </w:tcPr>
          <w:p>
            <w:pPr>
              <w:ind w:left="80"/>
              <w:spacing w:after="0"/>
              <w:rPr>
                <w:sz w:val="20"/>
                <w:szCs w:val="20"/>
                <w:color w:val="auto"/>
              </w:rPr>
            </w:pPr>
            <w:r>
              <w:rPr>
                <w:rFonts w:ascii="Arial" w:cs="Arial" w:eastAsia="Arial" w:hAnsi="Arial"/>
                <w:sz w:val="16"/>
                <w:szCs w:val="16"/>
                <w:color w:val="auto"/>
              </w:rPr>
              <w:t>Meeting of Stockholders</w:t>
            </w: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receive your notice not less than 90 days nor more than 120</w:t>
            </w:r>
          </w:p>
        </w:tc>
        <w:tc>
          <w:tcPr>
            <w:tcW w:w="4360" w:type="dxa"/>
            <w:vAlign w:val="bottom"/>
            <w:shd w:val="clear" w:color="auto" w:fill="E5F1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E5F1F9"/>
          </w:tcPr>
          <w:p>
            <w:pPr>
              <w:spacing w:after="0"/>
              <w:rPr>
                <w:sz w:val="16"/>
                <w:szCs w:val="16"/>
                <w:color w:val="auto"/>
              </w:rPr>
            </w:pP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days in advance of the anniversary of the 2026 Annual</w:t>
            </w:r>
          </w:p>
        </w:tc>
        <w:tc>
          <w:tcPr>
            <w:tcW w:w="4360" w:type="dxa"/>
            <w:vAlign w:val="bottom"/>
            <w:shd w:val="clear" w:color="auto" w:fill="E5F1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E5F1F9"/>
          </w:tcPr>
          <w:p>
            <w:pPr>
              <w:spacing w:after="0"/>
              <w:rPr>
                <w:sz w:val="16"/>
                <w:szCs w:val="16"/>
                <w:color w:val="auto"/>
              </w:rPr>
            </w:pP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Meeting, or no earlier than February 9, 2027 and no later</w:t>
            </w:r>
          </w:p>
        </w:tc>
        <w:tc>
          <w:tcPr>
            <w:tcW w:w="4360" w:type="dxa"/>
            <w:vAlign w:val="bottom"/>
            <w:shd w:val="clear" w:color="auto" w:fill="E5F1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00" w:type="dxa"/>
            <w:vAlign w:val="bottom"/>
            <w:shd w:val="clear" w:color="auto" w:fill="E5F1F9"/>
          </w:tcPr>
          <w:p>
            <w:pPr>
              <w:spacing w:after="0"/>
              <w:rPr>
                <w:sz w:val="18"/>
                <w:szCs w:val="18"/>
                <w:color w:val="auto"/>
              </w:rPr>
            </w:pP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than March 11, 2027.</w:t>
            </w:r>
          </w:p>
        </w:tc>
        <w:tc>
          <w:tcPr>
            <w:tcW w:w="4360" w:type="dxa"/>
            <w:vAlign w:val="bottom"/>
            <w:shd w:val="clear" w:color="auto" w:fill="E5F1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100" w:type="dxa"/>
            <w:vAlign w:val="bottom"/>
            <w:shd w:val="clear" w:color="auto" w:fill="E5F1F9"/>
          </w:tcPr>
          <w:p>
            <w:pPr>
              <w:spacing w:after="0"/>
              <w:rPr>
                <w:sz w:val="24"/>
                <w:szCs w:val="24"/>
                <w:color w:val="auto"/>
              </w:rPr>
            </w:pP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If the 2027 annual meeting of stockholders is to be held on a</w:t>
            </w:r>
          </w:p>
        </w:tc>
        <w:tc>
          <w:tcPr>
            <w:tcW w:w="4360" w:type="dxa"/>
            <w:vAlign w:val="bottom"/>
            <w:shd w:val="clear" w:color="auto" w:fill="E5F1F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E5F1F9"/>
          </w:tcPr>
          <w:p>
            <w:pPr>
              <w:spacing w:after="0"/>
              <w:rPr>
                <w:sz w:val="16"/>
                <w:szCs w:val="16"/>
                <w:color w:val="auto"/>
              </w:rPr>
            </w:pP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date not within 30 days before or after such anniversary, then</w:t>
            </w:r>
          </w:p>
        </w:tc>
        <w:tc>
          <w:tcPr>
            <w:tcW w:w="4360" w:type="dxa"/>
            <w:vAlign w:val="bottom"/>
            <w:shd w:val="clear" w:color="auto" w:fill="E5F1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E5F1F9"/>
          </w:tcPr>
          <w:p>
            <w:pPr>
              <w:spacing w:after="0"/>
              <w:rPr>
                <w:sz w:val="16"/>
                <w:szCs w:val="16"/>
                <w:color w:val="auto"/>
              </w:rPr>
            </w:pPr>
          </w:p>
        </w:tc>
        <w:tc>
          <w:tcPr>
            <w:tcW w:w="4560" w:type="dxa"/>
            <w:vAlign w:val="bottom"/>
            <w:gridSpan w:val="2"/>
            <w:shd w:val="clear" w:color="auto" w:fill="E5F1F9"/>
          </w:tcPr>
          <w:p>
            <w:pPr>
              <w:ind w:left="120"/>
              <w:spacing w:after="0" w:line="189" w:lineRule="exact"/>
              <w:rPr>
                <w:sz w:val="20"/>
                <w:szCs w:val="20"/>
                <w:color w:val="auto"/>
              </w:rPr>
            </w:pPr>
            <w:r>
              <w:rPr>
                <w:rFonts w:ascii="Arial" w:cs="Arial" w:eastAsia="Arial" w:hAnsi="Arial"/>
                <w:sz w:val="14"/>
                <w:szCs w:val="14"/>
                <w:color w:val="auto"/>
              </w:rPr>
              <w:t>Biogen must receive it no earlier than 120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days before the</w:t>
            </w:r>
          </w:p>
        </w:tc>
        <w:tc>
          <w:tcPr>
            <w:tcW w:w="4360" w:type="dxa"/>
            <w:vAlign w:val="bottom"/>
            <w:shd w:val="clear" w:color="auto" w:fill="E5F1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00" w:type="dxa"/>
            <w:vAlign w:val="bottom"/>
            <w:shd w:val="clear" w:color="auto" w:fill="E5F1F9"/>
          </w:tcPr>
          <w:p>
            <w:pPr>
              <w:spacing w:after="0"/>
              <w:rPr>
                <w:sz w:val="18"/>
                <w:szCs w:val="18"/>
                <w:color w:val="auto"/>
              </w:rPr>
            </w:pPr>
          </w:p>
        </w:tc>
        <w:tc>
          <w:tcPr>
            <w:tcW w:w="4560" w:type="dxa"/>
            <w:vAlign w:val="bottom"/>
            <w:gridSpan w:val="2"/>
            <w:shd w:val="clear" w:color="auto" w:fill="E5F1F9"/>
          </w:tcPr>
          <w:p>
            <w:pPr>
              <w:ind w:left="120"/>
              <w:spacing w:after="0"/>
              <w:rPr>
                <w:sz w:val="20"/>
                <w:szCs w:val="20"/>
                <w:color w:val="auto"/>
              </w:rPr>
            </w:pPr>
            <w:r>
              <w:rPr>
                <w:rFonts w:ascii="Arial" w:cs="Arial" w:eastAsia="Arial" w:hAnsi="Arial"/>
                <w:sz w:val="16"/>
                <w:szCs w:val="16"/>
                <w:color w:val="auto"/>
              </w:rPr>
              <w:t>annual meeting and no later than the later to occur of:</w:t>
            </w:r>
          </w:p>
        </w:tc>
        <w:tc>
          <w:tcPr>
            <w:tcW w:w="4360" w:type="dxa"/>
            <w:vAlign w:val="bottom"/>
            <w:shd w:val="clear" w:color="auto" w:fill="E5F1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100" w:type="dxa"/>
            <w:vAlign w:val="bottom"/>
            <w:shd w:val="clear" w:color="auto" w:fill="E5F1F9"/>
          </w:tcPr>
          <w:p>
            <w:pPr>
              <w:spacing w:after="0"/>
              <w:rPr>
                <w:sz w:val="24"/>
                <w:szCs w:val="24"/>
                <w:color w:val="auto"/>
              </w:rPr>
            </w:pPr>
          </w:p>
        </w:tc>
        <w:tc>
          <w:tcPr>
            <w:tcW w:w="300" w:type="dxa"/>
            <w:vAlign w:val="bottom"/>
            <w:shd w:val="clear" w:color="auto" w:fill="E5F1F9"/>
          </w:tcPr>
          <w:p>
            <w:pPr>
              <w:ind w:left="120"/>
              <w:spacing w:after="0"/>
              <w:rPr>
                <w:sz w:val="20"/>
                <w:szCs w:val="20"/>
                <w:color w:val="auto"/>
              </w:rPr>
            </w:pPr>
            <w:r>
              <w:rPr>
                <w:rFonts w:ascii="Arial" w:cs="Arial" w:eastAsia="Arial" w:hAnsi="Arial"/>
                <w:sz w:val="16"/>
                <w:szCs w:val="16"/>
                <w:color w:val="0075C9"/>
              </w:rPr>
              <w:t>•</w:t>
            </w:r>
          </w:p>
        </w:tc>
        <w:tc>
          <w:tcPr>
            <w:tcW w:w="4260" w:type="dxa"/>
            <w:vAlign w:val="bottom"/>
            <w:shd w:val="clear" w:color="auto" w:fill="E5F1F9"/>
          </w:tcPr>
          <w:p>
            <w:pPr>
              <w:ind w:left="140"/>
              <w:spacing w:after="0"/>
              <w:rPr>
                <w:sz w:val="20"/>
                <w:szCs w:val="20"/>
                <w:color w:val="auto"/>
              </w:rPr>
            </w:pPr>
            <w:r>
              <w:rPr>
                <w:rFonts w:ascii="Arial" w:cs="Arial" w:eastAsia="Arial" w:hAnsi="Arial"/>
                <w:sz w:val="16"/>
                <w:szCs w:val="16"/>
                <w:color w:val="auto"/>
              </w:rPr>
              <w:t>90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before the 2027 annual meeting of</w:t>
            </w:r>
          </w:p>
        </w:tc>
        <w:tc>
          <w:tcPr>
            <w:tcW w:w="4360" w:type="dxa"/>
            <w:vAlign w:val="bottom"/>
            <w:shd w:val="clear" w:color="auto" w:fill="E5F1F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100" w:type="dxa"/>
            <w:vAlign w:val="bottom"/>
            <w:shd w:val="clear" w:color="auto" w:fill="E5F1F9"/>
          </w:tcPr>
          <w:p>
            <w:pPr>
              <w:spacing w:after="0"/>
              <w:rPr>
                <w:sz w:val="18"/>
                <w:szCs w:val="18"/>
                <w:color w:val="auto"/>
              </w:rPr>
            </w:pPr>
          </w:p>
        </w:tc>
        <w:tc>
          <w:tcPr>
            <w:tcW w:w="300" w:type="dxa"/>
            <w:vAlign w:val="bottom"/>
            <w:shd w:val="clear" w:color="auto" w:fill="E5F1F9"/>
          </w:tcPr>
          <w:p>
            <w:pPr>
              <w:spacing w:after="0"/>
              <w:rPr>
                <w:sz w:val="18"/>
                <w:szCs w:val="18"/>
                <w:color w:val="auto"/>
              </w:rPr>
            </w:pPr>
          </w:p>
        </w:tc>
        <w:tc>
          <w:tcPr>
            <w:tcW w:w="4260" w:type="dxa"/>
            <w:vAlign w:val="bottom"/>
            <w:shd w:val="clear" w:color="auto" w:fill="E5F1F9"/>
          </w:tcPr>
          <w:p>
            <w:pPr>
              <w:ind w:left="140"/>
              <w:spacing w:after="0"/>
              <w:rPr>
                <w:sz w:val="20"/>
                <w:szCs w:val="20"/>
                <w:color w:val="auto"/>
              </w:rPr>
            </w:pPr>
            <w:r>
              <w:rPr>
                <w:rFonts w:ascii="Arial" w:cs="Arial" w:eastAsia="Arial" w:hAnsi="Arial"/>
                <w:sz w:val="16"/>
                <w:szCs w:val="16"/>
                <w:color w:val="auto"/>
              </w:rPr>
              <w:t>stockholders; or</w:t>
            </w:r>
          </w:p>
        </w:tc>
        <w:tc>
          <w:tcPr>
            <w:tcW w:w="4360" w:type="dxa"/>
            <w:vAlign w:val="bottom"/>
            <w:shd w:val="clear" w:color="auto" w:fill="E5F1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100" w:type="dxa"/>
            <w:vAlign w:val="bottom"/>
            <w:shd w:val="clear" w:color="auto" w:fill="E5F1F9"/>
          </w:tcPr>
          <w:p>
            <w:pPr>
              <w:spacing w:after="0"/>
              <w:rPr>
                <w:sz w:val="24"/>
                <w:szCs w:val="24"/>
                <w:color w:val="auto"/>
              </w:rPr>
            </w:pPr>
          </w:p>
        </w:tc>
        <w:tc>
          <w:tcPr>
            <w:tcW w:w="300" w:type="dxa"/>
            <w:vAlign w:val="bottom"/>
            <w:shd w:val="clear" w:color="auto" w:fill="E5F1F9"/>
          </w:tcPr>
          <w:p>
            <w:pPr>
              <w:ind w:left="120"/>
              <w:spacing w:after="0"/>
              <w:rPr>
                <w:sz w:val="20"/>
                <w:szCs w:val="20"/>
                <w:color w:val="auto"/>
              </w:rPr>
            </w:pPr>
            <w:r>
              <w:rPr>
                <w:rFonts w:ascii="Arial" w:cs="Arial" w:eastAsia="Arial" w:hAnsi="Arial"/>
                <w:sz w:val="16"/>
                <w:szCs w:val="16"/>
                <w:color w:val="0075C9"/>
              </w:rPr>
              <w:t>•</w:t>
            </w:r>
          </w:p>
        </w:tc>
        <w:tc>
          <w:tcPr>
            <w:tcW w:w="4260" w:type="dxa"/>
            <w:vAlign w:val="bottom"/>
            <w:shd w:val="clear" w:color="auto" w:fill="E5F1F9"/>
          </w:tcPr>
          <w:p>
            <w:pPr>
              <w:ind w:left="140"/>
              <w:spacing w:after="0"/>
              <w:rPr>
                <w:sz w:val="20"/>
                <w:szCs w:val="20"/>
                <w:color w:val="auto"/>
              </w:rPr>
            </w:pPr>
            <w:r>
              <w:rPr>
                <w:rFonts w:ascii="Arial" w:cs="Arial" w:eastAsia="Arial" w:hAnsi="Arial"/>
                <w:sz w:val="16"/>
                <w:szCs w:val="16"/>
                <w:color w:val="auto"/>
              </w:rPr>
              <w:t>The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following the day on which public</w:t>
            </w:r>
          </w:p>
        </w:tc>
        <w:tc>
          <w:tcPr>
            <w:tcW w:w="4360" w:type="dxa"/>
            <w:vAlign w:val="bottom"/>
            <w:shd w:val="clear" w:color="auto" w:fill="E5F1F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E5F1F9"/>
          </w:tcPr>
          <w:p>
            <w:pPr>
              <w:spacing w:after="0"/>
              <w:rPr>
                <w:sz w:val="16"/>
                <w:szCs w:val="16"/>
                <w:color w:val="auto"/>
              </w:rPr>
            </w:pPr>
          </w:p>
        </w:tc>
        <w:tc>
          <w:tcPr>
            <w:tcW w:w="300" w:type="dxa"/>
            <w:vAlign w:val="bottom"/>
            <w:shd w:val="clear" w:color="auto" w:fill="E5F1F9"/>
          </w:tcPr>
          <w:p>
            <w:pPr>
              <w:spacing w:after="0"/>
              <w:rPr>
                <w:sz w:val="16"/>
                <w:szCs w:val="16"/>
                <w:color w:val="auto"/>
              </w:rPr>
            </w:pPr>
          </w:p>
        </w:tc>
        <w:tc>
          <w:tcPr>
            <w:tcW w:w="4260" w:type="dxa"/>
            <w:vAlign w:val="bottom"/>
            <w:shd w:val="clear" w:color="auto" w:fill="E5F1F9"/>
          </w:tcPr>
          <w:p>
            <w:pPr>
              <w:ind w:left="140"/>
              <w:spacing w:after="0"/>
              <w:rPr>
                <w:sz w:val="20"/>
                <w:szCs w:val="20"/>
                <w:color w:val="auto"/>
              </w:rPr>
            </w:pPr>
            <w:r>
              <w:rPr>
                <w:rFonts w:ascii="Arial" w:cs="Arial" w:eastAsia="Arial" w:hAnsi="Arial"/>
                <w:sz w:val="16"/>
                <w:szCs w:val="16"/>
                <w:color w:val="auto"/>
              </w:rPr>
              <w:t>announcement of the date of the 2027 annual meeting</w:t>
            </w:r>
          </w:p>
        </w:tc>
        <w:tc>
          <w:tcPr>
            <w:tcW w:w="4360" w:type="dxa"/>
            <w:vAlign w:val="bottom"/>
            <w:shd w:val="clear" w:color="auto" w:fill="E5F1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100" w:type="dxa"/>
            <w:vAlign w:val="bottom"/>
            <w:tcBorders>
              <w:bottom w:val="single" w:sz="8" w:color="E5F1F9"/>
            </w:tcBorders>
            <w:shd w:val="clear" w:color="auto" w:fill="E5F1F9"/>
          </w:tcPr>
          <w:p>
            <w:pPr>
              <w:spacing w:after="0"/>
              <w:rPr>
                <w:sz w:val="21"/>
                <w:szCs w:val="21"/>
                <w:color w:val="auto"/>
              </w:rPr>
            </w:pPr>
          </w:p>
        </w:tc>
        <w:tc>
          <w:tcPr>
            <w:tcW w:w="300" w:type="dxa"/>
            <w:vAlign w:val="bottom"/>
            <w:tcBorders>
              <w:bottom w:val="single" w:sz="8" w:color="E5F1F9"/>
            </w:tcBorders>
            <w:shd w:val="clear" w:color="auto" w:fill="E5F1F9"/>
          </w:tcPr>
          <w:p>
            <w:pPr>
              <w:spacing w:after="0"/>
              <w:rPr>
                <w:sz w:val="21"/>
                <w:szCs w:val="21"/>
                <w:color w:val="auto"/>
              </w:rPr>
            </w:pPr>
          </w:p>
        </w:tc>
        <w:tc>
          <w:tcPr>
            <w:tcW w:w="4260" w:type="dxa"/>
            <w:vAlign w:val="bottom"/>
            <w:tcBorders>
              <w:bottom w:val="single" w:sz="8" w:color="E5F1F9"/>
            </w:tcBorders>
            <w:shd w:val="clear" w:color="auto" w:fill="E5F1F9"/>
          </w:tcPr>
          <w:p>
            <w:pPr>
              <w:ind w:left="140"/>
              <w:spacing w:after="0"/>
              <w:rPr>
                <w:sz w:val="20"/>
                <w:szCs w:val="20"/>
                <w:color w:val="auto"/>
              </w:rPr>
            </w:pPr>
            <w:r>
              <w:rPr>
                <w:rFonts w:ascii="Arial" w:cs="Arial" w:eastAsia="Arial" w:hAnsi="Arial"/>
                <w:sz w:val="16"/>
                <w:szCs w:val="16"/>
                <w:color w:val="auto"/>
              </w:rPr>
              <w:t>of stockholders is first made.</w:t>
            </w:r>
          </w:p>
        </w:tc>
        <w:tc>
          <w:tcPr>
            <w:tcW w:w="4360" w:type="dxa"/>
            <w:vAlign w:val="bottom"/>
            <w:tcBorders>
              <w:bottom w:val="single" w:sz="8" w:color="E5F1F9"/>
            </w:tcBorders>
            <w:shd w:val="clear" w:color="auto" w:fill="E5F1F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hanging="324"/>
        <w:spacing w:after="0"/>
        <w:tabs>
          <w:tab w:leader="none" w:pos="440" w:val="left"/>
        </w:tabs>
        <w:numPr>
          <w:ilvl w:val="0"/>
          <w:numId w:val="131"/>
        </w:numPr>
        <w:rPr>
          <w:rFonts w:ascii="Arial" w:cs="Arial" w:eastAsia="Arial" w:hAnsi="Arial"/>
          <w:sz w:val="16"/>
          <w:szCs w:val="16"/>
          <w:color w:val="0075C9"/>
        </w:rPr>
      </w:pPr>
      <w:r>
        <w:rPr>
          <w:rFonts w:ascii="Arial" w:cs="Arial" w:eastAsia="Arial" w:hAnsi="Arial"/>
          <w:sz w:val="16"/>
          <w:szCs w:val="16"/>
          <w:color w:val="auto"/>
        </w:rPr>
        <w:t>Proposals and/or nominations must be received at our principal offices at 225 Binney Street, Cambridge, Massachusetts 02142, Attention: Secretary</w:t>
      </w:r>
    </w:p>
    <w:p>
      <w:pPr>
        <w:spacing w:after="0" w:line="113"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For any other meeting, nominations (other than by proxy access) or items of business must be received by the 10th day following the date on which public disclosure of the date of the meeting is made.</w:t>
      </w:r>
    </w:p>
    <w:p>
      <w:pPr>
        <w:spacing w:after="0" w:line="48"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auto"/>
        </w:rPr>
        <w:t>Upon written request, we will provide, without charge, a copy of our Bylaws. Requests should be directed to our principal offices at 225 Binney Street, Cambridge, Massachusetts 02142, Attention: Secretary.</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Stockholder Rights</w:t>
      </w:r>
    </w:p>
    <w:p>
      <w:pPr>
        <w:spacing w:after="0" w:line="122" w:lineRule="exact"/>
        <w:rPr>
          <w:sz w:val="20"/>
          <w:szCs w:val="20"/>
          <w:color w:val="auto"/>
        </w:rPr>
      </w:pPr>
    </w:p>
    <w:p>
      <w:pPr>
        <w:ind w:left="440" w:hanging="324"/>
        <w:spacing w:after="0"/>
        <w:tabs>
          <w:tab w:leader="none" w:pos="440" w:val="left"/>
        </w:tabs>
        <w:numPr>
          <w:ilvl w:val="0"/>
          <w:numId w:val="132"/>
        </w:numPr>
        <w:rPr>
          <w:rFonts w:ascii="Arial" w:cs="Arial" w:eastAsia="Arial" w:hAnsi="Arial"/>
          <w:sz w:val="16"/>
          <w:szCs w:val="16"/>
          <w:color w:val="0075C9"/>
        </w:rPr>
      </w:pPr>
      <w:r>
        <w:rPr>
          <w:rFonts w:ascii="Arial" w:cs="Arial" w:eastAsia="Arial" w:hAnsi="Arial"/>
          <w:sz w:val="16"/>
          <w:szCs w:val="16"/>
          <w:b w:val="1"/>
          <w:bCs w:val="1"/>
          <w:color w:val="auto"/>
        </w:rPr>
        <w:t xml:space="preserve">No Supermajority Vote Provisions. </w:t>
      </w:r>
      <w:r>
        <w:rPr>
          <w:rFonts w:ascii="Arial" w:cs="Arial" w:eastAsia="Arial" w:hAnsi="Arial"/>
          <w:sz w:val="16"/>
          <w:szCs w:val="16"/>
          <w:color w:val="auto"/>
        </w:rPr>
        <w:t>We have a simple majority voting standard to amend our Certificate of Incorporation and Bylaws.</w:t>
      </w:r>
    </w:p>
    <w:p>
      <w:pPr>
        <w:spacing w:after="0" w:line="126" w:lineRule="exact"/>
        <w:rPr>
          <w:rFonts w:ascii="Arial" w:cs="Arial" w:eastAsia="Arial" w:hAnsi="Arial"/>
          <w:sz w:val="16"/>
          <w:szCs w:val="16"/>
          <w:color w:val="0075C9"/>
        </w:rPr>
      </w:pPr>
    </w:p>
    <w:p>
      <w:pPr>
        <w:ind w:left="440" w:hanging="324"/>
        <w:spacing w:after="0"/>
        <w:tabs>
          <w:tab w:leader="none" w:pos="440" w:val="left"/>
        </w:tabs>
        <w:numPr>
          <w:ilvl w:val="0"/>
          <w:numId w:val="132"/>
        </w:numPr>
        <w:rPr>
          <w:rFonts w:ascii="Arial" w:cs="Arial" w:eastAsia="Arial" w:hAnsi="Arial"/>
          <w:sz w:val="16"/>
          <w:szCs w:val="16"/>
          <w:color w:val="0075C9"/>
        </w:rPr>
      </w:pPr>
      <w:r>
        <w:rPr>
          <w:rFonts w:ascii="Arial" w:cs="Arial" w:eastAsia="Arial" w:hAnsi="Arial"/>
          <w:sz w:val="16"/>
          <w:szCs w:val="16"/>
          <w:b w:val="1"/>
          <w:bCs w:val="1"/>
          <w:color w:val="auto"/>
        </w:rPr>
        <w:t xml:space="preserve">No Poison Pill. </w:t>
      </w:r>
      <w:r>
        <w:rPr>
          <w:rFonts w:ascii="Arial" w:cs="Arial" w:eastAsia="Arial" w:hAnsi="Arial"/>
          <w:sz w:val="16"/>
          <w:szCs w:val="16"/>
          <w:color w:val="auto"/>
        </w:rPr>
        <w:t>We do not have a stockholder rights plan, or poison pill.</w:t>
      </w:r>
    </w:p>
    <w:p>
      <w:pPr>
        <w:spacing w:after="0" w:line="126" w:lineRule="exact"/>
        <w:rPr>
          <w:rFonts w:ascii="Arial" w:cs="Arial" w:eastAsia="Arial" w:hAnsi="Arial"/>
          <w:sz w:val="16"/>
          <w:szCs w:val="16"/>
          <w:color w:val="0075C9"/>
        </w:rPr>
      </w:pPr>
    </w:p>
    <w:p>
      <w:pPr>
        <w:ind w:left="440" w:hanging="324"/>
        <w:spacing w:after="0"/>
        <w:tabs>
          <w:tab w:leader="none" w:pos="440" w:val="left"/>
        </w:tabs>
        <w:numPr>
          <w:ilvl w:val="0"/>
          <w:numId w:val="132"/>
        </w:numPr>
        <w:rPr>
          <w:rFonts w:ascii="Arial" w:cs="Arial" w:eastAsia="Arial" w:hAnsi="Arial"/>
          <w:sz w:val="16"/>
          <w:szCs w:val="16"/>
          <w:color w:val="0075C9"/>
        </w:rPr>
      </w:pPr>
      <w:r>
        <w:rPr>
          <w:rFonts w:ascii="Arial" w:cs="Arial" w:eastAsia="Arial" w:hAnsi="Arial"/>
          <w:sz w:val="16"/>
          <w:szCs w:val="16"/>
          <w:b w:val="1"/>
          <w:bCs w:val="1"/>
          <w:color w:val="auto"/>
        </w:rPr>
        <w:t xml:space="preserve">Single Class of Shares. </w:t>
      </w:r>
      <w:r>
        <w:rPr>
          <w:rFonts w:ascii="Arial" w:cs="Arial" w:eastAsia="Arial" w:hAnsi="Arial"/>
          <w:sz w:val="16"/>
          <w:szCs w:val="16"/>
          <w:color w:val="auto"/>
        </w:rPr>
        <w:t>We have a single class of stock with equal voting rights. One share equals one vote.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Other Stockholder Communications</w:t>
      </w:r>
    </w:p>
    <w:p>
      <w:pPr>
        <w:spacing w:after="0" w:line="108"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Generally, stockholders who have questions or concerns should contact our Investor Relations department at (781) 464-2442. However, stockholders who wish to communicate directly with our Board, or any individual director, should direct questions in writing to our Secretary, Biogen Inc., 225 Binney Street, Cambridge, Massachusetts 02142. Communications addressed in this manner will be forwarded directly to our Board or named individual director(s).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Incorporation by Reference</w:t>
      </w:r>
    </w:p>
    <w:p>
      <w:pPr>
        <w:spacing w:after="0" w:line="108"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 xml:space="preserve">Notwithstanding anything to the contrary set forth in any of our previous filings under the securities laws that might incorporate future filings, including this Proxy Statement, in whole or in part, the Compensation Committee Report, the Audit Committee Report, the content of </w:t>
      </w:r>
      <w:r>
        <w:rPr>
          <w:rFonts w:ascii="Arial" w:cs="Arial" w:eastAsia="Arial" w:hAnsi="Arial"/>
          <w:sz w:val="16"/>
          <w:szCs w:val="16"/>
          <w:i w:val="1"/>
          <w:iCs w:val="1"/>
          <w:color w:val="auto"/>
        </w:rPr>
        <w:t>www.biogen.com</w:t>
      </w:r>
      <w:r>
        <w:rPr>
          <w:rFonts w:ascii="Arial" w:cs="Arial" w:eastAsia="Arial" w:hAnsi="Arial"/>
          <w:sz w:val="16"/>
          <w:szCs w:val="16"/>
          <w:color w:val="auto"/>
        </w:rPr>
        <w:t>, including the charters of the committees of our Board, Corporate Governance Principles, Related Person Transaction Policy, Conflicts of Interest Policy, Global Insider Trading and Information Policy, Code of Business Conduct, Certificate of Incorporation and Bylaws, included or referenced in this Proxy Statement shall not be incorporated by reference into any such filings.</w:t>
      </w:r>
    </w:p>
    <w:p>
      <w:pPr>
        <w:spacing w:after="0" w:line="126"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-73-</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Miscellaneous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Forward-Looking Statements</w:t>
      </w:r>
    </w:p>
    <w:p>
      <w:pPr>
        <w:spacing w:after="0" w:line="108"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This proxy statement contains forward-looking statements, relating to, among others, our strategy and plans; potential of, and expectations for, our commercial business and pipeline programs; capital allocation and investment strategy; the potential acquisition of Apellis Pharmaceuticals, Inc. and the anticipated benefits thereof; clinical development programs, clinical trials, and data readouts and presentations; regulatory discussions, submissions, filings, and approvals; the potential benefits, safety, and efficacy of our and our collaboration partners’ products and investigational therapies; the anticipated benefits and potential of investments, optimization of the cost structure including our “Fit for Growth” program, actions to improve risk profile and productivity of R&amp;D pipeline, collaborations, and business development activities; and our future financial and operating results. These forward-looking statements may be accompanied by such words as “aim,” “anticipate,” “assume,” “believe,” “contemplate,” “continue,” “could,” “estimate,” “expect,” “forecast,” “goal,” “guidance,” “hope,” “intend,” “may,” “objective,” “outlook,” “plan,” “possible,” “potential,” “predict,” “project,” “prospect,” “should,” “target,” “will,” “would” or the negative of these words or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Given their forward-looking nature, these statements involve substantial risks and uncertainties that may be based on inaccurate assumptions and could cause actual results to differ materially from those reflected in such statements.</w:t>
      </w:r>
    </w:p>
    <w:p>
      <w:pPr>
        <w:spacing w:after="0" w:line="83"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our control and could cause future events or results to differ materially from those stated or implied in this document, including, among others, uncertainty of our long-term success in developing, licensing, or acquiring other product candidates or additional indications for existing products; expectations, plans, prospects and timing of actions relating to product approvals, approvals of additional indications for our existing products, sales, pricing, growth, reimbursement and launch of our marketed and pipeline products; the potential impact of increased product competition in the biopharmaceutical and healthcare industries, as well as any other markets in which we compete, including increased competition from new originator therapies, generics, prodrugs and biosimilars of existing products and products approved under abbreviated regulatory pathways; our ability to effectively implement our corporate strategy; difficulties in obtaining and maintaining adequate coverage, pricing, and reimbursement for our products; the drivers for growing our business, including our dependence on collaborators and other third parties for the development, regulatory approval, and commercialization of products and other aspects of our business, which are outside of our full control; risks related to commercialization of biosimilars, which is subject to such risks related to our reliance on third parties, intellectual property, competitive and market challenges and regulatory compliance;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and the occurrence of adverse safety events, restrictions on use with our products, or product liability claims; risks that the potential acquisition of Apellis Pharmaceuticals, Inc. may not be completed on the anticipated timeline or at all; and any other risks and uncertainties that are described in other reports we have filed with the U.S. Securities and Exchange Commission, which are available on the SEC’s website at www.sec.gov.</w:t>
      </w:r>
    </w:p>
    <w:p>
      <w:pPr>
        <w:spacing w:after="0" w:line="276"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These statements speak only as of the date of this proxy statement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Except as required by law, we do not undertake any obligation to publicly update any forward-looking statements whether as a result of any new information, future events, changed circumstances or otherwise.</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Note Regarding Trademarks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QALSODY</w:t>
      </w:r>
      <w:r>
        <w:rPr>
          <w:rFonts w:ascii="Arial" w:cs="Arial" w:eastAsia="Arial" w:hAnsi="Arial"/>
          <w:sz w:val="24"/>
          <w:szCs w:val="24"/>
          <w:color w:val="auto"/>
          <w:vertAlign w:val="superscript"/>
        </w:rPr>
        <w:t>®</w:t>
      </w:r>
      <w:r>
        <w:rPr>
          <w:rFonts w:ascii="Arial" w:cs="Arial" w:eastAsia="Arial" w:hAnsi="Arial"/>
          <w:sz w:val="16"/>
          <w:szCs w:val="16"/>
          <w:color w:val="auto"/>
        </w:rPr>
        <w:t>, SKYCLARYS</w:t>
      </w:r>
      <w:r>
        <w:rPr>
          <w:rFonts w:ascii="Arial" w:cs="Arial" w:eastAsia="Arial" w:hAnsi="Arial"/>
          <w:sz w:val="24"/>
          <w:szCs w:val="24"/>
          <w:color w:val="auto"/>
          <w:vertAlign w:val="superscript"/>
        </w:rPr>
        <w:t>®</w:t>
      </w:r>
      <w:r>
        <w:rPr>
          <w:rFonts w:ascii="Arial" w:cs="Arial" w:eastAsia="Arial" w:hAnsi="Arial"/>
          <w:sz w:val="16"/>
          <w:szCs w:val="16"/>
          <w:color w:val="auto"/>
        </w:rPr>
        <w:t>, SPINRAZA</w:t>
      </w:r>
      <w:r>
        <w:rPr>
          <w:rFonts w:ascii="Arial" w:cs="Arial" w:eastAsia="Arial" w:hAnsi="Arial"/>
          <w:sz w:val="24"/>
          <w:szCs w:val="24"/>
          <w:color w:val="auto"/>
          <w:vertAlign w:val="superscript"/>
        </w:rPr>
        <w:t>®</w:t>
      </w:r>
      <w:r>
        <w:rPr>
          <w:rFonts w:ascii="Arial" w:cs="Arial" w:eastAsia="Arial" w:hAnsi="Arial"/>
          <w:sz w:val="16"/>
          <w:szCs w:val="16"/>
          <w:color w:val="auto"/>
        </w:rPr>
        <w:t>, TECFIDERA</w:t>
      </w:r>
      <w:r>
        <w:rPr>
          <w:rFonts w:ascii="Arial" w:cs="Arial" w:eastAsia="Arial" w:hAnsi="Arial"/>
          <w:sz w:val="24"/>
          <w:szCs w:val="24"/>
          <w:color w:val="auto"/>
          <w:vertAlign w:val="superscript"/>
        </w:rPr>
        <w:t>®</w:t>
      </w:r>
      <w:r>
        <w:rPr>
          <w:rFonts w:ascii="Arial" w:cs="Arial" w:eastAsia="Arial" w:hAnsi="Arial"/>
          <w:sz w:val="16"/>
          <w:szCs w:val="16"/>
          <w:color w:val="auto"/>
        </w:rPr>
        <w:t>, THECAFLEX DRX</w:t>
      </w:r>
      <w:r>
        <w:rPr>
          <w:rFonts w:ascii="Arial" w:cs="Arial" w:eastAsia="Arial" w:hAnsi="Arial"/>
          <w:sz w:val="24"/>
          <w:szCs w:val="24"/>
          <w:color w:val="auto"/>
          <w:vertAlign w:val="superscript"/>
        </w:rPr>
        <w:t>®</w:t>
      </w:r>
      <w:r>
        <w:rPr>
          <w:rFonts w:ascii="Arial" w:cs="Arial" w:eastAsia="Arial" w:hAnsi="Arial"/>
          <w:sz w:val="16"/>
          <w:szCs w:val="16"/>
          <w:color w:val="auto"/>
        </w:rPr>
        <w:t>, TYSABRI</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VUMERITY</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are registered trademarks of Biogen.</w:t>
      </w:r>
    </w:p>
    <w:p>
      <w:pPr>
        <w:spacing w:after="0" w:line="33" w:lineRule="exact"/>
        <w:rPr>
          <w:sz w:val="20"/>
          <w:szCs w:val="20"/>
          <w:color w:val="auto"/>
        </w:rPr>
      </w:pPr>
    </w:p>
    <w:p>
      <w:pPr>
        <w:ind w:left="120" w:right="400"/>
        <w:spacing w:after="0" w:line="204" w:lineRule="auto"/>
        <w:rPr>
          <w:sz w:val="20"/>
          <w:szCs w:val="20"/>
          <w:color w:val="auto"/>
        </w:rPr>
      </w:pPr>
      <w:r>
        <w:rPr>
          <w:rFonts w:ascii="Arial" w:cs="Arial" w:eastAsia="Arial" w:hAnsi="Arial"/>
          <w:sz w:val="16"/>
          <w:szCs w:val="16"/>
          <w:color w:val="auto"/>
        </w:rPr>
        <w:t>EMPAVELI</w:t>
      </w:r>
      <w:r>
        <w:rPr>
          <w:rFonts w:ascii="Arial" w:cs="Arial" w:eastAsia="Arial" w:hAnsi="Arial"/>
          <w:sz w:val="24"/>
          <w:szCs w:val="24"/>
          <w:color w:val="auto"/>
          <w:vertAlign w:val="superscript"/>
        </w:rPr>
        <w:t>®</w:t>
      </w:r>
      <w:r>
        <w:rPr>
          <w:rFonts w:ascii="Arial" w:cs="Arial" w:eastAsia="Arial" w:hAnsi="Arial"/>
          <w:sz w:val="16"/>
          <w:szCs w:val="16"/>
          <w:color w:val="auto"/>
        </w:rPr>
        <w:t>, LEQEMBI</w:t>
      </w:r>
      <w:r>
        <w:rPr>
          <w:rFonts w:ascii="Arial" w:cs="Arial" w:eastAsia="Arial" w:hAnsi="Arial"/>
          <w:sz w:val="24"/>
          <w:szCs w:val="24"/>
          <w:color w:val="auto"/>
          <w:vertAlign w:val="superscript"/>
        </w:rPr>
        <w:t>®</w:t>
      </w:r>
      <w:r>
        <w:rPr>
          <w:rFonts w:ascii="Arial" w:cs="Arial" w:eastAsia="Arial" w:hAnsi="Arial"/>
          <w:sz w:val="16"/>
          <w:szCs w:val="16"/>
          <w:color w:val="auto"/>
        </w:rPr>
        <w:t>, SYFOVRE</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ZURZUVAE</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other trademarks referenced in this proxy statement are the property of their respective owners.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Copies of Annual Meeting Materials</w:t>
      </w:r>
    </w:p>
    <w:p>
      <w:pPr>
        <w:spacing w:after="0" w:line="108"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unless you have instructed otherwise, only one copy of this Proxy Statement, Annual Report or</w:t>
      </w:r>
    </w:p>
    <w:p>
      <w:pPr>
        <w:spacing w:after="0" w:line="102"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4605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19735" cy="14605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-74-</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9880"/>
        <w:spacing w:after="0"/>
        <w:rPr>
          <w:sz w:val="20"/>
          <w:szCs w:val="20"/>
          <w:color w:val="auto"/>
        </w:rPr>
      </w:pPr>
      <w:r>
        <w:rPr>
          <w:rFonts w:ascii="Arial" w:cs="Arial" w:eastAsia="Arial" w:hAnsi="Arial"/>
          <w:sz w:val="19"/>
          <w:szCs w:val="19"/>
          <w:color w:val="0075C9"/>
        </w:rPr>
        <w:t>Miscellaneous</w:t>
      </w:r>
    </w:p>
    <w:p>
      <w:pPr>
        <w:spacing w:after="0" w:line="154"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 xml:space="preserve">Notice of Internet Availability of Proxy Materials, as applicable, may have been sent to multiple stockholders in your household. </w:t>
      </w:r>
      <w:r>
        <w:rPr>
          <w:rFonts w:ascii="Arial" w:cs="Arial" w:eastAsia="Arial" w:hAnsi="Arial"/>
          <w:sz w:val="16"/>
          <w:szCs w:val="16"/>
          <w:b w:val="1"/>
          <w:bCs w:val="1"/>
          <w:color w:val="auto"/>
        </w:rPr>
        <w:t>We will promptly deliver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 separate copy of any of these documents without charge to you if you write or call Investor Relations, Biogen Inc., 225 Binney Street, Cambridge, Massachusetts 02142, (781) 464-2442. </w:t>
      </w:r>
      <w:r>
        <w:rPr>
          <w:rFonts w:ascii="Arial" w:cs="Arial" w:eastAsia="Arial" w:hAnsi="Arial"/>
          <w:sz w:val="16"/>
          <w:szCs w:val="16"/>
          <w:color w:val="auto"/>
        </w:rPr>
        <w:t>If you want to receive separate copies of our Proxy Statement, Annual Report or Notice of Internet</w:t>
      </w:r>
      <w:r>
        <w:rPr>
          <w:rFonts w:ascii="Arial" w:cs="Arial" w:eastAsia="Arial" w:hAnsi="Arial"/>
          <w:sz w:val="16"/>
          <w:szCs w:val="16"/>
          <w:b w:val="1"/>
          <w:bCs w:val="1"/>
          <w:color w:val="auto"/>
        </w:rPr>
        <w:t xml:space="preserve"> </w:t>
      </w:r>
      <w:r>
        <w:rPr>
          <w:rFonts w:ascii="Arial" w:cs="Arial" w:eastAsia="Arial" w:hAnsi="Arial"/>
          <w:sz w:val="16"/>
          <w:szCs w:val="16"/>
          <w:color w:val="auto"/>
        </w:rPr>
        <w:t>Availability of Proxy Materials, as applicable, in the future, or if you are receiving multiple copies and would like to receive only one copy for your household, you should contact your bank, broker or other nominee record holder, or you may contact us at the above address or phone number.</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Manner and Cost of Proxy Solicitation</w:t>
      </w:r>
    </w:p>
    <w:p>
      <w:pPr>
        <w:spacing w:after="0" w:line="108"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Biogen pays the cost of soliciting proxies. In addition to solicitation by mail, our directors, officers and employees may contact you in person, by telephone or by email or other electronic means. None of our directors, officers or employees will receive additional compensation for soliciting you. We will reimburse brokerage houses, banks, custodians and other nominees and fiduciaries for out-of-pocket expenses incurred in forwarding our proxy solicitation materials to, and obtaining instructions relating to such materials from, beneficial owners of our common stock. Innisfree M&amp;A Incorporated, New York, New York, has been retained to assist us in the solicitation of proxies at a fee estimated not to exceed $25,000.</w:t>
      </w:r>
    </w:p>
    <w:p>
      <w:pPr>
        <w:spacing w:after="0" w:line="126"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7"/>
          <w:szCs w:val="17"/>
          <w:color w:val="0075C9"/>
        </w:rPr>
        <w:t xml:space="preserve">   2026 Proxy Statement   </w:t>
      </w:r>
      <w:r>
        <w:rPr>
          <w:rFonts w:ascii="Arial" w:cs="Arial" w:eastAsia="Arial" w:hAnsi="Arial"/>
          <w:sz w:val="15"/>
          <w:szCs w:val="15"/>
          <w:color w:val="0075C9"/>
        </w:rPr>
        <w:t>-75-</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120"/>
        <w:spacing w:after="0"/>
        <w:rPr>
          <w:sz w:val="20"/>
          <w:szCs w:val="20"/>
          <w:color w:val="auto"/>
        </w:rPr>
      </w:pPr>
      <w:r>
        <w:rPr>
          <w:rFonts w:ascii="Arial" w:cs="Arial" w:eastAsia="Arial" w:hAnsi="Arial"/>
          <w:sz w:val="19"/>
          <w:szCs w:val="19"/>
          <w:color w:val="0075C9"/>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40"/>
          <w:szCs w:val="40"/>
          <w:color w:val="0075C9"/>
        </w:rPr>
        <w:t>APPENDIX A</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40"/>
          <w:szCs w:val="40"/>
          <w:color w:val="0075C9"/>
        </w:rPr>
        <w:t>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Diluted Earnings Per Share and Net Income Attributable to Biogen Inc.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3854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385445"/>
                    </a:xfrm>
                    <a:prstGeom prst="rect">
                      <a:avLst/>
                    </a:prstGeom>
                    <a:noFill/>
                  </pic:spPr>
                </pic:pic>
              </a:graphicData>
            </a:graphic>
          </wp:anchor>
        </w:drawing>
      </w:r>
    </w:p>
    <w:p>
      <w:pPr>
        <w:spacing w:after="0" w:line="237" w:lineRule="exact"/>
        <w:rPr>
          <w:sz w:val="20"/>
          <w:szCs w:val="20"/>
          <w:color w:val="auto"/>
        </w:rPr>
      </w:pPr>
    </w:p>
    <w:p>
      <w:pPr>
        <w:ind w:left="8920"/>
        <w:spacing w:after="0"/>
        <w:rPr>
          <w:sz w:val="20"/>
          <w:szCs w:val="20"/>
          <w:color w:val="auto"/>
        </w:rPr>
      </w:pPr>
      <w:r>
        <w:rPr>
          <w:rFonts w:ascii="Arial" w:cs="Arial" w:eastAsia="Arial" w:hAnsi="Arial"/>
          <w:sz w:val="14"/>
          <w:szCs w:val="14"/>
          <w:color w:val="FFFFFF"/>
        </w:rPr>
        <w:t>   For the 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-95885</wp:posOffset>
            </wp:positionV>
            <wp:extent cx="1534160" cy="3683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34160" cy="368300"/>
                    </a:xfrm>
                    <a:prstGeom prst="rect">
                      <a:avLst/>
                    </a:prstGeom>
                    <a:noFill/>
                  </pic:spPr>
                </pic:pic>
              </a:graphicData>
            </a:graphic>
          </wp:anchor>
        </w:drawing>
      </w:r>
    </w:p>
    <w:p>
      <w:pPr>
        <w:ind w:left="9540"/>
        <w:spacing w:after="0"/>
        <w:rPr>
          <w:sz w:val="20"/>
          <w:szCs w:val="20"/>
          <w:color w:val="auto"/>
        </w:rPr>
      </w:pPr>
      <w:r>
        <w:rPr>
          <w:rFonts w:ascii="Arial" w:cs="Arial" w:eastAsia="Arial" w:hAnsi="Arial"/>
          <w:sz w:val="14"/>
          <w:szCs w:val="14"/>
          <w:color w:val="FFFFFF"/>
        </w:rPr>
        <w:t>December 31,</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shd w:val="clear" w:color="auto" w:fill="0075C9"/>
          </w:tcPr>
          <w:p>
            <w:pPr>
              <w:ind w:left="100"/>
              <w:spacing w:after="0"/>
              <w:rPr>
                <w:sz w:val="20"/>
                <w:szCs w:val="20"/>
                <w:color w:val="auto"/>
              </w:rPr>
            </w:pPr>
            <w:r>
              <w:rPr>
                <w:rFonts w:ascii="Arial" w:cs="Arial" w:eastAsia="Arial" w:hAnsi="Arial"/>
                <w:sz w:val="8"/>
                <w:szCs w:val="8"/>
                <w:color w:val="FFFFFF"/>
                <w:w w:val="74"/>
              </w:rPr>
              <w:t> </w:t>
            </w:r>
          </w:p>
        </w:tc>
        <w:tc>
          <w:tcPr>
            <w:tcW w:w="160" w:type="dxa"/>
            <w:vAlign w:val="bottom"/>
            <w:shd w:val="clear" w:color="auto" w:fill="0075C9"/>
          </w:tcPr>
          <w:p>
            <w:pPr>
              <w:ind w:left="60"/>
              <w:spacing w:after="0"/>
              <w:rPr>
                <w:sz w:val="20"/>
                <w:szCs w:val="20"/>
                <w:color w:val="auto"/>
              </w:rPr>
            </w:pPr>
            <w:r>
              <w:rPr>
                <w:rFonts w:ascii="Arial" w:cs="Arial" w:eastAsia="Arial" w:hAnsi="Arial"/>
                <w:sz w:val="11"/>
                <w:szCs w:val="11"/>
                <w:color w:val="FFFFFF"/>
                <w:w w:val="72"/>
              </w:rPr>
              <w:t> </w:t>
            </w:r>
          </w:p>
        </w:tc>
        <w:tc>
          <w:tcPr>
            <w:tcW w:w="860" w:type="dxa"/>
            <w:vAlign w:val="bottom"/>
            <w:shd w:val="clear" w:color="auto" w:fill="0075C9"/>
          </w:tcPr>
          <w:p>
            <w:pPr>
              <w:jc w:val="right"/>
              <w:ind w:right="240"/>
              <w:spacing w:after="0"/>
              <w:rPr>
                <w:sz w:val="20"/>
                <w:szCs w:val="20"/>
                <w:color w:val="auto"/>
              </w:rPr>
            </w:pPr>
            <w:r>
              <w:rPr>
                <w:rFonts w:ascii="Arial" w:cs="Arial" w:eastAsia="Arial" w:hAnsi="Arial"/>
                <w:sz w:val="14"/>
                <w:szCs w:val="14"/>
                <w:color w:val="FFFFFF"/>
              </w:rPr>
              <w:t xml:space="preserve">2025    </w:t>
            </w:r>
          </w:p>
        </w:tc>
        <w:tc>
          <w:tcPr>
            <w:tcW w:w="180" w:type="dxa"/>
            <w:vAlign w:val="bottom"/>
            <w:shd w:val="clear" w:color="auto" w:fill="0075C9"/>
          </w:tcPr>
          <w:p>
            <w:pPr>
              <w:ind w:left="100"/>
              <w:spacing w:after="0"/>
              <w:rPr>
                <w:sz w:val="20"/>
                <w:szCs w:val="20"/>
                <w:color w:val="auto"/>
              </w:rPr>
            </w:pPr>
            <w:r>
              <w:rPr>
                <w:rFonts w:ascii="Arial" w:cs="Arial" w:eastAsia="Arial" w:hAnsi="Arial"/>
                <w:sz w:val="8"/>
                <w:szCs w:val="8"/>
                <w:color w:val="FFFFFF"/>
                <w:w w:val="74"/>
              </w:rPr>
              <w:t> </w:t>
            </w:r>
          </w:p>
        </w:tc>
        <w:tc>
          <w:tcPr>
            <w:tcW w:w="160" w:type="dxa"/>
            <w:vAlign w:val="bottom"/>
            <w:shd w:val="clear" w:color="auto" w:fill="0075C9"/>
          </w:tcPr>
          <w:p>
            <w:pPr>
              <w:ind w:left="60"/>
              <w:spacing w:after="0"/>
              <w:rPr>
                <w:sz w:val="20"/>
                <w:szCs w:val="20"/>
                <w:color w:val="auto"/>
              </w:rPr>
            </w:pPr>
            <w:r>
              <w:rPr>
                <w:rFonts w:ascii="Arial" w:cs="Arial" w:eastAsia="Arial" w:hAnsi="Arial"/>
                <w:sz w:val="11"/>
                <w:szCs w:val="11"/>
                <w:color w:val="FFFFFF"/>
                <w:w w:val="72"/>
              </w:rPr>
              <w:t> </w:t>
            </w:r>
          </w:p>
        </w:tc>
        <w:tc>
          <w:tcPr>
            <w:tcW w:w="760" w:type="dxa"/>
            <w:vAlign w:val="bottom"/>
            <w:shd w:val="clear" w:color="auto" w:fill="0075C9"/>
          </w:tcPr>
          <w:p>
            <w:pPr>
              <w:jc w:val="right"/>
              <w:ind w:right="140"/>
              <w:spacing w:after="0"/>
              <w:rPr>
                <w:sz w:val="20"/>
                <w:szCs w:val="20"/>
                <w:color w:val="auto"/>
              </w:rPr>
            </w:pPr>
            <w:r>
              <w:rPr>
                <w:rFonts w:ascii="Arial" w:cs="Arial" w:eastAsia="Arial" w:hAnsi="Arial"/>
                <w:sz w:val="14"/>
                <w:szCs w:val="14"/>
                <w:color w:val="FFFFFF"/>
              </w:rPr>
              <w:t xml:space="preserve">2024    </w:t>
            </w:r>
          </w:p>
        </w:tc>
      </w:tr>
      <w:tr>
        <w:trPr>
          <w:trHeight w:val="277"/>
        </w:trPr>
        <w:tc>
          <w:tcPr>
            <w:tcW w:w="8600" w:type="dxa"/>
            <w:vAlign w:val="bottom"/>
            <w:tcBorders>
              <w:bottom w:val="single" w:sz="8" w:color="E5F1F9"/>
            </w:tcBorders>
            <w:shd w:val="clear" w:color="auto" w:fill="E5F1F9"/>
          </w:tcPr>
          <w:p>
            <w:pPr>
              <w:ind w:left="60"/>
              <w:spacing w:after="0"/>
              <w:rPr>
                <w:sz w:val="20"/>
                <w:szCs w:val="20"/>
                <w:color w:val="auto"/>
              </w:rPr>
            </w:pPr>
            <w:r>
              <w:rPr>
                <w:rFonts w:ascii="Arial" w:cs="Arial" w:eastAsia="Arial" w:hAnsi="Arial"/>
                <w:sz w:val="16"/>
                <w:szCs w:val="16"/>
                <w:color w:val="auto"/>
              </w:rPr>
              <w:t>GAAP earnings per share – Diluted</w:t>
            </w:r>
          </w:p>
        </w:tc>
        <w:tc>
          <w:tcPr>
            <w:tcW w:w="300" w:type="dxa"/>
            <w:vAlign w:val="bottom"/>
            <w:tcBorders>
              <w:bottom w:val="single" w:sz="8" w:color="E5F1F9"/>
            </w:tcBorders>
            <w:gridSpan w:val="2"/>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860" w:type="dxa"/>
            <w:vAlign w:val="bottom"/>
            <w:tcBorders>
              <w:bottom w:val="single" w:sz="8" w:color="E5F1F9"/>
            </w:tcBorders>
            <w:shd w:val="clear" w:color="auto" w:fill="E5F1F9"/>
          </w:tcPr>
          <w:p>
            <w:pPr>
              <w:jc w:val="right"/>
              <w:ind w:right="20"/>
              <w:spacing w:after="0"/>
              <w:rPr>
                <w:sz w:val="20"/>
                <w:szCs w:val="20"/>
                <w:color w:val="auto"/>
              </w:rPr>
            </w:pPr>
            <w:r>
              <w:rPr>
                <w:rFonts w:ascii="Arial" w:cs="Arial" w:eastAsia="Arial" w:hAnsi="Arial"/>
                <w:sz w:val="16"/>
                <w:szCs w:val="16"/>
                <w:color w:val="auto"/>
              </w:rPr>
              <w:t>$8.79</w:t>
            </w:r>
          </w:p>
        </w:tc>
        <w:tc>
          <w:tcPr>
            <w:tcW w:w="18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$11.18</w:t>
            </w:r>
          </w:p>
        </w:tc>
      </w:tr>
      <w:tr>
        <w:trPr>
          <w:trHeight w:val="302"/>
        </w:trPr>
        <w:tc>
          <w:tcPr>
            <w:tcW w:w="8600" w:type="dxa"/>
            <w:vAlign w:val="bottom"/>
            <w:tcBorders>
              <w:bottom w:val="single" w:sz="8" w:color="B2D5EE"/>
            </w:tcBorders>
            <w:shd w:val="clear" w:color="auto" w:fill="B2D5EE"/>
          </w:tcPr>
          <w:p>
            <w:pPr>
              <w:ind w:left="280"/>
              <w:spacing w:after="0"/>
              <w:rPr>
                <w:sz w:val="20"/>
                <w:szCs w:val="20"/>
                <w:color w:val="auto"/>
              </w:rPr>
            </w:pPr>
            <w:r>
              <w:rPr>
                <w:rFonts w:ascii="Arial" w:cs="Arial" w:eastAsia="Arial" w:hAnsi="Arial"/>
                <w:sz w:val="16"/>
                <w:szCs w:val="16"/>
                <w:color w:val="auto"/>
              </w:rPr>
              <w:t>Adjustments to GAAP net income attributable to Biogen Inc. (as detailed below)</w:t>
            </w:r>
          </w:p>
        </w:tc>
        <w:tc>
          <w:tcPr>
            <w:tcW w:w="300" w:type="dxa"/>
            <w:vAlign w:val="bottom"/>
            <w:tcBorders>
              <w:bottom w:val="single" w:sz="8" w:color="B2D5EE"/>
            </w:tcBorders>
            <w:gridSpan w:val="2"/>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860" w:type="dxa"/>
            <w:vAlign w:val="bottom"/>
            <w:tcBorders>
              <w:bottom w:val="single" w:sz="8" w:color="B2D5EE"/>
            </w:tcBorders>
            <w:shd w:val="clear" w:color="auto" w:fill="B2D5EE"/>
          </w:tcPr>
          <w:p>
            <w:pPr>
              <w:jc w:val="right"/>
              <w:ind w:right="20"/>
              <w:spacing w:after="0"/>
              <w:rPr>
                <w:sz w:val="20"/>
                <w:szCs w:val="20"/>
                <w:color w:val="auto"/>
              </w:rPr>
            </w:pPr>
            <w:r>
              <w:rPr>
                <w:rFonts w:ascii="Arial" w:cs="Arial" w:eastAsia="Arial" w:hAnsi="Arial"/>
                <w:sz w:val="16"/>
                <w:szCs w:val="16"/>
                <w:color w:val="auto"/>
              </w:rPr>
              <w:t>6.49</w:t>
            </w:r>
          </w:p>
        </w:tc>
        <w:tc>
          <w:tcPr>
            <w:tcW w:w="18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5.29</w:t>
            </w:r>
          </w:p>
        </w:tc>
      </w:tr>
      <w:tr>
        <w:trPr>
          <w:trHeight w:val="282"/>
        </w:trPr>
        <w:tc>
          <w:tcPr>
            <w:tcW w:w="8600" w:type="dxa"/>
            <w:vAlign w:val="bottom"/>
            <w:tcBorders>
              <w:top w:val="single" w:sz="8" w:color="E5F1F9"/>
              <w:bottom w:val="single" w:sz="8" w:color="E5F1F9"/>
            </w:tcBorders>
            <w:shd w:val="clear" w:color="auto" w:fill="E5F1F9"/>
          </w:tcPr>
          <w:p>
            <w:pPr>
              <w:ind w:left="60"/>
              <w:spacing w:after="0"/>
              <w:rPr>
                <w:sz w:val="20"/>
                <w:szCs w:val="20"/>
                <w:color w:val="auto"/>
              </w:rPr>
            </w:pPr>
            <w:r>
              <w:rPr>
                <w:rFonts w:ascii="Arial" w:cs="Arial" w:eastAsia="Arial" w:hAnsi="Arial"/>
                <w:sz w:val="16"/>
                <w:szCs w:val="16"/>
                <w:color w:val="auto"/>
              </w:rPr>
              <w:t>Non-GAAP earnings per share – Diluted</w:t>
            </w:r>
          </w:p>
        </w:tc>
        <w:tc>
          <w:tcPr>
            <w:tcW w:w="300" w:type="dxa"/>
            <w:vAlign w:val="bottom"/>
            <w:tcBorders>
              <w:top w:val="single" w:sz="8" w:color="auto"/>
              <w:bottom w:val="single" w:sz="8" w:color="E5F1F9"/>
            </w:tcBorders>
            <w:gridSpan w:val="2"/>
            <w:shd w:val="clear" w:color="auto" w:fill="E5F1F9"/>
          </w:tcPr>
          <w:p>
            <w:pPr>
              <w:spacing w:after="0"/>
              <w:rPr>
                <w:sz w:val="24"/>
                <w:szCs w:val="24"/>
                <w:color w:val="auto"/>
              </w:rPr>
            </w:pPr>
          </w:p>
        </w:tc>
        <w:tc>
          <w:tcPr>
            <w:tcW w:w="160" w:type="dxa"/>
            <w:vAlign w:val="bottom"/>
            <w:tcBorders>
              <w:top w:val="single" w:sz="8" w:color="auto"/>
              <w:bottom w:val="single" w:sz="8" w:color="E5F1F9"/>
            </w:tcBorders>
            <w:shd w:val="clear" w:color="auto" w:fill="E5F1F9"/>
          </w:tcPr>
          <w:p>
            <w:pPr>
              <w:spacing w:after="0"/>
              <w:rPr>
                <w:sz w:val="24"/>
                <w:szCs w:val="24"/>
                <w:color w:val="auto"/>
              </w:rPr>
            </w:pPr>
          </w:p>
        </w:tc>
        <w:tc>
          <w:tcPr>
            <w:tcW w:w="860" w:type="dxa"/>
            <w:vAlign w:val="bottom"/>
            <w:tcBorders>
              <w:top w:val="single" w:sz="8" w:color="auto"/>
              <w:bottom w:val="single" w:sz="8" w:color="E5F1F9"/>
            </w:tcBorders>
            <w:shd w:val="clear" w:color="auto" w:fill="E5F1F9"/>
          </w:tcPr>
          <w:p>
            <w:pPr>
              <w:jc w:val="right"/>
              <w:ind w:right="20"/>
              <w:spacing w:after="0"/>
              <w:rPr>
                <w:sz w:val="20"/>
                <w:szCs w:val="20"/>
                <w:color w:val="auto"/>
              </w:rPr>
            </w:pPr>
            <w:r>
              <w:rPr>
                <w:rFonts w:ascii="Arial" w:cs="Arial" w:eastAsia="Arial" w:hAnsi="Arial"/>
                <w:sz w:val="16"/>
                <w:szCs w:val="16"/>
                <w:color w:val="auto"/>
              </w:rPr>
              <w:t>$15.28</w:t>
            </w:r>
          </w:p>
        </w:tc>
        <w:tc>
          <w:tcPr>
            <w:tcW w:w="180" w:type="dxa"/>
            <w:vAlign w:val="bottom"/>
            <w:tcBorders>
              <w:top w:val="single" w:sz="8" w:color="auto"/>
              <w:bottom w:val="single" w:sz="8" w:color="E5F1F9"/>
            </w:tcBorders>
            <w:shd w:val="clear" w:color="auto" w:fill="E5F1F9"/>
          </w:tcPr>
          <w:p>
            <w:pPr>
              <w:spacing w:after="0"/>
              <w:rPr>
                <w:sz w:val="24"/>
                <w:szCs w:val="24"/>
                <w:color w:val="auto"/>
              </w:rPr>
            </w:pPr>
          </w:p>
        </w:tc>
        <w:tc>
          <w:tcPr>
            <w:tcW w:w="160" w:type="dxa"/>
            <w:vAlign w:val="bottom"/>
            <w:tcBorders>
              <w:top w:val="single" w:sz="8" w:color="auto"/>
              <w:bottom w:val="single" w:sz="8" w:color="E5F1F9"/>
            </w:tcBorders>
            <w:shd w:val="clear" w:color="auto" w:fill="E5F1F9"/>
          </w:tcPr>
          <w:p>
            <w:pPr>
              <w:spacing w:after="0"/>
              <w:rPr>
                <w:sz w:val="24"/>
                <w:szCs w:val="24"/>
                <w:color w:val="auto"/>
              </w:rPr>
            </w:pPr>
          </w:p>
        </w:tc>
        <w:tc>
          <w:tcPr>
            <w:tcW w:w="760" w:type="dxa"/>
            <w:vAlign w:val="bottom"/>
            <w:tcBorders>
              <w:top w:val="single" w:sz="8" w:color="auto"/>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$16.47</w:t>
            </w:r>
          </w:p>
        </w:tc>
      </w:tr>
      <w:tr>
        <w:trPr>
          <w:trHeight w:val="236"/>
        </w:trPr>
        <w:tc>
          <w:tcPr>
            <w:tcW w:w="8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gridSpan w:val="6"/>
          </w:tcPr>
          <w:p>
            <w:pPr>
              <w:spacing w:after="0"/>
              <w:rPr>
                <w:sz w:val="20"/>
                <w:szCs w:val="20"/>
                <w:color w:val="auto"/>
              </w:rPr>
            </w:pPr>
          </w:p>
        </w:tc>
      </w:tr>
      <w:tr>
        <w:trPr>
          <w:trHeight w:val="180"/>
        </w:trPr>
        <w:tc>
          <w:tcPr>
            <w:tcW w:w="8600" w:type="dxa"/>
            <w:vAlign w:val="bottom"/>
            <w:shd w:val="clear" w:color="auto" w:fill="0075C9"/>
          </w:tcPr>
          <w:p>
            <w:pPr>
              <w:spacing w:after="0"/>
              <w:rPr>
                <w:sz w:val="15"/>
                <w:szCs w:val="15"/>
                <w:color w:val="auto"/>
              </w:rPr>
            </w:pPr>
          </w:p>
        </w:tc>
        <w:tc>
          <w:tcPr>
            <w:tcW w:w="120" w:type="dxa"/>
            <w:vAlign w:val="bottom"/>
            <w:shd w:val="clear" w:color="auto" w:fill="0075C9"/>
          </w:tcPr>
          <w:p>
            <w:pPr>
              <w:spacing w:after="0"/>
              <w:rPr>
                <w:sz w:val="15"/>
                <w:szCs w:val="15"/>
                <w:color w:val="auto"/>
              </w:rPr>
            </w:pPr>
          </w:p>
        </w:tc>
        <w:tc>
          <w:tcPr>
            <w:tcW w:w="2300" w:type="dxa"/>
            <w:vAlign w:val="bottom"/>
            <w:gridSpan w:val="6"/>
            <w:shd w:val="clear" w:color="auto" w:fill="0075C9"/>
          </w:tcPr>
          <w:p>
            <w:pPr>
              <w:ind w:left="80"/>
              <w:spacing w:after="0"/>
              <w:rPr>
                <w:sz w:val="20"/>
                <w:szCs w:val="20"/>
                <w:color w:val="auto"/>
              </w:rPr>
            </w:pPr>
            <w:r>
              <w:rPr>
                <w:rFonts w:ascii="Arial" w:cs="Arial" w:eastAsia="Arial" w:hAnsi="Arial"/>
                <w:sz w:val="14"/>
                <w:szCs w:val="14"/>
                <w:color w:val="FFFFFF"/>
              </w:rPr>
              <w:t>   For the Twelve Months Ended</w:t>
            </w:r>
          </w:p>
        </w:tc>
      </w:tr>
      <w:tr>
        <w:trPr>
          <w:trHeight w:val="190"/>
        </w:trPr>
        <w:tc>
          <w:tcPr>
            <w:tcW w:w="8600" w:type="dxa"/>
            <w:vAlign w:val="bottom"/>
            <w:shd w:val="clear" w:color="auto" w:fill="0075C9"/>
          </w:tcPr>
          <w:p>
            <w:pPr>
              <w:spacing w:after="0"/>
              <w:rPr>
                <w:sz w:val="16"/>
                <w:szCs w:val="16"/>
                <w:color w:val="auto"/>
              </w:rPr>
            </w:pPr>
          </w:p>
        </w:tc>
        <w:tc>
          <w:tcPr>
            <w:tcW w:w="120" w:type="dxa"/>
            <w:vAlign w:val="bottom"/>
            <w:shd w:val="clear" w:color="auto" w:fill="0075C9"/>
          </w:tcPr>
          <w:p>
            <w:pPr>
              <w:spacing w:after="0"/>
              <w:rPr>
                <w:sz w:val="16"/>
                <w:szCs w:val="16"/>
                <w:color w:val="auto"/>
              </w:rPr>
            </w:pPr>
          </w:p>
        </w:tc>
        <w:tc>
          <w:tcPr>
            <w:tcW w:w="180" w:type="dxa"/>
            <w:vAlign w:val="bottom"/>
            <w:shd w:val="clear" w:color="auto" w:fill="0075C9"/>
          </w:tcPr>
          <w:p>
            <w:pPr>
              <w:spacing w:after="0"/>
              <w:rPr>
                <w:sz w:val="16"/>
                <w:szCs w:val="16"/>
                <w:color w:val="auto"/>
              </w:rPr>
            </w:pPr>
          </w:p>
        </w:tc>
        <w:tc>
          <w:tcPr>
            <w:tcW w:w="160" w:type="dxa"/>
            <w:vAlign w:val="bottom"/>
            <w:shd w:val="clear" w:color="auto" w:fill="0075C9"/>
          </w:tcPr>
          <w:p>
            <w:pPr>
              <w:spacing w:after="0"/>
              <w:rPr>
                <w:sz w:val="16"/>
                <w:szCs w:val="16"/>
                <w:color w:val="auto"/>
              </w:rPr>
            </w:pPr>
          </w:p>
        </w:tc>
        <w:tc>
          <w:tcPr>
            <w:tcW w:w="1960" w:type="dxa"/>
            <w:vAlign w:val="bottom"/>
            <w:gridSpan w:val="4"/>
            <w:shd w:val="clear" w:color="auto" w:fill="0075C9"/>
          </w:tcPr>
          <w:p>
            <w:pPr>
              <w:jc w:val="right"/>
              <w:ind w:right="620"/>
              <w:spacing w:after="0"/>
              <w:rPr>
                <w:sz w:val="20"/>
                <w:szCs w:val="20"/>
                <w:color w:val="auto"/>
              </w:rPr>
            </w:pPr>
            <w:r>
              <w:rPr>
                <w:rFonts w:ascii="Arial" w:cs="Arial" w:eastAsia="Arial" w:hAnsi="Arial"/>
                <w:sz w:val="14"/>
                <w:szCs w:val="14"/>
                <w:color w:val="FFFFFF"/>
              </w:rPr>
              <w:t>December 31,</w:t>
            </w:r>
          </w:p>
        </w:tc>
      </w:tr>
      <w:tr>
        <w:trPr>
          <w:trHeight w:val="218"/>
        </w:trPr>
        <w:tc>
          <w:tcPr>
            <w:tcW w:w="8600" w:type="dxa"/>
            <w:vAlign w:val="bottom"/>
            <w:tcBorders>
              <w:bottom w:val="single" w:sz="8" w:color="0075C9"/>
            </w:tcBorders>
            <w:shd w:val="clear" w:color="auto" w:fill="0075C9"/>
          </w:tcPr>
          <w:p>
            <w:pPr>
              <w:spacing w:after="0"/>
              <w:rPr>
                <w:sz w:val="18"/>
                <w:szCs w:val="18"/>
                <w:color w:val="auto"/>
              </w:rPr>
            </w:pPr>
          </w:p>
        </w:tc>
        <w:tc>
          <w:tcPr>
            <w:tcW w:w="120" w:type="dxa"/>
            <w:vAlign w:val="bottom"/>
            <w:tcBorders>
              <w:bottom w:val="single" w:sz="8" w:color="0075C9"/>
            </w:tcBorders>
            <w:shd w:val="clear" w:color="auto" w:fill="0075C9"/>
          </w:tcPr>
          <w:p>
            <w:pPr>
              <w:spacing w:after="0"/>
              <w:rPr>
                <w:sz w:val="18"/>
                <w:szCs w:val="18"/>
                <w:color w:val="auto"/>
              </w:rPr>
            </w:pPr>
          </w:p>
        </w:tc>
        <w:tc>
          <w:tcPr>
            <w:tcW w:w="180" w:type="dxa"/>
            <w:vAlign w:val="bottom"/>
            <w:tcBorders>
              <w:bottom w:val="single" w:sz="8" w:color="0075C9"/>
            </w:tcBorders>
            <w:shd w:val="clear" w:color="auto" w:fill="0075C9"/>
          </w:tcPr>
          <w:p>
            <w:pPr>
              <w:ind w:left="100"/>
              <w:spacing w:after="0"/>
              <w:rPr>
                <w:sz w:val="20"/>
                <w:szCs w:val="20"/>
                <w:color w:val="auto"/>
              </w:rPr>
            </w:pPr>
            <w:r>
              <w:rPr>
                <w:rFonts w:ascii="Arial" w:cs="Arial" w:eastAsia="Arial" w:hAnsi="Arial"/>
                <w:sz w:val="8"/>
                <w:szCs w:val="8"/>
                <w:color w:val="FFFFFF"/>
                <w:w w:val="74"/>
              </w:rPr>
              <w:t> </w:t>
            </w:r>
          </w:p>
        </w:tc>
        <w:tc>
          <w:tcPr>
            <w:tcW w:w="160" w:type="dxa"/>
            <w:vAlign w:val="bottom"/>
            <w:tcBorders>
              <w:bottom w:val="single" w:sz="8" w:color="0075C9"/>
            </w:tcBorders>
            <w:shd w:val="clear" w:color="auto" w:fill="0075C9"/>
          </w:tcPr>
          <w:p>
            <w:pPr>
              <w:ind w:left="60"/>
              <w:spacing w:after="0"/>
              <w:rPr>
                <w:sz w:val="20"/>
                <w:szCs w:val="20"/>
                <w:color w:val="auto"/>
              </w:rPr>
            </w:pPr>
            <w:r>
              <w:rPr>
                <w:rFonts w:ascii="Arial" w:cs="Arial" w:eastAsia="Arial" w:hAnsi="Arial"/>
                <w:sz w:val="11"/>
                <w:szCs w:val="11"/>
                <w:color w:val="FFFFFF"/>
                <w:w w:val="72"/>
              </w:rPr>
              <w:t> </w:t>
            </w:r>
          </w:p>
        </w:tc>
        <w:tc>
          <w:tcPr>
            <w:tcW w:w="860" w:type="dxa"/>
            <w:vAlign w:val="bottom"/>
            <w:tcBorders>
              <w:bottom w:val="single" w:sz="8" w:color="0075C9"/>
            </w:tcBorders>
            <w:shd w:val="clear" w:color="auto" w:fill="0075C9"/>
          </w:tcPr>
          <w:p>
            <w:pPr>
              <w:jc w:val="right"/>
              <w:ind w:right="240"/>
              <w:spacing w:after="0"/>
              <w:rPr>
                <w:sz w:val="20"/>
                <w:szCs w:val="20"/>
                <w:color w:val="auto"/>
              </w:rPr>
            </w:pPr>
            <w:r>
              <w:rPr>
                <w:rFonts w:ascii="Arial" w:cs="Arial" w:eastAsia="Arial" w:hAnsi="Arial"/>
                <w:sz w:val="14"/>
                <w:szCs w:val="14"/>
                <w:color w:val="FFFFFF"/>
              </w:rPr>
              <w:t xml:space="preserve">2025    </w:t>
            </w:r>
          </w:p>
        </w:tc>
        <w:tc>
          <w:tcPr>
            <w:tcW w:w="180" w:type="dxa"/>
            <w:vAlign w:val="bottom"/>
            <w:tcBorders>
              <w:bottom w:val="single" w:sz="8" w:color="0075C9"/>
            </w:tcBorders>
            <w:shd w:val="clear" w:color="auto" w:fill="0075C9"/>
          </w:tcPr>
          <w:p>
            <w:pPr>
              <w:ind w:left="100"/>
              <w:spacing w:after="0"/>
              <w:rPr>
                <w:sz w:val="20"/>
                <w:szCs w:val="20"/>
                <w:color w:val="auto"/>
              </w:rPr>
            </w:pPr>
            <w:r>
              <w:rPr>
                <w:rFonts w:ascii="Arial" w:cs="Arial" w:eastAsia="Arial" w:hAnsi="Arial"/>
                <w:sz w:val="8"/>
                <w:szCs w:val="8"/>
                <w:color w:val="FFFFFF"/>
                <w:w w:val="74"/>
              </w:rPr>
              <w:t> </w:t>
            </w:r>
          </w:p>
        </w:tc>
        <w:tc>
          <w:tcPr>
            <w:tcW w:w="160" w:type="dxa"/>
            <w:vAlign w:val="bottom"/>
            <w:tcBorders>
              <w:bottom w:val="single" w:sz="8" w:color="0075C9"/>
            </w:tcBorders>
            <w:shd w:val="clear" w:color="auto" w:fill="0075C9"/>
          </w:tcPr>
          <w:p>
            <w:pPr>
              <w:ind w:left="60"/>
              <w:spacing w:after="0"/>
              <w:rPr>
                <w:sz w:val="20"/>
                <w:szCs w:val="20"/>
                <w:color w:val="auto"/>
              </w:rPr>
            </w:pPr>
            <w:r>
              <w:rPr>
                <w:rFonts w:ascii="Arial" w:cs="Arial" w:eastAsia="Arial" w:hAnsi="Arial"/>
                <w:sz w:val="11"/>
                <w:szCs w:val="11"/>
                <w:color w:val="FFFFFF"/>
                <w:w w:val="72"/>
              </w:rPr>
              <w:t> </w:t>
            </w:r>
          </w:p>
        </w:tc>
        <w:tc>
          <w:tcPr>
            <w:tcW w:w="760" w:type="dxa"/>
            <w:vAlign w:val="bottom"/>
            <w:tcBorders>
              <w:bottom w:val="single" w:sz="8" w:color="0075C9"/>
            </w:tcBorders>
            <w:shd w:val="clear" w:color="auto" w:fill="0075C9"/>
          </w:tcPr>
          <w:p>
            <w:pPr>
              <w:jc w:val="right"/>
              <w:ind w:right="140"/>
              <w:spacing w:after="0"/>
              <w:rPr>
                <w:sz w:val="20"/>
                <w:szCs w:val="20"/>
                <w:color w:val="auto"/>
              </w:rPr>
            </w:pPr>
            <w:r>
              <w:rPr>
                <w:rFonts w:ascii="Arial" w:cs="Arial" w:eastAsia="Arial" w:hAnsi="Arial"/>
                <w:sz w:val="14"/>
                <w:szCs w:val="14"/>
                <w:color w:val="FFFFFF"/>
              </w:rPr>
              <w:t xml:space="preserve">2024    </w:t>
            </w:r>
          </w:p>
        </w:tc>
      </w:tr>
      <w:tr>
        <w:trPr>
          <w:trHeight w:val="277"/>
        </w:trPr>
        <w:tc>
          <w:tcPr>
            <w:tcW w:w="8600" w:type="dxa"/>
            <w:vAlign w:val="bottom"/>
            <w:tcBorders>
              <w:bottom w:val="single" w:sz="8" w:color="E5F1F9"/>
            </w:tcBorders>
            <w:shd w:val="clear" w:color="auto" w:fill="E5F1F9"/>
          </w:tcPr>
          <w:p>
            <w:pPr>
              <w:ind w:left="60"/>
              <w:spacing w:after="0"/>
              <w:rPr>
                <w:sz w:val="20"/>
                <w:szCs w:val="20"/>
                <w:color w:val="auto"/>
              </w:rPr>
            </w:pPr>
            <w:r>
              <w:rPr>
                <w:rFonts w:ascii="Arial" w:cs="Arial" w:eastAsia="Arial" w:hAnsi="Arial"/>
                <w:sz w:val="16"/>
                <w:szCs w:val="16"/>
                <w:color w:val="auto"/>
              </w:rPr>
              <w:t>GAAP net income attributable to Biogen Inc.</w:t>
            </w:r>
          </w:p>
        </w:tc>
        <w:tc>
          <w:tcPr>
            <w:tcW w:w="300" w:type="dxa"/>
            <w:vAlign w:val="bottom"/>
            <w:tcBorders>
              <w:bottom w:val="single" w:sz="8" w:color="E5F1F9"/>
            </w:tcBorders>
            <w:gridSpan w:val="2"/>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860" w:type="dxa"/>
            <w:vAlign w:val="bottom"/>
            <w:tcBorders>
              <w:bottom w:val="single" w:sz="8" w:color="E5F1F9"/>
            </w:tcBorders>
            <w:shd w:val="clear" w:color="auto" w:fill="E5F1F9"/>
          </w:tcPr>
          <w:p>
            <w:pPr>
              <w:jc w:val="right"/>
              <w:ind w:right="20"/>
              <w:spacing w:after="0"/>
              <w:rPr>
                <w:sz w:val="20"/>
                <w:szCs w:val="20"/>
                <w:color w:val="auto"/>
              </w:rPr>
            </w:pPr>
            <w:r>
              <w:rPr>
                <w:rFonts w:ascii="Arial" w:cs="Arial" w:eastAsia="Arial" w:hAnsi="Arial"/>
                <w:sz w:val="16"/>
                <w:szCs w:val="16"/>
                <w:color w:val="auto"/>
              </w:rPr>
              <w:t>$1,292.9</w:t>
            </w:r>
          </w:p>
        </w:tc>
        <w:tc>
          <w:tcPr>
            <w:tcW w:w="18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$1,632.2</w:t>
            </w:r>
          </w:p>
        </w:tc>
      </w:tr>
      <w:tr>
        <w:trPr>
          <w:trHeight w:val="277"/>
        </w:trPr>
        <w:tc>
          <w:tcPr>
            <w:tcW w:w="8600" w:type="dxa"/>
            <w:vAlign w:val="bottom"/>
            <w:tcBorders>
              <w:bottom w:val="single" w:sz="8" w:color="B2D5EE"/>
            </w:tcBorders>
            <w:shd w:val="clear" w:color="auto" w:fill="B2D5EE"/>
          </w:tcPr>
          <w:p>
            <w:pPr>
              <w:ind w:left="420"/>
              <w:spacing w:after="0"/>
              <w:rPr>
                <w:sz w:val="20"/>
                <w:szCs w:val="20"/>
                <w:color w:val="auto"/>
              </w:rPr>
            </w:pPr>
            <w:r>
              <w:rPr>
                <w:rFonts w:ascii="Arial" w:cs="Arial" w:eastAsia="Arial" w:hAnsi="Arial"/>
                <w:sz w:val="16"/>
                <w:szCs w:val="16"/>
                <w:color w:val="auto"/>
              </w:rPr>
              <w:t>Adjustments:</w:t>
            </w:r>
          </w:p>
        </w:tc>
        <w:tc>
          <w:tcPr>
            <w:tcW w:w="300" w:type="dxa"/>
            <w:vAlign w:val="bottom"/>
            <w:tcBorders>
              <w:bottom w:val="single" w:sz="8" w:color="B2D5EE"/>
            </w:tcBorders>
            <w:gridSpan w:val="2"/>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860" w:type="dxa"/>
            <w:vAlign w:val="bottom"/>
            <w:tcBorders>
              <w:bottom w:val="single" w:sz="8" w:color="B2D5EE"/>
            </w:tcBorders>
            <w:shd w:val="clear" w:color="auto" w:fill="B2D5EE"/>
          </w:tcPr>
          <w:p>
            <w:pPr>
              <w:spacing w:after="0"/>
              <w:rPr>
                <w:sz w:val="24"/>
                <w:szCs w:val="24"/>
                <w:color w:val="auto"/>
              </w:rPr>
            </w:pPr>
          </w:p>
        </w:tc>
        <w:tc>
          <w:tcPr>
            <w:tcW w:w="18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spacing w:after="0"/>
              <w:rPr>
                <w:sz w:val="24"/>
                <w:szCs w:val="24"/>
                <w:color w:val="auto"/>
              </w:rPr>
            </w:pPr>
          </w:p>
        </w:tc>
      </w:tr>
      <w:tr>
        <w:trPr>
          <w:trHeight w:val="277"/>
        </w:trPr>
        <w:tc>
          <w:tcPr>
            <w:tcW w:w="8600" w:type="dxa"/>
            <w:vAlign w:val="bottom"/>
            <w:tcBorders>
              <w:bottom w:val="single" w:sz="8" w:color="E5F1F9"/>
            </w:tcBorders>
            <w:shd w:val="clear" w:color="auto" w:fill="E5F1F9"/>
          </w:tcPr>
          <w:p>
            <w:pPr>
              <w:ind w:left="420"/>
              <w:spacing w:after="0"/>
              <w:rPr>
                <w:sz w:val="20"/>
                <w:szCs w:val="20"/>
                <w:color w:val="auto"/>
              </w:rPr>
            </w:pPr>
            <w:r>
              <w:rPr>
                <w:rFonts w:ascii="Arial" w:cs="Arial" w:eastAsia="Arial" w:hAnsi="Arial"/>
                <w:sz w:val="16"/>
                <w:szCs w:val="16"/>
                <w:color w:val="auto"/>
              </w:rPr>
              <w:t>Litigation matters</w:t>
            </w:r>
          </w:p>
        </w:tc>
        <w:tc>
          <w:tcPr>
            <w:tcW w:w="300" w:type="dxa"/>
            <w:vAlign w:val="bottom"/>
            <w:tcBorders>
              <w:bottom w:val="single" w:sz="8" w:color="E5F1F9"/>
            </w:tcBorders>
            <w:gridSpan w:val="2"/>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860" w:type="dxa"/>
            <w:vAlign w:val="bottom"/>
            <w:tcBorders>
              <w:bottom w:val="single" w:sz="8" w:color="E5F1F9"/>
            </w:tcBorders>
            <w:shd w:val="clear" w:color="auto" w:fill="E5F1F9"/>
          </w:tcPr>
          <w:p>
            <w:pPr>
              <w:jc w:val="right"/>
              <w:ind w:right="20"/>
              <w:spacing w:after="0"/>
              <w:rPr>
                <w:sz w:val="20"/>
                <w:szCs w:val="20"/>
                <w:color w:val="auto"/>
              </w:rPr>
            </w:pPr>
            <w:r>
              <w:rPr>
                <w:rFonts w:ascii="Arial" w:cs="Arial" w:eastAsia="Arial" w:hAnsi="Arial"/>
                <w:sz w:val="16"/>
                <w:szCs w:val="16"/>
                <w:color w:val="auto"/>
              </w:rPr>
              <w:t>235.8</w:t>
            </w:r>
          </w:p>
        </w:tc>
        <w:tc>
          <w:tcPr>
            <w:tcW w:w="18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 </w:t>
            </w:r>
          </w:p>
        </w:tc>
      </w:tr>
      <w:tr>
        <w:trPr>
          <w:trHeight w:val="277"/>
        </w:trPr>
        <w:tc>
          <w:tcPr>
            <w:tcW w:w="8600" w:type="dxa"/>
            <w:vAlign w:val="bottom"/>
            <w:tcBorders>
              <w:bottom w:val="single" w:sz="8" w:color="B2D5EE"/>
            </w:tcBorders>
            <w:shd w:val="clear" w:color="auto" w:fill="B2D5EE"/>
          </w:tcPr>
          <w:p>
            <w:pPr>
              <w:ind w:left="420"/>
              <w:spacing w:after="0"/>
              <w:rPr>
                <w:sz w:val="20"/>
                <w:szCs w:val="20"/>
                <w:color w:val="auto"/>
              </w:rPr>
            </w:pPr>
            <w:r>
              <w:rPr>
                <w:rFonts w:ascii="Arial" w:cs="Arial" w:eastAsia="Arial" w:hAnsi="Arial"/>
                <w:sz w:val="16"/>
                <w:szCs w:val="16"/>
                <w:color w:val="auto"/>
              </w:rPr>
              <w:t>Amortization of Reata inventory fair value step-up</w:t>
            </w:r>
          </w:p>
        </w:tc>
        <w:tc>
          <w:tcPr>
            <w:tcW w:w="300" w:type="dxa"/>
            <w:vAlign w:val="bottom"/>
            <w:tcBorders>
              <w:bottom w:val="single" w:sz="8" w:color="B2D5EE"/>
            </w:tcBorders>
            <w:gridSpan w:val="2"/>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860" w:type="dxa"/>
            <w:vAlign w:val="bottom"/>
            <w:tcBorders>
              <w:bottom w:val="single" w:sz="8" w:color="B2D5EE"/>
            </w:tcBorders>
            <w:shd w:val="clear" w:color="auto" w:fill="B2D5EE"/>
          </w:tcPr>
          <w:p>
            <w:pPr>
              <w:jc w:val="right"/>
              <w:ind w:right="20"/>
              <w:spacing w:after="0"/>
              <w:rPr>
                <w:sz w:val="20"/>
                <w:szCs w:val="20"/>
                <w:color w:val="auto"/>
              </w:rPr>
            </w:pPr>
            <w:r>
              <w:rPr>
                <w:rFonts w:ascii="Arial" w:cs="Arial" w:eastAsia="Arial" w:hAnsi="Arial"/>
                <w:sz w:val="16"/>
                <w:szCs w:val="16"/>
                <w:color w:val="auto"/>
              </w:rPr>
              <w:t>234.2</w:t>
            </w:r>
          </w:p>
        </w:tc>
        <w:tc>
          <w:tcPr>
            <w:tcW w:w="18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220.7</w:t>
            </w:r>
          </w:p>
        </w:tc>
      </w:tr>
      <w:tr>
        <w:trPr>
          <w:trHeight w:val="277"/>
        </w:trPr>
        <w:tc>
          <w:tcPr>
            <w:tcW w:w="8600" w:type="dxa"/>
            <w:vAlign w:val="bottom"/>
            <w:tcBorders>
              <w:bottom w:val="single" w:sz="8" w:color="E5F1F9"/>
            </w:tcBorders>
            <w:shd w:val="clear" w:color="auto" w:fill="E5F1F9"/>
          </w:tcPr>
          <w:p>
            <w:pPr>
              <w:ind w:left="420"/>
              <w:spacing w:after="0"/>
              <w:rPr>
                <w:sz w:val="20"/>
                <w:szCs w:val="20"/>
                <w:color w:val="auto"/>
              </w:rPr>
            </w:pPr>
            <w:r>
              <w:rPr>
                <w:rFonts w:ascii="Arial" w:cs="Arial" w:eastAsia="Arial" w:hAnsi="Arial"/>
                <w:sz w:val="16"/>
                <w:szCs w:val="16"/>
                <w:color w:val="auto"/>
              </w:rPr>
              <w:t>Acceleration of share-based compensation expense and related taxes</w:t>
            </w:r>
          </w:p>
        </w:tc>
        <w:tc>
          <w:tcPr>
            <w:tcW w:w="300" w:type="dxa"/>
            <w:vAlign w:val="bottom"/>
            <w:tcBorders>
              <w:bottom w:val="single" w:sz="8" w:color="E5F1F9"/>
            </w:tcBorders>
            <w:gridSpan w:val="2"/>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860" w:type="dxa"/>
            <w:vAlign w:val="bottom"/>
            <w:tcBorders>
              <w:bottom w:val="single" w:sz="8" w:color="E5F1F9"/>
            </w:tcBorders>
            <w:shd w:val="clear" w:color="auto" w:fill="E5F1F9"/>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56.4</w:t>
            </w:r>
          </w:p>
        </w:tc>
      </w:tr>
      <w:tr>
        <w:trPr>
          <w:trHeight w:val="277"/>
        </w:trPr>
        <w:tc>
          <w:tcPr>
            <w:tcW w:w="8600" w:type="dxa"/>
            <w:vAlign w:val="bottom"/>
            <w:tcBorders>
              <w:bottom w:val="single" w:sz="8" w:color="B2D5EE"/>
            </w:tcBorders>
            <w:shd w:val="clear" w:color="auto" w:fill="B2D5EE"/>
          </w:tcPr>
          <w:p>
            <w:pPr>
              <w:ind w:left="420"/>
              <w:spacing w:after="0"/>
              <w:rPr>
                <w:sz w:val="20"/>
                <w:szCs w:val="20"/>
                <w:color w:val="auto"/>
              </w:rPr>
            </w:pPr>
            <w:r>
              <w:rPr>
                <w:rFonts w:ascii="Arial" w:cs="Arial" w:eastAsia="Arial" w:hAnsi="Arial"/>
                <w:sz w:val="16"/>
                <w:szCs w:val="16"/>
                <w:color w:val="auto"/>
              </w:rPr>
              <w:t>Impairment of acquired intangible assets</w:t>
            </w:r>
          </w:p>
        </w:tc>
        <w:tc>
          <w:tcPr>
            <w:tcW w:w="300" w:type="dxa"/>
            <w:vAlign w:val="bottom"/>
            <w:tcBorders>
              <w:bottom w:val="single" w:sz="8" w:color="B2D5EE"/>
            </w:tcBorders>
            <w:gridSpan w:val="2"/>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860" w:type="dxa"/>
            <w:vAlign w:val="bottom"/>
            <w:tcBorders>
              <w:bottom w:val="single" w:sz="8" w:color="B2D5EE"/>
            </w:tcBorders>
            <w:shd w:val="clear" w:color="auto" w:fill="B2D5EE"/>
          </w:tcPr>
          <w:p>
            <w:pPr>
              <w:jc w:val="right"/>
              <w:ind w:right="20"/>
              <w:spacing w:after="0"/>
              <w:rPr>
                <w:sz w:val="20"/>
                <w:szCs w:val="20"/>
                <w:color w:val="auto"/>
              </w:rPr>
            </w:pPr>
            <w:r>
              <w:rPr>
                <w:rFonts w:ascii="Arial" w:cs="Arial" w:eastAsia="Arial" w:hAnsi="Arial"/>
                <w:sz w:val="16"/>
                <w:szCs w:val="16"/>
                <w:color w:val="auto"/>
              </w:rPr>
              <w:t>7.9</w:t>
            </w:r>
          </w:p>
        </w:tc>
        <w:tc>
          <w:tcPr>
            <w:tcW w:w="18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60.2</w:t>
            </w:r>
          </w:p>
        </w:tc>
      </w:tr>
      <w:tr>
        <w:trPr>
          <w:trHeight w:val="297"/>
        </w:trPr>
        <w:tc>
          <w:tcPr>
            <w:tcW w:w="8600" w:type="dxa"/>
            <w:vAlign w:val="bottom"/>
            <w:shd w:val="clear" w:color="auto" w:fill="E5F1F9"/>
          </w:tcPr>
          <w:p>
            <w:pPr>
              <w:ind w:left="420"/>
              <w:spacing w:after="0"/>
              <w:rPr>
                <w:sz w:val="20"/>
                <w:szCs w:val="20"/>
                <w:color w:val="auto"/>
              </w:rPr>
            </w:pPr>
            <w:r>
              <w:rPr>
                <w:rFonts w:ascii="Arial" w:cs="Arial" w:eastAsia="Arial" w:hAnsi="Arial"/>
                <w:sz w:val="16"/>
                <w:szCs w:val="16"/>
                <w:color w:val="auto"/>
              </w:rPr>
              <w:t xml:space="preserve">Impairment of right-of-use asset </w:t>
            </w:r>
            <w:r>
              <w:rPr>
                <w:rFonts w:ascii="Arial" w:cs="Arial" w:eastAsia="Arial" w:hAnsi="Arial"/>
                <w:sz w:val="24"/>
                <w:szCs w:val="24"/>
                <w:color w:val="auto"/>
                <w:vertAlign w:val="superscript"/>
              </w:rPr>
              <w:t>A</w:t>
            </w:r>
          </w:p>
        </w:tc>
        <w:tc>
          <w:tcPr>
            <w:tcW w:w="300" w:type="dxa"/>
            <w:vAlign w:val="bottom"/>
            <w:gridSpan w:val="2"/>
            <w:shd w:val="clear" w:color="auto" w:fill="E5F1F9"/>
          </w:tcPr>
          <w:p>
            <w:pPr>
              <w:spacing w:after="0"/>
              <w:rPr>
                <w:sz w:val="24"/>
                <w:szCs w:val="24"/>
                <w:color w:val="auto"/>
              </w:rPr>
            </w:pPr>
          </w:p>
        </w:tc>
        <w:tc>
          <w:tcPr>
            <w:tcW w:w="160" w:type="dxa"/>
            <w:vAlign w:val="bottom"/>
            <w:shd w:val="clear" w:color="auto" w:fill="E5F1F9"/>
          </w:tcPr>
          <w:p>
            <w:pPr>
              <w:spacing w:after="0"/>
              <w:rPr>
                <w:sz w:val="24"/>
                <w:szCs w:val="24"/>
                <w:color w:val="auto"/>
              </w:rPr>
            </w:pPr>
          </w:p>
        </w:tc>
        <w:tc>
          <w:tcPr>
            <w:tcW w:w="860" w:type="dxa"/>
            <w:vAlign w:val="bottom"/>
            <w:shd w:val="clear" w:color="auto" w:fill="E5F1F9"/>
          </w:tcPr>
          <w:p>
            <w:pPr>
              <w:jc w:val="right"/>
              <w:ind w:right="20"/>
              <w:spacing w:after="0"/>
              <w:rPr>
                <w:sz w:val="20"/>
                <w:szCs w:val="20"/>
                <w:color w:val="auto"/>
              </w:rPr>
            </w:pPr>
            <w:r>
              <w:rPr>
                <w:rFonts w:ascii="Arial" w:cs="Arial" w:eastAsia="Arial" w:hAnsi="Arial"/>
                <w:sz w:val="16"/>
                <w:szCs w:val="16"/>
                <w:color w:val="auto"/>
              </w:rPr>
              <w:t>52.9</w:t>
            </w:r>
          </w:p>
        </w:tc>
        <w:tc>
          <w:tcPr>
            <w:tcW w:w="180" w:type="dxa"/>
            <w:vAlign w:val="bottom"/>
            <w:shd w:val="clear" w:color="auto" w:fill="E5F1F9"/>
          </w:tcPr>
          <w:p>
            <w:pPr>
              <w:spacing w:after="0"/>
              <w:rPr>
                <w:sz w:val="24"/>
                <w:szCs w:val="24"/>
                <w:color w:val="auto"/>
              </w:rPr>
            </w:pPr>
          </w:p>
        </w:tc>
        <w:tc>
          <w:tcPr>
            <w:tcW w:w="160" w:type="dxa"/>
            <w:vAlign w:val="bottom"/>
            <w:shd w:val="clear" w:color="auto" w:fill="E5F1F9"/>
          </w:tcPr>
          <w:p>
            <w:pPr>
              <w:spacing w:after="0"/>
              <w:rPr>
                <w:sz w:val="24"/>
                <w:szCs w:val="24"/>
                <w:color w:val="auto"/>
              </w:rPr>
            </w:pPr>
          </w:p>
        </w:tc>
        <w:tc>
          <w:tcPr>
            <w:tcW w:w="760" w:type="dxa"/>
            <w:vAlign w:val="bottom"/>
            <w:shd w:val="clear" w:color="auto" w:fill="E5F1F9"/>
          </w:tcPr>
          <w:p>
            <w:pPr>
              <w:jc w:val="right"/>
              <w:spacing w:after="0"/>
              <w:rPr>
                <w:sz w:val="20"/>
                <w:szCs w:val="20"/>
                <w:color w:val="auto"/>
              </w:rPr>
            </w:pPr>
            <w:r>
              <w:rPr>
                <w:rFonts w:ascii="Arial" w:cs="Arial" w:eastAsia="Arial" w:hAnsi="Arial"/>
                <w:sz w:val="16"/>
                <w:szCs w:val="16"/>
                <w:color w:val="auto"/>
              </w:rPr>
              <w:t>— </w:t>
            </w:r>
          </w:p>
        </w:tc>
      </w:tr>
      <w:tr>
        <w:trPr>
          <w:trHeight w:val="277"/>
        </w:trPr>
        <w:tc>
          <w:tcPr>
            <w:tcW w:w="8600" w:type="dxa"/>
            <w:vAlign w:val="bottom"/>
            <w:tcBorders>
              <w:bottom w:val="single" w:sz="8" w:color="B2D5EE"/>
            </w:tcBorders>
            <w:shd w:val="clear" w:color="auto" w:fill="B2D5EE"/>
          </w:tcPr>
          <w:p>
            <w:pPr>
              <w:ind w:left="420"/>
              <w:spacing w:after="0"/>
              <w:rPr>
                <w:sz w:val="20"/>
                <w:szCs w:val="20"/>
                <w:color w:val="auto"/>
              </w:rPr>
            </w:pPr>
            <w:r>
              <w:rPr>
                <w:rFonts w:ascii="Arial" w:cs="Arial" w:eastAsia="Arial" w:hAnsi="Arial"/>
                <w:sz w:val="16"/>
                <w:szCs w:val="16"/>
                <w:color w:val="auto"/>
              </w:rPr>
              <w:t>Acquisition-related transaction and integration costs</w:t>
            </w:r>
          </w:p>
        </w:tc>
        <w:tc>
          <w:tcPr>
            <w:tcW w:w="300" w:type="dxa"/>
            <w:vAlign w:val="bottom"/>
            <w:tcBorders>
              <w:bottom w:val="single" w:sz="8" w:color="B2D5EE"/>
            </w:tcBorders>
            <w:gridSpan w:val="2"/>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860" w:type="dxa"/>
            <w:vAlign w:val="bottom"/>
            <w:tcBorders>
              <w:bottom w:val="single" w:sz="8" w:color="B2D5EE"/>
            </w:tcBorders>
            <w:shd w:val="clear" w:color="auto" w:fill="B2D5EE"/>
          </w:tcPr>
          <w:p>
            <w:pPr>
              <w:jc w:val="right"/>
              <w:ind w:right="20"/>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20.3</w:t>
            </w:r>
          </w:p>
        </w:tc>
      </w:tr>
      <w:tr>
        <w:trPr>
          <w:trHeight w:val="277"/>
        </w:trPr>
        <w:tc>
          <w:tcPr>
            <w:tcW w:w="8600" w:type="dxa"/>
            <w:vAlign w:val="bottom"/>
            <w:tcBorders>
              <w:bottom w:val="single" w:sz="8" w:color="E5F1F9"/>
            </w:tcBorders>
            <w:shd w:val="clear" w:color="auto" w:fill="E5F1F9"/>
          </w:tcPr>
          <w:p>
            <w:pPr>
              <w:ind w:left="420"/>
              <w:spacing w:after="0"/>
              <w:rPr>
                <w:sz w:val="20"/>
                <w:szCs w:val="20"/>
                <w:color w:val="auto"/>
              </w:rPr>
            </w:pPr>
            <w:r>
              <w:rPr>
                <w:rFonts w:ascii="Arial" w:cs="Arial" w:eastAsia="Arial" w:hAnsi="Arial"/>
                <w:sz w:val="16"/>
                <w:szCs w:val="16"/>
                <w:color w:val="auto"/>
              </w:rPr>
              <w:t>Amortization of acquired intangible assets</w:t>
            </w:r>
          </w:p>
        </w:tc>
        <w:tc>
          <w:tcPr>
            <w:tcW w:w="300" w:type="dxa"/>
            <w:vAlign w:val="bottom"/>
            <w:tcBorders>
              <w:bottom w:val="single" w:sz="8" w:color="E5F1F9"/>
            </w:tcBorders>
            <w:gridSpan w:val="2"/>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860" w:type="dxa"/>
            <w:vAlign w:val="bottom"/>
            <w:tcBorders>
              <w:bottom w:val="single" w:sz="8" w:color="E5F1F9"/>
            </w:tcBorders>
            <w:shd w:val="clear" w:color="auto" w:fill="E5F1F9"/>
          </w:tcPr>
          <w:p>
            <w:pPr>
              <w:jc w:val="right"/>
              <w:ind w:right="20"/>
              <w:spacing w:after="0"/>
              <w:rPr>
                <w:sz w:val="20"/>
                <w:szCs w:val="20"/>
                <w:color w:val="auto"/>
              </w:rPr>
            </w:pPr>
            <w:r>
              <w:rPr>
                <w:rFonts w:ascii="Arial" w:cs="Arial" w:eastAsia="Arial" w:hAnsi="Arial"/>
                <w:sz w:val="16"/>
                <w:szCs w:val="16"/>
                <w:color w:val="auto"/>
              </w:rPr>
              <w:t>456.8</w:t>
            </w:r>
          </w:p>
        </w:tc>
        <w:tc>
          <w:tcPr>
            <w:tcW w:w="18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341.7</w:t>
            </w:r>
          </w:p>
        </w:tc>
      </w:tr>
      <w:tr>
        <w:trPr>
          <w:trHeight w:val="277"/>
        </w:trPr>
        <w:tc>
          <w:tcPr>
            <w:tcW w:w="8600" w:type="dxa"/>
            <w:vAlign w:val="bottom"/>
            <w:tcBorders>
              <w:bottom w:val="single" w:sz="8" w:color="B2D5EE"/>
            </w:tcBorders>
            <w:shd w:val="clear" w:color="auto" w:fill="B2D5EE"/>
          </w:tcPr>
          <w:p>
            <w:pPr>
              <w:ind w:left="420"/>
              <w:spacing w:after="0"/>
              <w:rPr>
                <w:sz w:val="20"/>
                <w:szCs w:val="20"/>
                <w:color w:val="auto"/>
              </w:rPr>
            </w:pPr>
            <w:r>
              <w:rPr>
                <w:rFonts w:ascii="Arial" w:cs="Arial" w:eastAsia="Arial" w:hAnsi="Arial"/>
                <w:sz w:val="16"/>
                <w:szCs w:val="16"/>
                <w:color w:val="auto"/>
              </w:rPr>
              <w:t>Restructuring charges and other cost saving initiatives</w:t>
            </w:r>
          </w:p>
        </w:tc>
        <w:tc>
          <w:tcPr>
            <w:tcW w:w="300" w:type="dxa"/>
            <w:vAlign w:val="bottom"/>
            <w:tcBorders>
              <w:bottom w:val="single" w:sz="8" w:color="B2D5EE"/>
            </w:tcBorders>
            <w:gridSpan w:val="2"/>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860" w:type="dxa"/>
            <w:vAlign w:val="bottom"/>
            <w:tcBorders>
              <w:bottom w:val="single" w:sz="8" w:color="B2D5EE"/>
            </w:tcBorders>
            <w:shd w:val="clear" w:color="auto" w:fill="B2D5EE"/>
          </w:tcPr>
          <w:p>
            <w:pPr>
              <w:jc w:val="right"/>
              <w:ind w:right="20"/>
              <w:spacing w:after="0"/>
              <w:rPr>
                <w:sz w:val="20"/>
                <w:szCs w:val="20"/>
                <w:color w:val="auto"/>
              </w:rPr>
            </w:pPr>
            <w:r>
              <w:rPr>
                <w:rFonts w:ascii="Arial" w:cs="Arial" w:eastAsia="Arial" w:hAnsi="Arial"/>
                <w:sz w:val="16"/>
                <w:szCs w:val="16"/>
                <w:color w:val="auto"/>
              </w:rPr>
              <w:t>78.6</w:t>
            </w:r>
          </w:p>
        </w:tc>
        <w:tc>
          <w:tcPr>
            <w:tcW w:w="18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75.0</w:t>
            </w:r>
          </w:p>
        </w:tc>
      </w:tr>
      <w:tr>
        <w:trPr>
          <w:trHeight w:val="277"/>
        </w:trPr>
        <w:tc>
          <w:tcPr>
            <w:tcW w:w="8600" w:type="dxa"/>
            <w:vAlign w:val="bottom"/>
            <w:tcBorders>
              <w:bottom w:val="single" w:sz="8" w:color="E5F1F9"/>
            </w:tcBorders>
            <w:shd w:val="clear" w:color="auto" w:fill="E5F1F9"/>
          </w:tcPr>
          <w:p>
            <w:pPr>
              <w:ind w:left="4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300" w:type="dxa"/>
            <w:vAlign w:val="bottom"/>
            <w:tcBorders>
              <w:bottom w:val="single" w:sz="8" w:color="E5F1F9"/>
            </w:tcBorders>
            <w:gridSpan w:val="2"/>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860" w:type="dxa"/>
            <w:vAlign w:val="bottom"/>
            <w:tcBorders>
              <w:bottom w:val="single" w:sz="8" w:color="E5F1F9"/>
            </w:tcBorders>
            <w:shd w:val="clear" w:color="auto" w:fill="E5F1F9"/>
          </w:tcPr>
          <w:p>
            <w:pPr>
              <w:jc w:val="right"/>
              <w:ind w:right="20"/>
              <w:spacing w:after="0"/>
              <w:rPr>
                <w:sz w:val="20"/>
                <w:szCs w:val="20"/>
                <w:color w:val="auto"/>
              </w:rPr>
            </w:pPr>
            <w:r>
              <w:rPr>
                <w:rFonts w:ascii="Arial" w:cs="Arial" w:eastAsia="Arial" w:hAnsi="Arial"/>
                <w:sz w:val="16"/>
                <w:szCs w:val="16"/>
                <w:color w:val="auto"/>
              </w:rPr>
              <w:t>33.6</w:t>
            </w:r>
          </w:p>
        </w:tc>
        <w:tc>
          <w:tcPr>
            <w:tcW w:w="18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27.7</w:t>
            </w:r>
          </w:p>
        </w:tc>
      </w:tr>
      <w:tr>
        <w:trPr>
          <w:trHeight w:val="277"/>
        </w:trPr>
        <w:tc>
          <w:tcPr>
            <w:tcW w:w="8600" w:type="dxa"/>
            <w:vAlign w:val="bottom"/>
            <w:tcBorders>
              <w:bottom w:val="single" w:sz="8" w:color="B2D5EE"/>
            </w:tcBorders>
            <w:shd w:val="clear" w:color="auto" w:fill="B2D5EE"/>
          </w:tcPr>
          <w:p>
            <w:pPr>
              <w:ind w:left="420"/>
              <w:spacing w:after="0"/>
              <w:rPr>
                <w:sz w:val="20"/>
                <w:szCs w:val="20"/>
                <w:color w:val="auto"/>
              </w:rPr>
            </w:pPr>
            <w:r>
              <w:rPr>
                <w:rFonts w:ascii="Arial" w:cs="Arial" w:eastAsia="Arial" w:hAnsi="Arial"/>
                <w:sz w:val="16"/>
                <w:szCs w:val="16"/>
                <w:color w:val="auto"/>
              </w:rPr>
              <w:t>(Gain) loss on equity security investments</w:t>
            </w:r>
          </w:p>
        </w:tc>
        <w:tc>
          <w:tcPr>
            <w:tcW w:w="300" w:type="dxa"/>
            <w:vAlign w:val="bottom"/>
            <w:tcBorders>
              <w:bottom w:val="single" w:sz="8" w:color="B2D5EE"/>
            </w:tcBorders>
            <w:gridSpan w:val="2"/>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860" w:type="dxa"/>
            <w:vAlign w:val="bottom"/>
            <w:tcBorders>
              <w:bottom w:val="single" w:sz="8" w:color="B2D5EE"/>
            </w:tcBorders>
            <w:shd w:val="clear" w:color="auto" w:fill="B2D5EE"/>
          </w:tcPr>
          <w:p>
            <w:pPr>
              <w:jc w:val="right"/>
              <w:ind w:right="20"/>
              <w:spacing w:after="0"/>
              <w:rPr>
                <w:sz w:val="20"/>
                <w:szCs w:val="20"/>
                <w:color w:val="auto"/>
              </w:rPr>
            </w:pPr>
            <w:r>
              <w:rPr>
                <w:rFonts w:ascii="Arial" w:cs="Arial" w:eastAsia="Arial" w:hAnsi="Arial"/>
                <w:sz w:val="16"/>
                <w:szCs w:val="16"/>
                <w:color w:val="auto"/>
              </w:rPr>
              <w:t>19.7</w:t>
            </w:r>
          </w:p>
        </w:tc>
        <w:tc>
          <w:tcPr>
            <w:tcW w:w="18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100.4</w:t>
            </w:r>
          </w:p>
        </w:tc>
      </w:tr>
      <w:tr>
        <w:trPr>
          <w:trHeight w:val="277"/>
        </w:trPr>
        <w:tc>
          <w:tcPr>
            <w:tcW w:w="8600" w:type="dxa"/>
            <w:vAlign w:val="bottom"/>
            <w:tcBorders>
              <w:bottom w:val="single" w:sz="8" w:color="E5F1F9"/>
            </w:tcBorders>
            <w:shd w:val="clear" w:color="auto" w:fill="E5F1F9"/>
          </w:tcPr>
          <w:p>
            <w:pPr>
              <w:ind w:left="420"/>
              <w:spacing w:after="0"/>
              <w:rPr>
                <w:sz w:val="20"/>
                <w:szCs w:val="20"/>
                <w:color w:val="auto"/>
              </w:rPr>
            </w:pPr>
            <w:r>
              <w:rPr>
                <w:rFonts w:ascii="Arial" w:cs="Arial" w:eastAsia="Arial" w:hAnsi="Arial"/>
                <w:sz w:val="16"/>
                <w:szCs w:val="16"/>
                <w:color w:val="auto"/>
              </w:rPr>
              <w:t>U.S. tax reform</w:t>
            </w:r>
          </w:p>
        </w:tc>
        <w:tc>
          <w:tcPr>
            <w:tcW w:w="300" w:type="dxa"/>
            <w:vAlign w:val="bottom"/>
            <w:tcBorders>
              <w:bottom w:val="single" w:sz="8" w:color="E5F1F9"/>
            </w:tcBorders>
            <w:gridSpan w:val="2"/>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860" w:type="dxa"/>
            <w:vAlign w:val="bottom"/>
            <w:tcBorders>
              <w:bottom w:val="single" w:sz="8" w:color="E5F1F9"/>
            </w:tcBorders>
            <w:shd w:val="clear" w:color="auto" w:fill="E5F1F9"/>
          </w:tcPr>
          <w:p>
            <w:pPr>
              <w:jc w:val="right"/>
              <w:ind w:right="20"/>
              <w:spacing w:after="0"/>
              <w:rPr>
                <w:sz w:val="20"/>
                <w:szCs w:val="20"/>
                <w:color w:val="auto"/>
              </w:rPr>
            </w:pPr>
            <w:r>
              <w:rPr>
                <w:rFonts w:ascii="Arial" w:cs="Arial" w:eastAsia="Arial" w:hAnsi="Arial"/>
                <w:sz w:val="16"/>
                <w:szCs w:val="16"/>
                <w:color w:val="auto"/>
              </w:rPr>
              <w:t>(11.5)</w:t>
            </w:r>
          </w:p>
        </w:tc>
        <w:tc>
          <w:tcPr>
            <w:tcW w:w="180" w:type="dxa"/>
            <w:vAlign w:val="bottom"/>
            <w:tcBorders>
              <w:bottom w:val="single" w:sz="8" w:color="E5F1F9"/>
            </w:tcBorders>
            <w:shd w:val="clear" w:color="auto" w:fill="E5F1F9"/>
          </w:tcPr>
          <w:p>
            <w:pPr>
              <w:spacing w:after="0"/>
              <w:rPr>
                <w:sz w:val="24"/>
                <w:szCs w:val="24"/>
                <w:color w:val="auto"/>
              </w:rPr>
            </w:pPr>
          </w:p>
        </w:tc>
        <w:tc>
          <w:tcPr>
            <w:tcW w:w="160" w:type="dxa"/>
            <w:vAlign w:val="bottom"/>
            <w:tcBorders>
              <w:bottom w:val="single" w:sz="8" w:color="E5F1F9"/>
            </w:tcBorders>
            <w:shd w:val="clear" w:color="auto" w:fill="E5F1F9"/>
          </w:tcPr>
          <w:p>
            <w:pPr>
              <w:spacing w:after="0"/>
              <w:rPr>
                <w:sz w:val="24"/>
                <w:szCs w:val="24"/>
                <w:color w:val="auto"/>
              </w:rPr>
            </w:pPr>
          </w:p>
        </w:tc>
        <w:tc>
          <w:tcPr>
            <w:tcW w:w="760" w:type="dxa"/>
            <w:vAlign w:val="bottom"/>
            <w:tcBorders>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 </w:t>
            </w:r>
          </w:p>
        </w:tc>
      </w:tr>
      <w:tr>
        <w:trPr>
          <w:trHeight w:val="277"/>
        </w:trPr>
        <w:tc>
          <w:tcPr>
            <w:tcW w:w="8600" w:type="dxa"/>
            <w:vAlign w:val="bottom"/>
            <w:tcBorders>
              <w:bottom w:val="single" w:sz="8" w:color="B2D5EE"/>
            </w:tcBorders>
            <w:shd w:val="clear" w:color="auto" w:fill="B2D5EE"/>
          </w:tcPr>
          <w:p>
            <w:pPr>
              <w:ind w:left="420"/>
              <w:spacing w:after="0"/>
              <w:rPr>
                <w:sz w:val="20"/>
                <w:szCs w:val="20"/>
                <w:color w:val="auto"/>
              </w:rPr>
            </w:pPr>
            <w:r>
              <w:rPr>
                <w:rFonts w:ascii="Arial" w:cs="Arial" w:eastAsia="Arial" w:hAnsi="Arial"/>
                <w:sz w:val="16"/>
                <w:szCs w:val="16"/>
                <w:color w:val="auto"/>
              </w:rPr>
              <w:t>Income tax effect related to Non-GAAP reconciling items</w:t>
            </w:r>
          </w:p>
        </w:tc>
        <w:tc>
          <w:tcPr>
            <w:tcW w:w="300" w:type="dxa"/>
            <w:vAlign w:val="bottom"/>
            <w:tcBorders>
              <w:bottom w:val="single" w:sz="8" w:color="B2D5EE"/>
            </w:tcBorders>
            <w:gridSpan w:val="2"/>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860" w:type="dxa"/>
            <w:vAlign w:val="bottom"/>
            <w:tcBorders>
              <w:bottom w:val="single" w:sz="8" w:color="B2D5EE"/>
            </w:tcBorders>
            <w:shd w:val="clear" w:color="auto" w:fill="B2D5EE"/>
          </w:tcPr>
          <w:p>
            <w:pPr>
              <w:jc w:val="right"/>
              <w:ind w:right="20"/>
              <w:spacing w:after="0"/>
              <w:rPr>
                <w:sz w:val="20"/>
                <w:szCs w:val="20"/>
                <w:color w:val="auto"/>
              </w:rPr>
            </w:pPr>
            <w:r>
              <w:rPr>
                <w:rFonts w:ascii="Arial" w:cs="Arial" w:eastAsia="Arial" w:hAnsi="Arial"/>
                <w:sz w:val="16"/>
                <w:szCs w:val="16"/>
                <w:color w:val="auto"/>
              </w:rPr>
              <w:t>(136.7)</w:t>
            </w:r>
          </w:p>
        </w:tc>
        <w:tc>
          <w:tcPr>
            <w:tcW w:w="180" w:type="dxa"/>
            <w:vAlign w:val="bottom"/>
            <w:tcBorders>
              <w:bottom w:val="single" w:sz="8" w:color="B2D5EE"/>
            </w:tcBorders>
            <w:shd w:val="clear" w:color="auto" w:fill="B2D5EE"/>
          </w:tcPr>
          <w:p>
            <w:pPr>
              <w:spacing w:after="0"/>
              <w:rPr>
                <w:sz w:val="24"/>
                <w:szCs w:val="24"/>
                <w:color w:val="auto"/>
              </w:rPr>
            </w:pPr>
          </w:p>
        </w:tc>
        <w:tc>
          <w:tcPr>
            <w:tcW w:w="160" w:type="dxa"/>
            <w:vAlign w:val="bottom"/>
            <w:tcBorders>
              <w:bottom w:val="single" w:sz="8" w:color="B2D5EE"/>
            </w:tcBorders>
            <w:shd w:val="clear" w:color="auto" w:fill="B2D5EE"/>
          </w:tcPr>
          <w:p>
            <w:pPr>
              <w:spacing w:after="0"/>
              <w:rPr>
                <w:sz w:val="24"/>
                <w:szCs w:val="24"/>
                <w:color w:val="auto"/>
              </w:rPr>
            </w:pPr>
          </w:p>
        </w:tc>
        <w:tc>
          <w:tcPr>
            <w:tcW w:w="760" w:type="dxa"/>
            <w:vAlign w:val="bottom"/>
            <w:tcBorders>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(138.3)</w:t>
            </w:r>
          </w:p>
        </w:tc>
      </w:tr>
      <w:tr>
        <w:trPr>
          <w:trHeight w:val="248"/>
        </w:trPr>
        <w:tc>
          <w:tcPr>
            <w:tcW w:w="8600" w:type="dxa"/>
            <w:vAlign w:val="bottom"/>
            <w:tcBorders>
              <w:bottom w:val="single" w:sz="8" w:color="E5F1F9"/>
            </w:tcBorders>
            <w:shd w:val="clear" w:color="auto" w:fill="E5F1F9"/>
          </w:tcPr>
          <w:p>
            <w:pPr>
              <w:ind w:left="4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E5F1F9"/>
            </w:tcBorders>
            <w:gridSpan w:val="2"/>
            <w:shd w:val="clear" w:color="auto" w:fill="E5F1F9"/>
          </w:tcPr>
          <w:p>
            <w:pPr>
              <w:spacing w:after="0"/>
              <w:rPr>
                <w:sz w:val="21"/>
                <w:szCs w:val="21"/>
                <w:color w:val="auto"/>
              </w:rPr>
            </w:pPr>
          </w:p>
        </w:tc>
        <w:tc>
          <w:tcPr>
            <w:tcW w:w="160" w:type="dxa"/>
            <w:vAlign w:val="bottom"/>
            <w:tcBorders>
              <w:bottom w:val="single" w:sz="8" w:color="E5F1F9"/>
            </w:tcBorders>
            <w:shd w:val="clear" w:color="auto" w:fill="E5F1F9"/>
          </w:tcPr>
          <w:p>
            <w:pPr>
              <w:spacing w:after="0"/>
              <w:rPr>
                <w:sz w:val="21"/>
                <w:szCs w:val="21"/>
                <w:color w:val="auto"/>
              </w:rPr>
            </w:pPr>
          </w:p>
        </w:tc>
        <w:tc>
          <w:tcPr>
            <w:tcW w:w="860" w:type="dxa"/>
            <w:vAlign w:val="bottom"/>
            <w:tcBorders>
              <w:bottom w:val="single" w:sz="8" w:color="E5F1F9"/>
            </w:tcBorders>
            <w:shd w:val="clear" w:color="auto" w:fill="E5F1F9"/>
          </w:tcPr>
          <w:p>
            <w:pPr>
              <w:jc w:val="right"/>
              <w:ind w:right="20"/>
              <w:spacing w:after="0"/>
              <w:rPr>
                <w:sz w:val="20"/>
                <w:szCs w:val="20"/>
                <w:color w:val="auto"/>
              </w:rPr>
            </w:pPr>
            <w:r>
              <w:rPr>
                <w:rFonts w:ascii="Arial" w:cs="Arial" w:eastAsia="Arial" w:hAnsi="Arial"/>
                <w:sz w:val="16"/>
                <w:szCs w:val="16"/>
                <w:color w:val="auto"/>
              </w:rPr>
              <w:t>(23.2)</w:t>
            </w:r>
          </w:p>
        </w:tc>
        <w:tc>
          <w:tcPr>
            <w:tcW w:w="180" w:type="dxa"/>
            <w:vAlign w:val="bottom"/>
            <w:tcBorders>
              <w:bottom w:val="single" w:sz="8" w:color="E5F1F9"/>
            </w:tcBorders>
            <w:shd w:val="clear" w:color="auto" w:fill="E5F1F9"/>
          </w:tcPr>
          <w:p>
            <w:pPr>
              <w:spacing w:after="0"/>
              <w:rPr>
                <w:sz w:val="21"/>
                <w:szCs w:val="21"/>
                <w:color w:val="auto"/>
              </w:rPr>
            </w:pPr>
          </w:p>
        </w:tc>
        <w:tc>
          <w:tcPr>
            <w:tcW w:w="160" w:type="dxa"/>
            <w:vAlign w:val="bottom"/>
            <w:tcBorders>
              <w:bottom w:val="single" w:sz="8" w:color="E5F1F9"/>
            </w:tcBorders>
            <w:shd w:val="clear" w:color="auto" w:fill="E5F1F9"/>
          </w:tcPr>
          <w:p>
            <w:pPr>
              <w:spacing w:after="0"/>
              <w:rPr>
                <w:sz w:val="21"/>
                <w:szCs w:val="21"/>
                <w:color w:val="auto"/>
              </w:rPr>
            </w:pPr>
          </w:p>
        </w:tc>
        <w:tc>
          <w:tcPr>
            <w:tcW w:w="760" w:type="dxa"/>
            <w:vAlign w:val="bottom"/>
            <w:tcBorders>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8600" w:type="dxa"/>
            <w:vAlign w:val="bottom"/>
            <w:tcBorders>
              <w:top w:val="single" w:sz="8" w:color="B2D5EE"/>
              <w:bottom w:val="single" w:sz="8" w:color="B2D5EE"/>
            </w:tcBorders>
            <w:shd w:val="clear" w:color="auto" w:fill="B2D5EE"/>
          </w:tcPr>
          <w:p>
            <w:pPr>
              <w:ind w:left="60"/>
              <w:spacing w:after="0"/>
              <w:rPr>
                <w:sz w:val="20"/>
                <w:szCs w:val="20"/>
                <w:color w:val="auto"/>
              </w:rPr>
            </w:pPr>
            <w:r>
              <w:rPr>
                <w:rFonts w:ascii="Arial" w:cs="Arial" w:eastAsia="Arial" w:hAnsi="Arial"/>
                <w:sz w:val="16"/>
                <w:szCs w:val="16"/>
                <w:color w:val="auto"/>
              </w:rPr>
              <w:t>Non-GAAP net income attributable to Biogen Inc.</w:t>
            </w:r>
          </w:p>
        </w:tc>
        <w:tc>
          <w:tcPr>
            <w:tcW w:w="300" w:type="dxa"/>
            <w:vAlign w:val="bottom"/>
            <w:tcBorders>
              <w:top w:val="single" w:sz="8" w:color="auto"/>
              <w:bottom w:val="single" w:sz="8" w:color="B2D5EE"/>
            </w:tcBorders>
            <w:gridSpan w:val="2"/>
            <w:shd w:val="clear" w:color="auto" w:fill="B2D5EE"/>
          </w:tcPr>
          <w:p>
            <w:pPr>
              <w:spacing w:after="0"/>
              <w:rPr>
                <w:sz w:val="18"/>
                <w:szCs w:val="18"/>
                <w:color w:val="auto"/>
              </w:rPr>
            </w:pPr>
          </w:p>
        </w:tc>
        <w:tc>
          <w:tcPr>
            <w:tcW w:w="160" w:type="dxa"/>
            <w:vAlign w:val="bottom"/>
            <w:tcBorders>
              <w:top w:val="single" w:sz="8" w:color="auto"/>
              <w:bottom w:val="single" w:sz="8" w:color="B2D5EE"/>
            </w:tcBorders>
            <w:shd w:val="clear" w:color="auto" w:fill="B2D5EE"/>
          </w:tcPr>
          <w:p>
            <w:pPr>
              <w:spacing w:after="0"/>
              <w:rPr>
                <w:sz w:val="18"/>
                <w:szCs w:val="18"/>
                <w:color w:val="auto"/>
              </w:rPr>
            </w:pPr>
          </w:p>
        </w:tc>
        <w:tc>
          <w:tcPr>
            <w:tcW w:w="860" w:type="dxa"/>
            <w:vAlign w:val="bottom"/>
            <w:tcBorders>
              <w:top w:val="single" w:sz="8" w:color="auto"/>
              <w:bottom w:val="single" w:sz="8" w:color="B2D5EE"/>
            </w:tcBorders>
            <w:shd w:val="clear" w:color="auto" w:fill="B2D5EE"/>
          </w:tcPr>
          <w:p>
            <w:pPr>
              <w:jc w:val="right"/>
              <w:ind w:right="20"/>
              <w:spacing w:after="0"/>
              <w:rPr>
                <w:sz w:val="20"/>
                <w:szCs w:val="20"/>
                <w:color w:val="auto"/>
              </w:rPr>
            </w:pPr>
            <w:r>
              <w:rPr>
                <w:rFonts w:ascii="Arial" w:cs="Arial" w:eastAsia="Arial" w:hAnsi="Arial"/>
                <w:sz w:val="16"/>
                <w:szCs w:val="16"/>
                <w:color w:val="auto"/>
              </w:rPr>
              <w:t>$2,246.9</w:t>
            </w:r>
          </w:p>
        </w:tc>
        <w:tc>
          <w:tcPr>
            <w:tcW w:w="180" w:type="dxa"/>
            <w:vAlign w:val="bottom"/>
            <w:tcBorders>
              <w:top w:val="single" w:sz="8" w:color="auto"/>
              <w:bottom w:val="single" w:sz="8" w:color="B2D5EE"/>
            </w:tcBorders>
            <w:shd w:val="clear" w:color="auto" w:fill="B2D5EE"/>
          </w:tcPr>
          <w:p>
            <w:pPr>
              <w:spacing w:after="0"/>
              <w:rPr>
                <w:sz w:val="18"/>
                <w:szCs w:val="18"/>
                <w:color w:val="auto"/>
              </w:rPr>
            </w:pPr>
          </w:p>
        </w:tc>
        <w:tc>
          <w:tcPr>
            <w:tcW w:w="160" w:type="dxa"/>
            <w:vAlign w:val="bottom"/>
            <w:tcBorders>
              <w:top w:val="single" w:sz="8" w:color="auto"/>
              <w:bottom w:val="single" w:sz="8" w:color="B2D5EE"/>
            </w:tcBorders>
            <w:shd w:val="clear" w:color="auto" w:fill="B2D5EE"/>
          </w:tcPr>
          <w:p>
            <w:pPr>
              <w:spacing w:after="0"/>
              <w:rPr>
                <w:sz w:val="18"/>
                <w:szCs w:val="18"/>
                <w:color w:val="auto"/>
              </w:rPr>
            </w:pPr>
          </w:p>
        </w:tc>
        <w:tc>
          <w:tcPr>
            <w:tcW w:w="760" w:type="dxa"/>
            <w:vAlign w:val="bottom"/>
            <w:tcBorders>
              <w:top w:val="single" w:sz="8" w:color="auto"/>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$2,403.9</w:t>
            </w:r>
          </w:p>
        </w:tc>
      </w:tr>
      <w:tr>
        <w:trPr>
          <w:trHeight w:val="20"/>
        </w:trPr>
        <w:tc>
          <w:tcPr>
            <w:tcW w:w="8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-3110865</wp:posOffset>
            </wp:positionV>
            <wp:extent cx="1534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52" w:lineRule="exact"/>
        <w:rPr>
          <w:sz w:val="20"/>
          <w:szCs w:val="20"/>
          <w:color w:val="auto"/>
        </w:rPr>
      </w:pPr>
    </w:p>
    <w:p>
      <w:pPr>
        <w:jc w:val="both"/>
        <w:ind w:left="540" w:hanging="424"/>
        <w:spacing w:after="0" w:line="256" w:lineRule="auto"/>
        <w:tabs>
          <w:tab w:leader="none" w:pos="5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As part of our acquisition of Reata, we assumed responsibility for a single-tenant, build-to-suit building of approximately 327,400 square feet of office and laboratory space located in Plano, Texas. During the fourth quarter of 2025 we performed an impairment assessment of this right-of-use asset. As a result of this impairment assessment, we recorded an impairment charge of approximately $52.9 million related to this Reata lease, which is included in impairment of right-of-use asset within our consolidated statements of income for the year ended December 31, 2025.</w:t>
      </w:r>
    </w:p>
    <w:p>
      <w:pPr>
        <w:spacing w:after="0" w:line="119"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4605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19735" cy="146050"/>
                    </a:xfrm>
                    <a:prstGeom prst="rect">
                      <a:avLst/>
                    </a:prstGeom>
                    <a:noFill/>
                    <a:ln>
                      <a:noFill/>
                    </a:ln>
                  </pic:spPr>
                </pic:pic>
              </a:graphicData>
            </a:graphic>
          </wp:inline>
        </w:drawing>
      </w:r>
      <w:r>
        <w:rPr>
          <w:rFonts w:ascii="Arial" w:cs="Arial" w:eastAsia="Arial" w:hAnsi="Arial"/>
          <w:sz w:val="18"/>
          <w:szCs w:val="18"/>
          <w:color w:val="0075C9"/>
        </w:rPr>
        <w:t xml:space="preserve">   2026 Proxy Statement   </w:t>
      </w:r>
      <w:r>
        <w:rPr>
          <w:rFonts w:ascii="Arial" w:cs="Arial" w:eastAsia="Arial" w:hAnsi="Arial"/>
          <w:sz w:val="16"/>
          <w:szCs w:val="16"/>
          <w:color w:val="0075C9"/>
        </w:rPr>
        <w:t>A-1</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40"/>
          <w:szCs w:val="40"/>
          <w:color w:val="0075C9"/>
        </w:rPr>
        <w:t>APPENDIX A</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40"/>
          <w:szCs w:val="40"/>
          <w:color w:val="0075C9"/>
        </w:rPr>
        <w:t xml:space="preserve">GAAP to Non-GAAP Reconciliation </w:t>
      </w:r>
      <w:r>
        <w:rPr>
          <w:rFonts w:ascii="Arial" w:cs="Arial" w:eastAsia="Arial" w:hAnsi="Arial"/>
          <w:sz w:val="21"/>
          <w:szCs w:val="21"/>
          <w:color w:val="0075C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Free Cash Flow Reconciliation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 in millions)</w:t>
      </w:r>
    </w:p>
    <w:p>
      <w:pPr>
        <w:spacing w:after="0" w:line="19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We define free cash flow as net cash provided by (used in) operating activities in the period less capital expenditures made in the period. The following table reconciles net cash provided by (used in) operating activities, a GAAP measure, to free cash flow, a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3860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194" w:lineRule="exact"/>
        <w:rPr>
          <w:sz w:val="20"/>
          <w:szCs w:val="20"/>
          <w:color w:val="auto"/>
        </w:rPr>
      </w:pPr>
    </w:p>
    <w:p>
      <w:pPr>
        <w:ind w:left="8720"/>
        <w:spacing w:after="0"/>
        <w:rPr>
          <w:sz w:val="20"/>
          <w:szCs w:val="20"/>
          <w:color w:val="auto"/>
        </w:rPr>
      </w:pPr>
      <w:r>
        <w:rPr>
          <w:rFonts w:ascii="Arial" w:cs="Arial" w:eastAsia="Arial" w:hAnsi="Arial"/>
          <w:sz w:val="14"/>
          <w:szCs w:val="14"/>
          <w:color w:val="FFFFFF"/>
        </w:rPr>
        <w:t>   For the 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-95885</wp:posOffset>
            </wp:positionV>
            <wp:extent cx="1988820" cy="3683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988820" cy="36830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right"/>
              <w:ind w:right="39"/>
              <w:spacing w:after="0"/>
              <w:rPr>
                <w:sz w:val="20"/>
                <w:szCs w:val="20"/>
                <w:color w:val="auto"/>
              </w:rPr>
            </w:pPr>
            <w:r>
              <w:rPr>
                <w:rFonts w:ascii="Arial" w:cs="Arial" w:eastAsia="Arial" w:hAnsi="Arial"/>
                <w:sz w:val="14"/>
                <w:szCs w:val="14"/>
                <w:color w:val="FFFFFF"/>
              </w:rPr>
              <w:t>December 31,</w:t>
            </w:r>
          </w:p>
        </w:tc>
        <w:tc>
          <w:tcPr>
            <w:tcW w:w="740" w:type="dxa"/>
            <w:vAlign w:val="bottom"/>
          </w:tcPr>
          <w:p>
            <w:pPr>
              <w:spacing w:after="0"/>
              <w:rPr>
                <w:sz w:val="16"/>
                <w:szCs w:val="16"/>
                <w:color w:val="auto"/>
              </w:rPr>
            </w:pPr>
          </w:p>
        </w:tc>
      </w:tr>
      <w:tr>
        <w:trPr>
          <w:trHeight w:val="209"/>
        </w:trPr>
        <w:tc>
          <w:tcPr>
            <w:tcW w:w="7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bottom w:val="single" w:sz="8" w:color="0075C9"/>
            </w:tcBorders>
            <w:shd w:val="clear" w:color="auto" w:fill="0075C9"/>
          </w:tcPr>
          <w:p>
            <w:pPr>
              <w:spacing w:after="0"/>
              <w:rPr>
                <w:sz w:val="18"/>
                <w:szCs w:val="18"/>
                <w:color w:val="auto"/>
              </w:rPr>
            </w:pPr>
          </w:p>
        </w:tc>
        <w:tc>
          <w:tcPr>
            <w:tcW w:w="1080" w:type="dxa"/>
            <w:vAlign w:val="bottom"/>
            <w:tcBorders>
              <w:bottom w:val="single" w:sz="8" w:color="0075C9"/>
            </w:tcBorders>
            <w:shd w:val="clear" w:color="auto" w:fill="0075C9"/>
          </w:tcPr>
          <w:p>
            <w:pPr>
              <w:jc w:val="right"/>
              <w:ind w:right="561"/>
              <w:spacing w:after="0"/>
              <w:rPr>
                <w:sz w:val="20"/>
                <w:szCs w:val="20"/>
                <w:color w:val="auto"/>
              </w:rPr>
            </w:pPr>
            <w:r>
              <w:rPr>
                <w:rFonts w:ascii="Arial" w:cs="Arial" w:eastAsia="Arial" w:hAnsi="Arial"/>
                <w:sz w:val="14"/>
                <w:szCs w:val="14"/>
                <w:color w:val="FFFFFF"/>
              </w:rPr>
              <w:t>2025</w:t>
            </w:r>
          </w:p>
        </w:tc>
        <w:tc>
          <w:tcPr>
            <w:tcW w:w="540" w:type="dxa"/>
            <w:vAlign w:val="bottom"/>
            <w:tcBorders>
              <w:bottom w:val="single" w:sz="8" w:color="0075C9"/>
            </w:tcBorders>
            <w:shd w:val="clear" w:color="auto" w:fill="0075C9"/>
          </w:tcPr>
          <w:p>
            <w:pPr>
              <w:spacing w:after="0"/>
              <w:rPr>
                <w:sz w:val="18"/>
                <w:szCs w:val="18"/>
                <w:color w:val="auto"/>
              </w:rPr>
            </w:pPr>
          </w:p>
        </w:tc>
        <w:tc>
          <w:tcPr>
            <w:tcW w:w="740" w:type="dxa"/>
            <w:vAlign w:val="bottom"/>
            <w:tcBorders>
              <w:bottom w:val="single" w:sz="8" w:color="0075C9"/>
            </w:tcBorders>
            <w:shd w:val="clear" w:color="auto" w:fill="0075C9"/>
          </w:tcPr>
          <w:p>
            <w:pPr>
              <w:jc w:val="right"/>
              <w:ind w:right="280"/>
              <w:spacing w:after="0"/>
              <w:rPr>
                <w:sz w:val="20"/>
                <w:szCs w:val="20"/>
                <w:color w:val="auto"/>
              </w:rPr>
            </w:pPr>
            <w:r>
              <w:rPr>
                <w:rFonts w:ascii="Arial" w:cs="Arial" w:eastAsia="Arial" w:hAnsi="Arial"/>
                <w:sz w:val="14"/>
                <w:szCs w:val="14"/>
                <w:color w:val="FFFFFF"/>
              </w:rPr>
              <w:t>2024</w:t>
            </w:r>
          </w:p>
        </w:tc>
      </w:tr>
      <w:tr>
        <w:trPr>
          <w:trHeight w:val="277"/>
        </w:trPr>
        <w:tc>
          <w:tcPr>
            <w:tcW w:w="7880" w:type="dxa"/>
            <w:vAlign w:val="bottom"/>
            <w:tcBorders>
              <w:bottom w:val="single" w:sz="8" w:color="E5F1F9"/>
            </w:tcBorders>
            <w:shd w:val="clear" w:color="auto" w:fill="E5F1F9"/>
          </w:tcPr>
          <w:p>
            <w:pPr>
              <w:ind w:left="60"/>
              <w:spacing w:after="0"/>
              <w:rPr>
                <w:sz w:val="20"/>
                <w:szCs w:val="20"/>
                <w:color w:val="auto"/>
              </w:rPr>
            </w:pPr>
            <w:r>
              <w:rPr>
                <w:rFonts w:ascii="Arial" w:cs="Arial" w:eastAsia="Arial" w:hAnsi="Arial"/>
                <w:sz w:val="16"/>
                <w:szCs w:val="16"/>
                <w:color w:val="auto"/>
              </w:rPr>
              <w:t>Net cash provided by (used in) operating activities</w:t>
            </w:r>
          </w:p>
        </w:tc>
        <w:tc>
          <w:tcPr>
            <w:tcW w:w="520" w:type="dxa"/>
            <w:vAlign w:val="bottom"/>
            <w:tcBorders>
              <w:bottom w:val="single" w:sz="8" w:color="E5F1F9"/>
            </w:tcBorders>
            <w:shd w:val="clear" w:color="auto" w:fill="E5F1F9"/>
          </w:tcPr>
          <w:p>
            <w:pPr>
              <w:spacing w:after="0"/>
              <w:rPr>
                <w:sz w:val="24"/>
                <w:szCs w:val="24"/>
                <w:color w:val="auto"/>
              </w:rPr>
            </w:pPr>
          </w:p>
        </w:tc>
        <w:tc>
          <w:tcPr>
            <w:tcW w:w="260" w:type="dxa"/>
            <w:vAlign w:val="bottom"/>
            <w:tcBorders>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5F1F9"/>
            </w:tcBorders>
            <w:shd w:val="clear" w:color="auto" w:fill="E5F1F9"/>
          </w:tcPr>
          <w:p>
            <w:pPr>
              <w:jc w:val="right"/>
              <w:ind w:right="301"/>
              <w:spacing w:after="0"/>
              <w:rPr>
                <w:sz w:val="20"/>
                <w:szCs w:val="20"/>
                <w:color w:val="auto"/>
              </w:rPr>
            </w:pPr>
            <w:r>
              <w:rPr>
                <w:rFonts w:ascii="Arial" w:cs="Arial" w:eastAsia="Arial" w:hAnsi="Arial"/>
                <w:sz w:val="16"/>
                <w:szCs w:val="16"/>
                <w:color w:val="auto"/>
              </w:rPr>
              <w:t>2,204.6</w:t>
            </w:r>
          </w:p>
        </w:tc>
        <w:tc>
          <w:tcPr>
            <w:tcW w:w="540" w:type="dxa"/>
            <w:vAlign w:val="bottom"/>
            <w:tcBorders>
              <w:bottom w:val="single" w:sz="8" w:color="E5F1F9"/>
            </w:tcBorders>
            <w:shd w:val="clear" w:color="auto" w:fill="E5F1F9"/>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5F1F9"/>
            </w:tcBorders>
            <w:shd w:val="clear" w:color="auto" w:fill="E5F1F9"/>
          </w:tcPr>
          <w:p>
            <w:pPr>
              <w:jc w:val="right"/>
              <w:ind w:right="60"/>
              <w:spacing w:after="0"/>
              <w:rPr>
                <w:sz w:val="20"/>
                <w:szCs w:val="20"/>
                <w:color w:val="auto"/>
              </w:rPr>
            </w:pPr>
            <w:r>
              <w:rPr>
                <w:rFonts w:ascii="Arial" w:cs="Arial" w:eastAsia="Arial" w:hAnsi="Arial"/>
                <w:sz w:val="16"/>
                <w:szCs w:val="16"/>
                <w:color w:val="auto"/>
              </w:rPr>
              <w:t>2,875.5</w:t>
            </w:r>
          </w:p>
        </w:tc>
      </w:tr>
      <w:tr>
        <w:trPr>
          <w:trHeight w:val="277"/>
        </w:trPr>
        <w:tc>
          <w:tcPr>
            <w:tcW w:w="7880" w:type="dxa"/>
            <w:vAlign w:val="bottom"/>
            <w:tcBorders>
              <w:bottom w:val="single" w:sz="8" w:color="B2D5EE"/>
            </w:tcBorders>
            <w:shd w:val="clear" w:color="auto" w:fill="B2D5EE"/>
          </w:tcPr>
          <w:p>
            <w:pPr>
              <w:ind w:left="60"/>
              <w:spacing w:after="0"/>
              <w:rPr>
                <w:sz w:val="20"/>
                <w:szCs w:val="20"/>
                <w:color w:val="auto"/>
              </w:rPr>
            </w:pPr>
            <w:r>
              <w:rPr>
                <w:rFonts w:ascii="Arial" w:cs="Arial" w:eastAsia="Arial" w:hAnsi="Arial"/>
                <w:sz w:val="16"/>
                <w:szCs w:val="16"/>
                <w:color w:val="auto"/>
              </w:rPr>
              <w:t>Net cash provided by (used in) investing activities</w:t>
            </w:r>
          </w:p>
        </w:tc>
        <w:tc>
          <w:tcPr>
            <w:tcW w:w="520" w:type="dxa"/>
            <w:vAlign w:val="bottom"/>
            <w:tcBorders>
              <w:bottom w:val="single" w:sz="8" w:color="B2D5EE"/>
            </w:tcBorders>
            <w:shd w:val="clear" w:color="auto" w:fill="B2D5EE"/>
          </w:tcPr>
          <w:p>
            <w:pPr>
              <w:spacing w:after="0"/>
              <w:rPr>
                <w:sz w:val="24"/>
                <w:szCs w:val="24"/>
                <w:color w:val="auto"/>
              </w:rPr>
            </w:pPr>
          </w:p>
        </w:tc>
        <w:tc>
          <w:tcPr>
            <w:tcW w:w="260" w:type="dxa"/>
            <w:vAlign w:val="bottom"/>
            <w:tcBorders>
              <w:bottom w:val="single" w:sz="8" w:color="B2D5EE"/>
            </w:tcBorders>
            <w:shd w:val="clear" w:color="auto" w:fill="B2D5EE"/>
          </w:tcPr>
          <w:p>
            <w:pPr>
              <w:spacing w:after="0"/>
              <w:rPr>
                <w:sz w:val="24"/>
                <w:szCs w:val="24"/>
                <w:color w:val="auto"/>
              </w:rPr>
            </w:pPr>
          </w:p>
        </w:tc>
        <w:tc>
          <w:tcPr>
            <w:tcW w:w="1080" w:type="dxa"/>
            <w:vAlign w:val="bottom"/>
            <w:tcBorders>
              <w:bottom w:val="single" w:sz="8" w:color="B2D5EE"/>
            </w:tcBorders>
            <w:shd w:val="clear" w:color="auto" w:fill="B2D5EE"/>
          </w:tcPr>
          <w:p>
            <w:pPr>
              <w:jc w:val="right"/>
              <w:ind w:right="301"/>
              <w:spacing w:after="0"/>
              <w:rPr>
                <w:sz w:val="20"/>
                <w:szCs w:val="20"/>
                <w:color w:val="auto"/>
              </w:rPr>
            </w:pPr>
            <w:r>
              <w:rPr>
                <w:rFonts w:ascii="Arial" w:cs="Arial" w:eastAsia="Arial" w:hAnsi="Arial"/>
                <w:sz w:val="16"/>
                <w:szCs w:val="16"/>
                <w:color w:val="auto"/>
              </w:rPr>
              <w:t>(1,371.1)</w:t>
            </w:r>
          </w:p>
        </w:tc>
        <w:tc>
          <w:tcPr>
            <w:tcW w:w="540" w:type="dxa"/>
            <w:vAlign w:val="bottom"/>
            <w:tcBorders>
              <w:bottom w:val="single" w:sz="8" w:color="B2D5EE"/>
            </w:tcBorders>
            <w:shd w:val="clear" w:color="auto" w:fill="B2D5EE"/>
          </w:tcPr>
          <w:p>
            <w:pPr>
              <w:spacing w:after="0"/>
              <w:rPr>
                <w:sz w:val="24"/>
                <w:szCs w:val="24"/>
                <w:color w:val="auto"/>
              </w:rPr>
            </w:pPr>
          </w:p>
        </w:tc>
        <w:tc>
          <w:tcPr>
            <w:tcW w:w="740" w:type="dxa"/>
            <w:vAlign w:val="bottom"/>
            <w:tcBorders>
              <w:bottom w:val="single" w:sz="8" w:color="B2D5EE"/>
            </w:tcBorders>
            <w:shd w:val="clear" w:color="auto" w:fill="B2D5EE"/>
          </w:tcPr>
          <w:p>
            <w:pPr>
              <w:jc w:val="right"/>
              <w:ind w:right="60"/>
              <w:spacing w:after="0"/>
              <w:rPr>
                <w:sz w:val="20"/>
                <w:szCs w:val="20"/>
                <w:color w:val="auto"/>
              </w:rPr>
            </w:pPr>
            <w:r>
              <w:rPr>
                <w:rFonts w:ascii="Arial" w:cs="Arial" w:eastAsia="Arial" w:hAnsi="Arial"/>
                <w:sz w:val="16"/>
                <w:szCs w:val="16"/>
                <w:color w:val="auto"/>
              </w:rPr>
              <w:t>(799.2)</w:t>
            </w:r>
          </w:p>
        </w:tc>
      </w:tr>
      <w:tr>
        <w:trPr>
          <w:trHeight w:val="302"/>
        </w:trPr>
        <w:tc>
          <w:tcPr>
            <w:tcW w:w="7880" w:type="dxa"/>
            <w:vAlign w:val="bottom"/>
            <w:tcBorders>
              <w:bottom w:val="single" w:sz="8" w:color="E5F1F9"/>
            </w:tcBorders>
            <w:shd w:val="clear" w:color="auto" w:fill="E5F1F9"/>
          </w:tcPr>
          <w:p>
            <w:pPr>
              <w:ind w:left="60"/>
              <w:spacing w:after="0"/>
              <w:rPr>
                <w:sz w:val="20"/>
                <w:szCs w:val="20"/>
                <w:color w:val="auto"/>
              </w:rPr>
            </w:pPr>
            <w:r>
              <w:rPr>
                <w:rFonts w:ascii="Arial" w:cs="Arial" w:eastAsia="Arial" w:hAnsi="Arial"/>
                <w:sz w:val="16"/>
                <w:szCs w:val="16"/>
                <w:color w:val="auto"/>
              </w:rPr>
              <w:t>Net cash provided by (used in) financing activities</w:t>
            </w:r>
          </w:p>
        </w:tc>
        <w:tc>
          <w:tcPr>
            <w:tcW w:w="520" w:type="dxa"/>
            <w:vAlign w:val="bottom"/>
            <w:tcBorders>
              <w:bottom w:val="single" w:sz="8" w:color="E5F1F9"/>
            </w:tcBorders>
            <w:shd w:val="clear" w:color="auto" w:fill="E5F1F9"/>
          </w:tcPr>
          <w:p>
            <w:pPr>
              <w:spacing w:after="0"/>
              <w:rPr>
                <w:sz w:val="24"/>
                <w:szCs w:val="24"/>
                <w:color w:val="auto"/>
              </w:rPr>
            </w:pPr>
          </w:p>
        </w:tc>
        <w:tc>
          <w:tcPr>
            <w:tcW w:w="260" w:type="dxa"/>
            <w:vAlign w:val="bottom"/>
            <w:tcBorders>
              <w:bottom w:val="single" w:sz="8" w:color="E5F1F9"/>
            </w:tcBorders>
            <w:shd w:val="clear" w:color="auto" w:fill="E5F1F9"/>
          </w:tcPr>
          <w:p>
            <w:pPr>
              <w:spacing w:after="0"/>
              <w:rPr>
                <w:sz w:val="24"/>
                <w:szCs w:val="24"/>
                <w:color w:val="auto"/>
              </w:rPr>
            </w:pPr>
          </w:p>
        </w:tc>
        <w:tc>
          <w:tcPr>
            <w:tcW w:w="1080" w:type="dxa"/>
            <w:vAlign w:val="bottom"/>
            <w:tcBorders>
              <w:bottom w:val="single" w:sz="8" w:color="E5F1F9"/>
            </w:tcBorders>
            <w:shd w:val="clear" w:color="auto" w:fill="E5F1F9"/>
          </w:tcPr>
          <w:p>
            <w:pPr>
              <w:jc w:val="right"/>
              <w:ind w:right="301"/>
              <w:spacing w:after="0"/>
              <w:rPr>
                <w:sz w:val="20"/>
                <w:szCs w:val="20"/>
                <w:color w:val="auto"/>
              </w:rPr>
            </w:pPr>
            <w:r>
              <w:rPr>
                <w:rFonts w:ascii="Arial" w:cs="Arial" w:eastAsia="Arial" w:hAnsi="Arial"/>
                <w:sz w:val="16"/>
                <w:szCs w:val="16"/>
                <w:color w:val="auto"/>
              </w:rPr>
              <w:t>(301.9)</w:t>
            </w:r>
          </w:p>
        </w:tc>
        <w:tc>
          <w:tcPr>
            <w:tcW w:w="540" w:type="dxa"/>
            <w:vAlign w:val="bottom"/>
            <w:tcBorders>
              <w:bottom w:val="single" w:sz="8" w:color="E5F1F9"/>
            </w:tcBorders>
            <w:shd w:val="clear" w:color="auto" w:fill="E5F1F9"/>
          </w:tcPr>
          <w:p>
            <w:pPr>
              <w:spacing w:after="0"/>
              <w:rPr>
                <w:sz w:val="24"/>
                <w:szCs w:val="24"/>
                <w:color w:val="auto"/>
              </w:rPr>
            </w:pPr>
          </w:p>
        </w:tc>
        <w:tc>
          <w:tcPr>
            <w:tcW w:w="740" w:type="dxa"/>
            <w:vAlign w:val="bottom"/>
            <w:tcBorders>
              <w:bottom w:val="single" w:sz="8" w:color="E5F1F9"/>
            </w:tcBorders>
            <w:shd w:val="clear" w:color="auto" w:fill="E5F1F9"/>
          </w:tcPr>
          <w:p>
            <w:pPr>
              <w:jc w:val="right"/>
              <w:ind w:right="60"/>
              <w:spacing w:after="0"/>
              <w:rPr>
                <w:sz w:val="20"/>
                <w:szCs w:val="20"/>
                <w:color w:val="auto"/>
              </w:rPr>
            </w:pPr>
            <w:r>
              <w:rPr>
                <w:rFonts w:ascii="Arial" w:cs="Arial" w:eastAsia="Arial" w:hAnsi="Arial"/>
                <w:sz w:val="16"/>
                <w:szCs w:val="16"/>
                <w:color w:val="auto"/>
              </w:rPr>
              <w:t>(683.5)</w:t>
            </w:r>
          </w:p>
        </w:tc>
      </w:tr>
      <w:tr>
        <w:trPr>
          <w:trHeight w:val="257"/>
        </w:trPr>
        <w:tc>
          <w:tcPr>
            <w:tcW w:w="7880" w:type="dxa"/>
            <w:vAlign w:val="bottom"/>
            <w:tcBorders>
              <w:top w:val="single" w:sz="8" w:color="B2D5EE"/>
              <w:bottom w:val="single" w:sz="8" w:color="B2D5EE"/>
            </w:tcBorders>
            <w:shd w:val="clear" w:color="auto" w:fill="B2D5EE"/>
          </w:tcPr>
          <w:p>
            <w:pPr>
              <w:ind w:left="60"/>
              <w:spacing w:after="0"/>
              <w:rPr>
                <w:sz w:val="20"/>
                <w:szCs w:val="20"/>
                <w:color w:val="auto"/>
              </w:rPr>
            </w:pPr>
            <w:r>
              <w:rPr>
                <w:rFonts w:ascii="Arial" w:cs="Arial" w:eastAsia="Arial" w:hAnsi="Arial"/>
                <w:sz w:val="16"/>
                <w:szCs w:val="16"/>
                <w:color w:val="auto"/>
              </w:rPr>
              <w:t>Net increase (decrease) in cash and cash equivalents</w:t>
            </w:r>
          </w:p>
        </w:tc>
        <w:tc>
          <w:tcPr>
            <w:tcW w:w="520" w:type="dxa"/>
            <w:vAlign w:val="bottom"/>
            <w:tcBorders>
              <w:top w:val="single" w:sz="8" w:color="auto"/>
              <w:bottom w:val="single" w:sz="8" w:color="B2D5EE"/>
            </w:tcBorders>
            <w:shd w:val="clear" w:color="auto" w:fill="B2D5EE"/>
          </w:tcPr>
          <w:p>
            <w:pPr>
              <w:spacing w:after="0"/>
              <w:rPr>
                <w:sz w:val="22"/>
                <w:szCs w:val="22"/>
                <w:color w:val="auto"/>
              </w:rPr>
            </w:pPr>
          </w:p>
        </w:tc>
        <w:tc>
          <w:tcPr>
            <w:tcW w:w="260" w:type="dxa"/>
            <w:vAlign w:val="bottom"/>
            <w:tcBorders>
              <w:top w:val="single" w:sz="8" w:color="auto"/>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B2D5EE"/>
            </w:tcBorders>
            <w:shd w:val="clear" w:color="auto" w:fill="B2D5EE"/>
          </w:tcPr>
          <w:p>
            <w:pPr>
              <w:jc w:val="right"/>
              <w:ind w:right="301"/>
              <w:spacing w:after="0"/>
              <w:rPr>
                <w:sz w:val="20"/>
                <w:szCs w:val="20"/>
                <w:color w:val="auto"/>
              </w:rPr>
            </w:pPr>
            <w:r>
              <w:rPr>
                <w:rFonts w:ascii="Arial" w:cs="Arial" w:eastAsia="Arial" w:hAnsi="Arial"/>
                <w:sz w:val="16"/>
                <w:szCs w:val="16"/>
                <w:color w:val="auto"/>
              </w:rPr>
              <w:t>531.6</w:t>
            </w:r>
          </w:p>
        </w:tc>
        <w:tc>
          <w:tcPr>
            <w:tcW w:w="540" w:type="dxa"/>
            <w:vAlign w:val="bottom"/>
            <w:tcBorders>
              <w:top w:val="single" w:sz="8" w:color="auto"/>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B2D5EE"/>
            </w:tcBorders>
            <w:shd w:val="clear" w:color="auto" w:fill="B2D5EE"/>
          </w:tcPr>
          <w:p>
            <w:pPr>
              <w:jc w:val="right"/>
              <w:ind w:right="60"/>
              <w:spacing w:after="0"/>
              <w:rPr>
                <w:sz w:val="20"/>
                <w:szCs w:val="20"/>
                <w:color w:val="auto"/>
              </w:rPr>
            </w:pPr>
            <w:r>
              <w:rPr>
                <w:rFonts w:ascii="Arial" w:cs="Arial" w:eastAsia="Arial" w:hAnsi="Arial"/>
                <w:sz w:val="16"/>
                <w:szCs w:val="16"/>
                <w:color w:val="auto"/>
              </w:rPr>
              <w:t>1,392.8</w:t>
            </w:r>
          </w:p>
        </w:tc>
      </w:tr>
      <w:tr>
        <w:trPr>
          <w:trHeight w:val="277"/>
        </w:trPr>
        <w:tc>
          <w:tcPr>
            <w:tcW w:w="7880" w:type="dxa"/>
            <w:vAlign w:val="bottom"/>
            <w:tcBorders>
              <w:bottom w:val="single" w:sz="8" w:color="E5F1F9"/>
            </w:tcBorders>
            <w:shd w:val="clear" w:color="auto" w:fill="E5F1F9"/>
          </w:tcPr>
          <w:p>
            <w:pPr>
              <w:ind w:left="6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E5F1F9"/>
            </w:tcBorders>
            <w:shd w:val="clear" w:color="auto" w:fill="E5F1F9"/>
          </w:tcPr>
          <w:p>
            <w:pPr>
              <w:spacing w:after="0"/>
              <w:rPr>
                <w:sz w:val="24"/>
                <w:szCs w:val="24"/>
                <w:color w:val="auto"/>
              </w:rPr>
            </w:pPr>
          </w:p>
        </w:tc>
        <w:tc>
          <w:tcPr>
            <w:tcW w:w="260" w:type="dxa"/>
            <w:vAlign w:val="bottom"/>
            <w:tcBorders>
              <w:bottom w:val="single" w:sz="8" w:color="E5F1F9"/>
            </w:tcBorders>
            <w:shd w:val="clear" w:color="auto" w:fill="E5F1F9"/>
          </w:tcPr>
          <w:p>
            <w:pPr>
              <w:spacing w:after="0"/>
              <w:rPr>
                <w:sz w:val="24"/>
                <w:szCs w:val="24"/>
                <w:color w:val="auto"/>
              </w:rPr>
            </w:pPr>
          </w:p>
        </w:tc>
        <w:tc>
          <w:tcPr>
            <w:tcW w:w="1080" w:type="dxa"/>
            <w:vAlign w:val="bottom"/>
            <w:tcBorders>
              <w:bottom w:val="single" w:sz="8" w:color="E5F1F9"/>
            </w:tcBorders>
            <w:shd w:val="clear" w:color="auto" w:fill="E5F1F9"/>
          </w:tcPr>
          <w:p>
            <w:pPr>
              <w:spacing w:after="0"/>
              <w:rPr>
                <w:sz w:val="24"/>
                <w:szCs w:val="24"/>
                <w:color w:val="auto"/>
              </w:rPr>
            </w:pPr>
          </w:p>
        </w:tc>
        <w:tc>
          <w:tcPr>
            <w:tcW w:w="540" w:type="dxa"/>
            <w:vAlign w:val="bottom"/>
            <w:tcBorders>
              <w:bottom w:val="single" w:sz="8" w:color="E5F1F9"/>
            </w:tcBorders>
            <w:shd w:val="clear" w:color="auto" w:fill="E5F1F9"/>
          </w:tcPr>
          <w:p>
            <w:pPr>
              <w:spacing w:after="0"/>
              <w:rPr>
                <w:sz w:val="24"/>
                <w:szCs w:val="24"/>
                <w:color w:val="auto"/>
              </w:rPr>
            </w:pPr>
          </w:p>
        </w:tc>
        <w:tc>
          <w:tcPr>
            <w:tcW w:w="740" w:type="dxa"/>
            <w:vAlign w:val="bottom"/>
            <w:tcBorders>
              <w:bottom w:val="single" w:sz="8" w:color="E5F1F9"/>
            </w:tcBorders>
            <w:shd w:val="clear" w:color="auto" w:fill="E5F1F9"/>
          </w:tcPr>
          <w:p>
            <w:pPr>
              <w:spacing w:after="0"/>
              <w:rPr>
                <w:sz w:val="24"/>
                <w:szCs w:val="24"/>
                <w:color w:val="auto"/>
              </w:rPr>
            </w:pPr>
          </w:p>
        </w:tc>
      </w:tr>
      <w:tr>
        <w:trPr>
          <w:trHeight w:val="277"/>
        </w:trPr>
        <w:tc>
          <w:tcPr>
            <w:tcW w:w="7880" w:type="dxa"/>
            <w:vAlign w:val="bottom"/>
            <w:tcBorders>
              <w:bottom w:val="single" w:sz="8" w:color="B2D5EE"/>
            </w:tcBorders>
            <w:shd w:val="clear" w:color="auto" w:fill="B2D5EE"/>
          </w:tcPr>
          <w:p>
            <w:pPr>
              <w:ind w:left="60"/>
              <w:spacing w:after="0"/>
              <w:rPr>
                <w:sz w:val="20"/>
                <w:szCs w:val="20"/>
                <w:color w:val="auto"/>
              </w:rPr>
            </w:pPr>
            <w:r>
              <w:rPr>
                <w:rFonts w:ascii="Arial" w:cs="Arial" w:eastAsia="Arial" w:hAnsi="Arial"/>
                <w:sz w:val="16"/>
                <w:szCs w:val="16"/>
                <w:color w:val="auto"/>
              </w:rPr>
              <w:t>Net cash provided by (used in) operating activities</w:t>
            </w:r>
          </w:p>
        </w:tc>
        <w:tc>
          <w:tcPr>
            <w:tcW w:w="520" w:type="dxa"/>
            <w:vAlign w:val="bottom"/>
            <w:tcBorders>
              <w:bottom w:val="single" w:sz="8" w:color="B2D5EE"/>
            </w:tcBorders>
            <w:shd w:val="clear" w:color="auto" w:fill="B2D5EE"/>
          </w:tcPr>
          <w:p>
            <w:pPr>
              <w:spacing w:after="0"/>
              <w:rPr>
                <w:sz w:val="24"/>
                <w:szCs w:val="24"/>
                <w:color w:val="auto"/>
              </w:rPr>
            </w:pPr>
          </w:p>
        </w:tc>
        <w:tc>
          <w:tcPr>
            <w:tcW w:w="260" w:type="dxa"/>
            <w:vAlign w:val="bottom"/>
            <w:tcBorders>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2D5EE"/>
            </w:tcBorders>
            <w:shd w:val="clear" w:color="auto" w:fill="B2D5EE"/>
          </w:tcPr>
          <w:p>
            <w:pPr>
              <w:jc w:val="right"/>
              <w:ind w:right="301"/>
              <w:spacing w:after="0"/>
              <w:rPr>
                <w:sz w:val="20"/>
                <w:szCs w:val="20"/>
                <w:color w:val="auto"/>
              </w:rPr>
            </w:pPr>
            <w:r>
              <w:rPr>
                <w:rFonts w:ascii="Arial" w:cs="Arial" w:eastAsia="Arial" w:hAnsi="Arial"/>
                <w:sz w:val="16"/>
                <w:szCs w:val="16"/>
                <w:color w:val="auto"/>
              </w:rPr>
              <w:t>2,204.6</w:t>
            </w:r>
          </w:p>
        </w:tc>
        <w:tc>
          <w:tcPr>
            <w:tcW w:w="540" w:type="dxa"/>
            <w:vAlign w:val="bottom"/>
            <w:tcBorders>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2D5EE"/>
            </w:tcBorders>
            <w:shd w:val="clear" w:color="auto" w:fill="B2D5EE"/>
          </w:tcPr>
          <w:p>
            <w:pPr>
              <w:jc w:val="right"/>
              <w:ind w:right="60"/>
              <w:spacing w:after="0"/>
              <w:rPr>
                <w:sz w:val="20"/>
                <w:szCs w:val="20"/>
                <w:color w:val="auto"/>
              </w:rPr>
            </w:pPr>
            <w:r>
              <w:rPr>
                <w:rFonts w:ascii="Arial" w:cs="Arial" w:eastAsia="Arial" w:hAnsi="Arial"/>
                <w:sz w:val="16"/>
                <w:szCs w:val="16"/>
                <w:color w:val="auto"/>
              </w:rPr>
              <w:t>2,875.5</w:t>
            </w:r>
          </w:p>
        </w:tc>
      </w:tr>
      <w:tr>
        <w:trPr>
          <w:trHeight w:val="302"/>
        </w:trPr>
        <w:tc>
          <w:tcPr>
            <w:tcW w:w="7880" w:type="dxa"/>
            <w:vAlign w:val="bottom"/>
            <w:tcBorders>
              <w:bottom w:val="single" w:sz="8" w:color="E5F1F9"/>
            </w:tcBorders>
            <w:shd w:val="clear" w:color="auto" w:fill="E5F1F9"/>
          </w:tcPr>
          <w:p>
            <w:pPr>
              <w:ind w:left="60"/>
              <w:spacing w:after="0"/>
              <w:rPr>
                <w:sz w:val="20"/>
                <w:szCs w:val="20"/>
                <w:color w:val="auto"/>
              </w:rPr>
            </w:pPr>
            <w:r>
              <w:rPr>
                <w:rFonts w:ascii="Arial" w:cs="Arial" w:eastAsia="Arial" w:hAnsi="Arial"/>
                <w:sz w:val="16"/>
                <w:szCs w:val="16"/>
                <w:color w:val="auto"/>
              </w:rPr>
              <w:t>Less: Purchases of property, plant and equipment (capital expenditures)</w:t>
            </w:r>
          </w:p>
        </w:tc>
        <w:tc>
          <w:tcPr>
            <w:tcW w:w="520" w:type="dxa"/>
            <w:vAlign w:val="bottom"/>
            <w:tcBorders>
              <w:bottom w:val="single" w:sz="8" w:color="E5F1F9"/>
            </w:tcBorders>
            <w:shd w:val="clear" w:color="auto" w:fill="E5F1F9"/>
          </w:tcPr>
          <w:p>
            <w:pPr>
              <w:spacing w:after="0"/>
              <w:rPr>
                <w:sz w:val="24"/>
                <w:szCs w:val="24"/>
                <w:color w:val="auto"/>
              </w:rPr>
            </w:pPr>
          </w:p>
        </w:tc>
        <w:tc>
          <w:tcPr>
            <w:tcW w:w="260" w:type="dxa"/>
            <w:vAlign w:val="bottom"/>
            <w:tcBorders>
              <w:bottom w:val="single" w:sz="8" w:color="E5F1F9"/>
            </w:tcBorders>
            <w:shd w:val="clear" w:color="auto" w:fill="E5F1F9"/>
          </w:tcPr>
          <w:p>
            <w:pPr>
              <w:spacing w:after="0"/>
              <w:rPr>
                <w:sz w:val="24"/>
                <w:szCs w:val="24"/>
                <w:color w:val="auto"/>
              </w:rPr>
            </w:pPr>
          </w:p>
        </w:tc>
        <w:tc>
          <w:tcPr>
            <w:tcW w:w="1080" w:type="dxa"/>
            <w:vAlign w:val="bottom"/>
            <w:tcBorders>
              <w:bottom w:val="single" w:sz="8" w:color="E5F1F9"/>
            </w:tcBorders>
            <w:shd w:val="clear" w:color="auto" w:fill="E5F1F9"/>
          </w:tcPr>
          <w:p>
            <w:pPr>
              <w:jc w:val="right"/>
              <w:ind w:right="301"/>
              <w:spacing w:after="0"/>
              <w:rPr>
                <w:sz w:val="20"/>
                <w:szCs w:val="20"/>
                <w:color w:val="auto"/>
              </w:rPr>
            </w:pPr>
            <w:r>
              <w:rPr>
                <w:rFonts w:ascii="Arial" w:cs="Arial" w:eastAsia="Arial" w:hAnsi="Arial"/>
                <w:sz w:val="16"/>
                <w:szCs w:val="16"/>
                <w:color w:val="auto"/>
              </w:rPr>
              <w:t>153.8</w:t>
            </w:r>
          </w:p>
        </w:tc>
        <w:tc>
          <w:tcPr>
            <w:tcW w:w="540" w:type="dxa"/>
            <w:vAlign w:val="bottom"/>
            <w:tcBorders>
              <w:bottom w:val="single" w:sz="8" w:color="E5F1F9"/>
            </w:tcBorders>
            <w:shd w:val="clear" w:color="auto" w:fill="E5F1F9"/>
          </w:tcPr>
          <w:p>
            <w:pPr>
              <w:spacing w:after="0"/>
              <w:rPr>
                <w:sz w:val="24"/>
                <w:szCs w:val="24"/>
                <w:color w:val="auto"/>
              </w:rPr>
            </w:pPr>
          </w:p>
        </w:tc>
        <w:tc>
          <w:tcPr>
            <w:tcW w:w="740" w:type="dxa"/>
            <w:vAlign w:val="bottom"/>
            <w:tcBorders>
              <w:bottom w:val="single" w:sz="8" w:color="E5F1F9"/>
            </w:tcBorders>
            <w:shd w:val="clear" w:color="auto" w:fill="E5F1F9"/>
          </w:tcPr>
          <w:p>
            <w:pPr>
              <w:jc w:val="right"/>
              <w:ind w:right="60"/>
              <w:spacing w:after="0"/>
              <w:rPr>
                <w:sz w:val="20"/>
                <w:szCs w:val="20"/>
                <w:color w:val="auto"/>
              </w:rPr>
            </w:pPr>
            <w:r>
              <w:rPr>
                <w:rFonts w:ascii="Arial" w:cs="Arial" w:eastAsia="Arial" w:hAnsi="Arial"/>
                <w:sz w:val="16"/>
                <w:szCs w:val="16"/>
                <w:color w:val="auto"/>
              </w:rPr>
              <w:t>153.7</w:t>
            </w:r>
          </w:p>
        </w:tc>
      </w:tr>
      <w:tr>
        <w:trPr>
          <w:trHeight w:val="257"/>
        </w:trPr>
        <w:tc>
          <w:tcPr>
            <w:tcW w:w="7880" w:type="dxa"/>
            <w:vAlign w:val="bottom"/>
            <w:tcBorders>
              <w:top w:val="single" w:sz="8" w:color="B2D5EE"/>
              <w:bottom w:val="single" w:sz="8" w:color="B2D5EE"/>
            </w:tcBorders>
            <w:shd w:val="clear" w:color="auto" w:fill="B2D5EE"/>
          </w:tcPr>
          <w:p>
            <w:pPr>
              <w:ind w:left="60"/>
              <w:spacing w:after="0"/>
              <w:rPr>
                <w:sz w:val="20"/>
                <w:szCs w:val="20"/>
                <w:color w:val="auto"/>
              </w:rPr>
            </w:pPr>
            <w:r>
              <w:rPr>
                <w:rFonts w:ascii="Arial" w:cs="Arial" w:eastAsia="Arial" w:hAnsi="Arial"/>
                <w:sz w:val="16"/>
                <w:szCs w:val="16"/>
                <w:color w:val="auto"/>
              </w:rPr>
              <w:t>Free cash flow</w:t>
            </w:r>
          </w:p>
        </w:tc>
        <w:tc>
          <w:tcPr>
            <w:tcW w:w="520" w:type="dxa"/>
            <w:vAlign w:val="bottom"/>
            <w:tcBorders>
              <w:top w:val="single" w:sz="8" w:color="auto"/>
              <w:bottom w:val="single" w:sz="8" w:color="B2D5EE"/>
            </w:tcBorders>
            <w:shd w:val="clear" w:color="auto" w:fill="B2D5EE"/>
          </w:tcPr>
          <w:p>
            <w:pPr>
              <w:spacing w:after="0"/>
              <w:rPr>
                <w:sz w:val="22"/>
                <w:szCs w:val="22"/>
                <w:color w:val="auto"/>
              </w:rPr>
            </w:pPr>
          </w:p>
        </w:tc>
        <w:tc>
          <w:tcPr>
            <w:tcW w:w="260" w:type="dxa"/>
            <w:vAlign w:val="bottom"/>
            <w:tcBorders>
              <w:top w:val="single" w:sz="8" w:color="auto"/>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B2D5EE"/>
            </w:tcBorders>
            <w:shd w:val="clear" w:color="auto" w:fill="B2D5EE"/>
          </w:tcPr>
          <w:p>
            <w:pPr>
              <w:jc w:val="right"/>
              <w:ind w:right="301"/>
              <w:spacing w:after="0"/>
              <w:rPr>
                <w:sz w:val="20"/>
                <w:szCs w:val="20"/>
                <w:color w:val="auto"/>
              </w:rPr>
            </w:pPr>
            <w:r>
              <w:rPr>
                <w:rFonts w:ascii="Arial" w:cs="Arial" w:eastAsia="Arial" w:hAnsi="Arial"/>
                <w:sz w:val="16"/>
                <w:szCs w:val="16"/>
                <w:color w:val="auto"/>
              </w:rPr>
              <w:t>2,050.8</w:t>
            </w:r>
          </w:p>
        </w:tc>
        <w:tc>
          <w:tcPr>
            <w:tcW w:w="540" w:type="dxa"/>
            <w:vAlign w:val="bottom"/>
            <w:tcBorders>
              <w:top w:val="single" w:sz="8" w:color="auto"/>
              <w:bottom w:val="single" w:sz="8" w:color="B2D5EE"/>
            </w:tcBorders>
            <w:shd w:val="clear" w:color="auto" w:fill="B2D5EE"/>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B2D5EE"/>
            </w:tcBorders>
            <w:shd w:val="clear" w:color="auto" w:fill="B2D5EE"/>
          </w:tcPr>
          <w:p>
            <w:pPr>
              <w:jc w:val="right"/>
              <w:ind w:right="60"/>
              <w:spacing w:after="0"/>
              <w:rPr>
                <w:sz w:val="20"/>
                <w:szCs w:val="20"/>
                <w:color w:val="auto"/>
              </w:rPr>
            </w:pPr>
            <w:r>
              <w:rPr>
                <w:rFonts w:ascii="Arial" w:cs="Arial" w:eastAsia="Arial" w:hAnsi="Arial"/>
                <w:sz w:val="16"/>
                <w:szCs w:val="16"/>
                <w:color w:val="auto"/>
              </w:rPr>
              <w:t>2,721.8</w:t>
            </w:r>
          </w:p>
        </w:tc>
      </w:tr>
      <w:tr>
        <w:trPr>
          <w:trHeight w:val="20"/>
        </w:trPr>
        <w:tc>
          <w:tcPr>
            <w:tcW w:w="7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75C9"/>
        </w:rPr>
        <w:t>Use of Non-GAAP Financial Measures</w:t>
      </w:r>
    </w:p>
    <w:p>
      <w:pPr>
        <w:spacing w:after="0" w:line="108"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We supplement our GAAP consolidated financial statements and GAAP financial measures with other financial measures, such as adjusted net income, adjusted diluted earnings per share and free cash flow, which is defined as net cash flow from operations less capital expenditures.</w:t>
      </w:r>
    </w:p>
    <w:p>
      <w:pPr>
        <w:spacing w:after="0" w:line="156"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spacing w:after="0" w:line="17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Our “Non-GAAP net income attributable to Biogen Inc.” and “Non-GAAP earnings per share – Diluted” financial measures exclude the following items from “GAAP net income attributable to Biogen Inc.” and “GAAP earnings per share – Diluted”: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75C9"/>
        </w:rPr>
        <w:t>1. Acquisitions and divestitures</w:t>
      </w:r>
    </w:p>
    <w:p>
      <w:pPr>
        <w:spacing w:after="0" w:line="10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6"/>
          <w:szCs w:val="16"/>
          <w:color w:val="auto"/>
        </w:rPr>
        <w:t>We exclude transaction, integration and certain other costs related to the acquisition and divestiture of businesses/commercial assets and items associated with the initial consolidation or deconsolidation of variable interest entities. These adjustments include, but are not limited to, the amortization of inventory fair value step-up, amortization and impairment of intangible assets, charges or credits from the fair value remeasurement of our contingent consideration obligations and losses on assets and liabilities held for sale.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75C9"/>
        </w:rPr>
        <w:t>2. Restructuring, business transformation and other cost saving initiatives</w:t>
      </w:r>
    </w:p>
    <w:p>
      <w:pPr>
        <w:spacing w:after="0" w:line="106" w:lineRule="exact"/>
        <w:rPr>
          <w:sz w:val="20"/>
          <w:szCs w:val="20"/>
          <w:color w:val="auto"/>
        </w:rPr>
      </w:pPr>
    </w:p>
    <w:p>
      <w:pPr>
        <w:jc w:val="both"/>
        <w:ind w:left="120"/>
        <w:spacing w:after="0" w:line="256" w:lineRule="auto"/>
        <w:rPr>
          <w:sz w:val="20"/>
          <w:szCs w:val="20"/>
          <w:color w:val="auto"/>
        </w:rPr>
      </w:pPr>
      <w:r>
        <w:rPr>
          <w:rFonts w:ascii="Arial" w:cs="Arial" w:eastAsia="Arial" w:hAnsi="Arial"/>
          <w:sz w:val="16"/>
          <w:szCs w:val="16"/>
          <w:color w:val="auto"/>
        </w:rPr>
        <w:t>We exclude costs associated with our execution of certain strategies and initiatives to streamline operations, achieve targeted cost reductions, rationalize manufacturing facilities or refocus research and development activities. These costs may include employee separation costs, retention bonuses, facility closing/abandonment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spacing w:after="0" w:line="126"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8"/>
          <w:szCs w:val="18"/>
          <w:color w:val="0075C9"/>
        </w:rPr>
        <w:t xml:space="preserve">   2026 Proxy Statement   </w:t>
      </w:r>
      <w:r>
        <w:rPr>
          <w:rFonts w:ascii="Arial" w:cs="Arial" w:eastAsia="Arial" w:hAnsi="Arial"/>
          <w:sz w:val="16"/>
          <w:szCs w:val="16"/>
          <w:color w:val="0075C9"/>
        </w:rPr>
        <w:t>A-2</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0075C9"/>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40"/>
          <w:szCs w:val="40"/>
          <w:color w:val="0075C9"/>
        </w:rPr>
        <w:t>APPENDIX A</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40"/>
          <w:szCs w:val="40"/>
          <w:color w:val="0075C9"/>
        </w:rPr>
        <w:t xml:space="preserve">GAAP to Non-GAAP Reconciliation </w:t>
      </w:r>
      <w:r>
        <w:rPr>
          <w:rFonts w:ascii="Arial" w:cs="Arial" w:eastAsia="Arial" w:hAnsi="Arial"/>
          <w:sz w:val="21"/>
          <w:szCs w:val="21"/>
          <w:color w:val="0075C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75C9"/>
        </w:rPr>
        <w:t>3. (Gain) loss on equity security investments</w:t>
      </w:r>
    </w:p>
    <w:p>
      <w:pPr>
        <w:spacing w:after="0" w:line="10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exclude unrealized and realized gains and losses related to our equity security investments as we do not believe that these components of income or expense have a direct correlation to our ongoing or future business operations.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75C9"/>
        </w:rPr>
        <w:t>4. Other items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evaluate other items of income and expense on an individual basis and consider both the quantitative and qualitative aspects of the item, including</w:t>
      </w:r>
    </w:p>
    <w:p>
      <w:pPr>
        <w:spacing w:after="0" w:line="21" w:lineRule="exact"/>
        <w:rPr>
          <w:sz w:val="20"/>
          <w:szCs w:val="20"/>
          <w:color w:val="auto"/>
        </w:rPr>
      </w:pPr>
    </w:p>
    <w:p>
      <w:pPr>
        <w:jc w:val="both"/>
        <w:ind w:left="120" w:right="20" w:hanging="4"/>
        <w:spacing w:after="0" w:line="256" w:lineRule="auto"/>
        <w:tabs>
          <w:tab w:leader="none" w:pos="31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w:t>
      </w:r>
    </w:p>
    <w:p>
      <w:pPr>
        <w:spacing w:after="0" w:line="125" w:lineRule="exact"/>
        <w:rPr>
          <w:sz w:val="20"/>
          <w:szCs w:val="20"/>
          <w:color w:val="auto"/>
        </w:rPr>
      </w:pPr>
    </w:p>
    <w:p>
      <w:pPr>
        <w:ind w:left="8020"/>
        <w:spacing w:after="0"/>
        <w:rPr>
          <w:sz w:val="20"/>
          <w:szCs w:val="20"/>
          <w:color w:val="auto"/>
        </w:rPr>
      </w:pPr>
      <w:r>
        <w:rPr>
          <w:sz w:val="1"/>
          <w:szCs w:val="1"/>
          <w:color w:val="auto"/>
        </w:rPr>
        <w:drawing>
          <wp:inline distT="0" distB="0" distL="0" distR="0">
            <wp:extent cx="419735" cy="13716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r>
        <w:rPr>
          <w:rFonts w:ascii="Arial" w:cs="Arial" w:eastAsia="Arial" w:hAnsi="Arial"/>
          <w:sz w:val="18"/>
          <w:szCs w:val="18"/>
          <w:color w:val="0075C9"/>
        </w:rPr>
        <w:t xml:space="preserve">   2026 Proxy Statement   </w:t>
      </w:r>
      <w:r>
        <w:rPr>
          <w:rFonts w:ascii="Arial" w:cs="Arial" w:eastAsia="Arial" w:hAnsi="Arial"/>
          <w:sz w:val="16"/>
          <w:szCs w:val="16"/>
          <w:color w:val="0075C9"/>
        </w:rPr>
        <w:t>A-3</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2744470</wp:posOffset>
            </wp:positionV>
            <wp:extent cx="1543050" cy="514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43050" cy="51435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lvl w:ilvl="1">
      <w:lvlJc w:val="left"/>
      <w:lvlText w:val="•"/>
      <w:numFmt w:val="bullet"/>
      <w:start w:val="1"/>
    </w:lvl>
  </w:abstractNum>
  <w:abstractNum w:abstractNumId="6">
    <w:nsid w:val="98A3148"/>
    <w:multiLevelType w:val="hybridMultilevel"/>
    <w:lvl w:ilvl="0">
      <w:lvlJc w:val="left"/>
      <w:lvlText w:val="1"/>
      <w:numFmt w:val="bullet"/>
      <w:start w:val="1"/>
    </w:lvl>
  </w:abstractNum>
  <w:abstractNum w:abstractNumId="7">
    <w:nsid w:val="799D0247"/>
    <w:multiLevelType w:val="hybridMultilevel"/>
    <w:lvl w:ilvl="0">
      <w:lvlJc w:val="left"/>
      <w:lvlText w:val="2"/>
      <w:numFmt w:val="bullet"/>
      <w:start w:val="1"/>
    </w:lvl>
  </w:abstractNum>
  <w:abstractNum w:abstractNumId="8">
    <w:nsid w:val="6B94764"/>
    <w:multiLevelType w:val="hybridMultilevel"/>
    <w:lvl w:ilvl="0">
      <w:lvlJc w:val="left"/>
      <w:lvlText w:val="3"/>
      <w:numFmt w:val="bullet"/>
      <w:start w:val="1"/>
    </w:lvl>
  </w:abstractNum>
  <w:abstractNum w:abstractNumId="9">
    <w:nsid w:val="42C296BD"/>
    <w:multiLevelType w:val="hybridMultilevel"/>
    <w:lvl w:ilvl="0">
      <w:lvlJc w:val="left"/>
      <w:lvlText w:val="1"/>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lvl w:ilvl="1">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1)"/>
      <w:numFmt w:val="decimal"/>
      <w:start w:val="1"/>
    </w:lvl>
  </w:abstractNum>
  <w:abstractNum w:abstractNumId="69">
    <w:nsid w:val="7DE67713"/>
    <w:multiLevelType w:val="hybridMultilevel"/>
    <w:lvl w:ilvl="0">
      <w:lvlJc w:val="left"/>
      <w:lvlText w:val="(%1)"/>
      <w:numFmt w:val="decimal"/>
      <w:start w:val="1"/>
    </w:lvl>
  </w:abstractNum>
  <w:abstractNum w:abstractNumId="70">
    <w:nsid w:val="555C55B5"/>
    <w:multiLevelType w:val="hybridMultilevel"/>
    <w:lvl w:ilvl="0">
      <w:lvlJc w:val="left"/>
      <w:lvlText w:val="(%1)"/>
      <w:numFmt w:val="decimal"/>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1)"/>
      <w:numFmt w:val="decimal"/>
      <w:start w:val="1"/>
    </w:lvl>
  </w:abstractNum>
  <w:abstractNum w:abstractNumId="74">
    <w:nsid w:val="71C91298"/>
    <w:multiLevelType w:val="hybridMultilevel"/>
    <w:lvl w:ilvl="0">
      <w:lvlJc w:val="left"/>
      <w:lvlText w:val="(%1)"/>
      <w:numFmt w:val="decimal"/>
      <w:start w:val="4"/>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1"/>
      <w:numFmt w:val="bullet"/>
      <w:start w:val="1"/>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1)"/>
      <w:numFmt w:val="decimal"/>
      <w:start w:val="1"/>
    </w:lvl>
  </w:abstractNum>
  <w:abstractNum w:abstractNumId="83">
    <w:nsid w:val="1D9F6E5F"/>
    <w:multiLevelType w:val="hybridMultilevel"/>
    <w:lvl w:ilvl="0">
      <w:lvlJc w:val="left"/>
      <w:lvlText w:val="(%1)"/>
      <w:numFmt w:val="decimal"/>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5"/>
      <w:numFmt w:val="bullet"/>
      <w:start w:val="1"/>
    </w:lvl>
  </w:abstractNum>
  <w:abstractNum w:abstractNumId="86">
    <w:nsid w:val="1CA0C5FA"/>
    <w:multiLevelType w:val="hybridMultilevel"/>
    <w:lvl w:ilvl="0">
      <w:lvlJc w:val="left"/>
      <w:lvlText w:val="(%1)"/>
      <w:numFmt w:val="decimal"/>
      <w:start w:val="1"/>
    </w:lvl>
  </w:abstractNum>
  <w:abstractNum w:abstractNumId="87">
    <w:nsid w:val="53584BCB"/>
    <w:multiLevelType w:val="hybridMultilevel"/>
    <w:lvl w:ilvl="0">
      <w:lvlJc w:val="left"/>
      <w:lvlText w:val="%1."/>
      <w:numFmt w:val="decimal"/>
      <w:start w:val="1"/>
    </w:lvl>
    <w:lvl w:ilvl="1">
      <w:lvlJc w:val="left"/>
      <w:lvlText w:val="%2."/>
      <w:numFmt w:val="lowerLetter"/>
      <w:start w:val="1"/>
    </w:lvl>
  </w:abstractNum>
  <w:abstractNum w:abstractNumId="88">
    <w:nsid w:val="415E286C"/>
    <w:multiLevelType w:val="hybridMultilevel"/>
    <w:lvl w:ilvl="0">
      <w:lvlJc w:val="left"/>
      <w:lvlText w:val="%1."/>
      <w:numFmt w:val="decimal"/>
      <w:start w:val="1"/>
    </w:lvl>
    <w:lvl w:ilvl="1">
      <w:lvlJc w:val="left"/>
      <w:lvlText w:val="%2."/>
      <w:numFmt w:val="lowerLetter"/>
      <w:start w:val="1"/>
    </w:lvl>
  </w:abstractNum>
  <w:abstractNum w:abstractNumId="89">
    <w:nsid w:val="7C58FD05"/>
    <w:multiLevelType w:val="hybridMultilevel"/>
    <w:lvl w:ilvl="0">
      <w:lvlJc w:val="left"/>
      <w:lvlText w:val="%1."/>
      <w:numFmt w:val="decimal"/>
      <w:start w:val="2"/>
    </w:lvl>
  </w:abstractNum>
  <w:abstractNum w:abstractNumId="90">
    <w:nsid w:val="23D86AAC"/>
    <w:multiLevelType w:val="hybridMultilevel"/>
    <w:lvl w:ilvl="0">
      <w:lvlJc w:val="left"/>
      <w:lvlText w:val="(%1)"/>
      <w:numFmt w:val="decimal"/>
      <w:start w:val="1"/>
    </w:lvl>
  </w:abstractNum>
  <w:abstractNum w:abstractNumId="91">
    <w:nsid w:val="45E6D486"/>
    <w:multiLevelType w:val="hybridMultilevel"/>
    <w:lvl w:ilvl="0">
      <w:lvlJc w:val="left"/>
      <w:lvlText w:val="(%1)"/>
      <w:numFmt w:val="decimal"/>
      <w:start w:val="1"/>
    </w:lvl>
  </w:abstractNum>
  <w:abstractNum w:abstractNumId="92">
    <w:nsid w:val="5C10FE21"/>
    <w:multiLevelType w:val="hybridMultilevel"/>
    <w:lvl w:ilvl="0">
      <w:lvlJc w:val="left"/>
      <w:lvlText w:val="•"/>
      <w:numFmt w:val="bullet"/>
      <w:start w:val="1"/>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6"/>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
      <w:numFmt w:val="bullet"/>
      <w:start w:val="1"/>
    </w:lvl>
  </w:abstractNum>
  <w:abstractNum w:abstractNumId="100">
    <w:nsid w:val="379E21B5"/>
    <w:multiLevelType w:val="hybridMultilevel"/>
    <w:lvl w:ilvl="0">
      <w:lvlJc w:val="left"/>
      <w:lvlText w:val="(%1)"/>
      <w:numFmt w:val="lowerRoman"/>
      <w:start w:val="3"/>
    </w:lvl>
  </w:abstractNum>
  <w:abstractNum w:abstractNumId="101">
    <w:nsid w:val="69E373"/>
    <w:multiLevelType w:val="hybridMultilevel"/>
    <w:lvl w:ilvl="0">
      <w:lvlJc w:val="left"/>
      <w:lvlText w:val="(%1)"/>
      <w:numFmt w:val="decimal"/>
      <w:start w:val="1"/>
    </w:lvl>
  </w:abstractNum>
  <w:abstractNum w:abstractNumId="102">
    <w:nsid w:val="2C27173B"/>
    <w:multiLevelType w:val="hybridMultilevel"/>
    <w:lvl w:ilvl="0">
      <w:lvlJc w:val="left"/>
      <w:lvlText w:val="(%1)"/>
      <w:numFmt w:val="decimal"/>
      <w:start w:val="3"/>
    </w:lvl>
  </w:abstractNum>
  <w:abstractNum w:abstractNumId="103">
    <w:nsid w:val="4C9B0904"/>
    <w:multiLevelType w:val="hybridMultilevel"/>
    <w:lvl w:ilvl="0">
      <w:lvlJc w:val="left"/>
      <w:lvlText w:val="(%1)"/>
      <w:numFmt w:val="decimal"/>
      <w:start w:val="5"/>
    </w:lvl>
  </w:abstractNum>
  <w:abstractNum w:abstractNumId="104">
    <w:nsid w:val="6AA7B75C"/>
    <w:multiLevelType w:val="hybridMultilevel"/>
    <w:lvl w:ilvl="0">
      <w:lvlJc w:val="left"/>
      <w:lvlText w:val="*"/>
      <w:numFmt w:val="bullet"/>
      <w:start w:val="1"/>
    </w:lvl>
  </w:abstractNum>
  <w:abstractNum w:abstractNumId="105">
    <w:nsid w:val="1DF029D3"/>
    <w:multiLevelType w:val="hybridMultilevel"/>
    <w:lvl w:ilvl="0">
      <w:lvlJc w:val="left"/>
      <w:lvlText w:val="(%1)"/>
      <w:numFmt w:val="decimal"/>
      <w:start w:val="6"/>
    </w:lvl>
  </w:abstractNum>
  <w:abstractNum w:abstractNumId="106">
    <w:nsid w:val="5675FF36"/>
    <w:multiLevelType w:val="hybridMultilevel"/>
    <w:lvl w:ilvl="0">
      <w:lvlJc w:val="left"/>
      <w:lvlText w:val="(%1)"/>
      <w:numFmt w:val="decimal"/>
      <w:start w:val="1"/>
    </w:lvl>
  </w:abstractNum>
  <w:abstractNum w:abstractNumId="107">
    <w:nsid w:val="3DD15094"/>
    <w:multiLevelType w:val="hybridMultilevel"/>
    <w:lvl w:ilvl="0">
      <w:lvlJc w:val="left"/>
      <w:lvlText w:val="(%1)"/>
      <w:numFmt w:val="decimal"/>
      <w:start w:val="3"/>
    </w:lvl>
  </w:abstractNum>
  <w:abstractNum w:abstractNumId="108">
    <w:nsid w:val="3DB012B3"/>
    <w:multiLevelType w:val="hybridMultilevel"/>
    <w:lvl w:ilvl="0">
      <w:lvlJc w:val="left"/>
      <w:lvlText w:val="(%1)"/>
      <w:numFmt w:val="decimal"/>
      <w:start w:val="6"/>
    </w:lvl>
  </w:abstractNum>
  <w:abstractNum w:abstractNumId="109">
    <w:nsid w:val="2708C9AF"/>
    <w:multiLevelType w:val="hybridMultilevel"/>
    <w:lvl w:ilvl="0">
      <w:lvlJc w:val="left"/>
      <w:lvlText w:val="(%1)"/>
      <w:numFmt w:val="decimal"/>
      <w:start w:val="1"/>
    </w:lvl>
  </w:abstractNum>
  <w:abstractNum w:abstractNumId="110">
    <w:nsid w:val="5B25ACE2"/>
    <w:multiLevelType w:val="hybridMultilevel"/>
    <w:lvl w:ilvl="0">
      <w:lvlJc w:val="left"/>
      <w:lvlText w:val="(%1)"/>
      <w:numFmt w:val="decimal"/>
      <w:start w:val="4"/>
    </w:lvl>
  </w:abstractNum>
  <w:abstractNum w:abstractNumId="111">
    <w:nsid w:val="175DFCF0"/>
    <w:multiLevelType w:val="hybridMultilevel"/>
    <w:lvl w:ilvl="0">
      <w:lvlJc w:val="left"/>
      <w:lvlText w:val="(%1)"/>
      <w:numFmt w:val="decimal"/>
      <w:start w:val="1"/>
    </w:lvl>
  </w:abstractNum>
  <w:abstractNum w:abstractNumId="112">
    <w:nsid w:val="4F97E3E4"/>
    <w:multiLevelType w:val="hybridMultilevel"/>
    <w:lvl w:ilvl="0">
      <w:lvlJc w:val="left"/>
      <w:lvlText w:val="(%1)"/>
      <w:numFmt w:val="decimal"/>
      <w:start w:val="2"/>
    </w:lvl>
  </w:abstractNum>
  <w:abstractNum w:abstractNumId="113">
    <w:nsid w:val="53B0A9E"/>
    <w:multiLevelType w:val="hybridMultilevel"/>
    <w:lvl w:ilvl="0">
      <w:lvlJc w:val="left"/>
      <w:lvlText w:val="(%1)"/>
      <w:numFmt w:val="decimal"/>
      <w:start w:val="1"/>
    </w:lvl>
  </w:abstractNum>
  <w:abstractNum w:abstractNumId="114">
    <w:nsid w:val="34FD6B4F"/>
    <w:multiLevelType w:val="hybridMultilevel"/>
    <w:lvl w:ilvl="0">
      <w:lvlJc w:val="left"/>
      <w:lvlText w:val="*"/>
      <w:numFmt w:val="bullet"/>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
      <w:numFmt w:val="bullet"/>
      <w:start w:val="1"/>
    </w:lvl>
  </w:abstractNum>
  <w:abstractNum w:abstractNumId="117">
    <w:nsid w:val="519E3149"/>
    <w:multiLevelType w:val="hybridMultilevel"/>
    <w:lvl w:ilvl="0">
      <w:lvlJc w:val="left"/>
      <w:lvlText w:val="(%1)"/>
      <w:numFmt w:val="decimal"/>
      <w:start w:val="1"/>
    </w:lvl>
  </w:abstractNum>
  <w:abstractNum w:abstractNumId="118">
    <w:nsid w:val="2C6E4AFD"/>
    <w:multiLevelType w:val="hybridMultilevel"/>
    <w:lvl w:ilvl="0">
      <w:lvlJc w:val="left"/>
      <w:lvlText w:val="(%1)"/>
      <w:numFmt w:val="decimal"/>
      <w:start w:val="1"/>
    </w:lvl>
  </w:abstractNum>
  <w:abstractNum w:abstractNumId="119">
    <w:nsid w:val="17A1B582"/>
    <w:multiLevelType w:val="hybridMultilevel"/>
    <w:lvl w:ilvl="0">
      <w:lvlJc w:val="left"/>
      <w:lvlText w:val="(%1)"/>
      <w:numFmt w:val="decimal"/>
      <w:start w:val="3"/>
    </w:lvl>
  </w:abstractNum>
  <w:abstractNum w:abstractNumId="120">
    <w:nsid w:val="4DF72E4E"/>
    <w:multiLevelType w:val="hybridMultilevel"/>
    <w:lvl w:ilvl="0">
      <w:lvlJc w:val="left"/>
      <w:lvlText w:val="(%1)"/>
      <w:numFmt w:val="decimal"/>
      <w:start w:val="1"/>
    </w:lvl>
  </w:abstractNum>
  <w:abstractNum w:abstractNumId="121">
    <w:nsid w:val="5046B5A9"/>
    <w:multiLevelType w:val="hybridMultilevel"/>
    <w:lvl w:ilvl="0">
      <w:lvlJc w:val="left"/>
      <w:lvlText w:val="(%1)"/>
      <w:numFmt w:val="decimal"/>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
      <w:numFmt w:val="bullet"/>
      <w:start w:val="1"/>
    </w:lvl>
  </w:abstractNum>
  <w:abstractNum w:abstractNumId="127">
    <w:nsid w:val="57A61A29"/>
    <w:multiLevelType w:val="hybridMultilevel"/>
    <w:lvl w:ilvl="0">
      <w:lvlJc w:val="left"/>
      <w:lvlText w:val="(%1)"/>
      <w:numFmt w:val="decimal"/>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
      <w:numFmt w:val="bullet"/>
      <w:start w:val="1"/>
    </w:lvl>
  </w:abstractNum>
  <w:abstractNum w:abstractNumId="131">
    <w:nsid w:val="B37E80A"/>
    <w:multiLevelType w:val="hybridMultilevel"/>
    <w:lvl w:ilvl="0">
      <w:lvlJc w:val="left"/>
      <w:lvlText w:val="•"/>
      <w:numFmt w:val="bullet"/>
      <w:start w:val="1"/>
    </w:lvl>
  </w:abstractNum>
  <w:abstractNum w:abstractNumId="132">
    <w:nsid w:val="2157F6BC"/>
    <w:multiLevelType w:val="hybridMultilevel"/>
    <w:lvl w:ilvl="0">
      <w:lvlJc w:val="left"/>
      <w:lvlText w:val="A"/>
      <w:numFmt w:val="bullet"/>
      <w:start w:val="1"/>
    </w:lvl>
  </w:abstractNum>
  <w:abstractNum w:abstractNumId="133">
    <w:nsid w:val="704E1DD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2026-04-28T16:49:37Z</dcterms:created>
  <dcterms:modified xsi:type="dcterms:W3CDTF">2026-04-28T16:49:37Z</dcterms:modified>
</cp:coreProperties>
</file>