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 (d)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28, 2023</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BIOGEN INC.</w:t>
      </w:r>
    </w:p>
    <w:p>
      <w:pPr>
        <w:spacing w:after="0" w:line="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024"/>
          </w:cols>
          <w:pgMar w:left="436" w:top="211" w:right="439" w:bottom="1440" w:gutter="0" w:footer="0" w:header="0"/>
        </w:sectPr>
      </w:pPr>
    </w:p>
    <w:p>
      <w:pPr>
        <w:spacing w:after="0" w:line="217"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36" w:lineRule="exact"/>
        <w:rPr>
          <w:sz w:val="24"/>
          <w:szCs w:val="24"/>
          <w:color w:val="auto"/>
        </w:rPr>
      </w:pPr>
    </w:p>
    <w:p>
      <w:pPr>
        <w:sectPr>
          <w:pgSz w:w="11900" w:h="16838" w:orient="portrait"/>
          <w:cols w:equalWidth="0" w:num="3">
            <w:col w:w="4564" w:space="720"/>
            <w:col w:w="2780" w:space="720"/>
            <w:col w:w="2240"/>
          </w:cols>
          <w:pgMar w:left="436" w:top="211" w:right="439" w:bottom="1440" w:gutter="0" w:footer="0" w:header="0"/>
          <w:type w:val="continuous"/>
        </w:sectPr>
      </w:pPr>
    </w:p>
    <w:p>
      <w:pPr>
        <w:jc w:val="center"/>
        <w:ind w:right="696"/>
        <w:spacing w:after="0"/>
        <w:rPr>
          <w:sz w:val="20"/>
          <w:szCs w:val="20"/>
          <w:color w:val="auto"/>
        </w:rPr>
      </w:pPr>
      <w:r>
        <w:rPr>
          <w:rFonts w:ascii="Arial" w:cs="Arial" w:eastAsia="Arial" w:hAnsi="Arial"/>
          <w:sz w:val="14"/>
          <w:szCs w:val="14"/>
          <w:b w:val="1"/>
          <w:bCs w:val="1"/>
          <w:color w:val="auto"/>
        </w:rPr>
        <w:t>(State or Other Jurisdiction</w:t>
      </w:r>
    </w:p>
    <w:p>
      <w:pPr>
        <w:jc w:val="center"/>
        <w:ind w:right="69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89" w:lineRule="exact"/>
        <w:rPr>
          <w:sz w:val="24"/>
          <w:szCs w:val="24"/>
          <w:color w:val="auto"/>
        </w:rPr>
      </w:pPr>
    </w:p>
    <w:p>
      <w:pPr>
        <w:sectPr>
          <w:pgSz w:w="11900" w:h="16838" w:orient="portrait"/>
          <w:cols w:equalWidth="0" w:num="3">
            <w:col w:w="4444" w:space="720"/>
            <w:col w:w="2760" w:space="720"/>
            <w:col w:w="2380"/>
          </w:cols>
          <w:pgMar w:left="436" w:top="211" w:right="439" w:bottom="1440" w:gutter="0" w:footer="0" w:header="0"/>
          <w:type w:val="continuous"/>
        </w:sectPr>
      </w:pPr>
    </w:p>
    <w:p>
      <w:pPr>
        <w:jc w:val="center"/>
        <w:ind w:right="16"/>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35"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ectPr>
          <w:pgSz w:w="11900" w:h="16838" w:orient="portrait"/>
          <w:cols w:equalWidth="0" w:num="1">
            <w:col w:w="11024"/>
          </w:cols>
          <w:pgMar w:left="436" w:top="211" w:right="439" w:bottom="1440" w:gutter="0" w:footer="0" w:header="0"/>
          <w:type w:val="continuous"/>
        </w:sectPr>
      </w:pPr>
    </w:p>
    <w:p>
      <w:pPr>
        <w:spacing w:after="0" w:line="18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679-2000</w:t>
      </w:r>
    </w:p>
    <w:p>
      <w:pPr>
        <w:spacing w:after="0" w:line="222" w:lineRule="exact"/>
        <w:rPr>
          <w:sz w:val="24"/>
          <w:szCs w:val="24"/>
          <w:color w:val="auto"/>
        </w:rPr>
      </w:pPr>
    </w:p>
    <w:p>
      <w:pPr>
        <w:ind w:left="4" w:right="12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right="3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1"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Pr>
          <w:p>
            <w:pPr>
              <w:jc w:val="center"/>
              <w:spacing w:after="0"/>
              <w:rPr>
                <w:sz w:val="20"/>
                <w:szCs w:val="20"/>
                <w:color w:val="auto"/>
              </w:rPr>
            </w:pPr>
            <w:r>
              <w:rPr>
                <w:rFonts w:ascii="Arial" w:cs="Arial" w:eastAsia="Arial" w:hAnsi="Arial"/>
                <w:sz w:val="18"/>
                <w:szCs w:val="18"/>
                <w:color w:val="auto"/>
              </w:rPr>
              <w:t>Common Stock, $0.0005 par value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BIIB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ectPr>
          <w:pgSz w:w="11900" w:h="16838" w:orient="portrait"/>
          <w:cols w:equalWidth="0" w:num="1">
            <w:col w:w="11024"/>
          </w:cols>
          <w:pgMar w:left="436" w:top="211"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0" w:lineRule="exact"/>
        <w:rPr>
          <w:sz w:val="20"/>
          <w:szCs w:val="20"/>
          <w:color w:val="auto"/>
        </w:rPr>
      </w:pPr>
    </w:p>
    <w:p>
      <w:pPr>
        <w:ind w:right="80" w:firstLine="440"/>
        <w:spacing w:after="0" w:line="243" w:lineRule="auto"/>
        <w:rPr>
          <w:sz w:val="20"/>
          <w:szCs w:val="20"/>
          <w:color w:val="auto"/>
        </w:rPr>
      </w:pPr>
      <w:r>
        <w:rPr>
          <w:rFonts w:ascii="Arial" w:cs="Arial" w:eastAsia="Arial" w:hAnsi="Arial"/>
          <w:sz w:val="18"/>
          <w:szCs w:val="18"/>
          <w:color w:val="auto"/>
        </w:rPr>
        <w:t>On July 28, 2023, Biogen Inc. (“</w:t>
      </w:r>
      <w:r>
        <w:rPr>
          <w:rFonts w:ascii="Arial" w:cs="Arial" w:eastAsia="Arial" w:hAnsi="Arial"/>
          <w:sz w:val="18"/>
          <w:szCs w:val="18"/>
          <w:u w:val="single" w:color="auto"/>
          <w:color w:val="auto"/>
        </w:rPr>
        <w:t>Biogen</w:t>
      </w:r>
      <w:r>
        <w:rPr>
          <w:rFonts w:ascii="Arial" w:cs="Arial" w:eastAsia="Arial" w:hAnsi="Arial"/>
          <w:sz w:val="18"/>
          <w:szCs w:val="18"/>
          <w:color w:val="auto"/>
        </w:rPr>
        <w:t>”), River Acquisition, Inc. (“</w:t>
      </w:r>
      <w:r>
        <w:rPr>
          <w:rFonts w:ascii="Arial" w:cs="Arial" w:eastAsia="Arial" w:hAnsi="Arial"/>
          <w:sz w:val="18"/>
          <w:szCs w:val="18"/>
          <w:u w:val="single" w:color="auto"/>
          <w:color w:val="auto"/>
        </w:rPr>
        <w:t>Merger Sub</w:t>
      </w:r>
      <w:r>
        <w:rPr>
          <w:rFonts w:ascii="Arial" w:cs="Arial" w:eastAsia="Arial" w:hAnsi="Arial"/>
          <w:sz w:val="18"/>
          <w:szCs w:val="18"/>
          <w:color w:val="auto"/>
        </w:rPr>
        <w:t>”), a Delaware corporation and a wholly-owned subsidiary of Biogen and Reata Pharmaceuticals, Inc. (“</w:t>
      </w:r>
      <w:r>
        <w:rPr>
          <w:rFonts w:ascii="Arial" w:cs="Arial" w:eastAsia="Arial" w:hAnsi="Arial"/>
          <w:sz w:val="18"/>
          <w:szCs w:val="18"/>
          <w:u w:val="single" w:color="auto"/>
          <w:color w:val="auto"/>
        </w:rPr>
        <w:t>Reata</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and upon the terms and subject to the conditions set forth therein, Merger Sub will be merged with and into Reata (the “</w:t>
      </w:r>
      <w:r>
        <w:rPr>
          <w:rFonts w:ascii="Arial" w:cs="Arial" w:eastAsia="Arial" w:hAnsi="Arial"/>
          <w:sz w:val="18"/>
          <w:szCs w:val="18"/>
          <w:u w:val="single" w:color="auto"/>
          <w:color w:val="auto"/>
        </w:rPr>
        <w:t>Merger</w:t>
      </w:r>
      <w:r>
        <w:rPr>
          <w:rFonts w:ascii="Arial" w:cs="Arial" w:eastAsia="Arial" w:hAnsi="Arial"/>
          <w:sz w:val="18"/>
          <w:szCs w:val="18"/>
          <w:color w:val="auto"/>
        </w:rPr>
        <w:t>”), with Reata surviving the Merger as a wholly-owned subsidiary of Biogen.</w:t>
      </w:r>
    </w:p>
    <w:p>
      <w:pPr>
        <w:spacing w:after="0" w:line="188" w:lineRule="exact"/>
        <w:rPr>
          <w:sz w:val="20"/>
          <w:szCs w:val="20"/>
          <w:color w:val="auto"/>
        </w:rPr>
      </w:pPr>
    </w:p>
    <w:p>
      <w:pPr>
        <w:ind w:right="120" w:firstLine="440"/>
        <w:spacing w:after="0" w:line="238" w:lineRule="auto"/>
        <w:rPr>
          <w:sz w:val="20"/>
          <w:szCs w:val="20"/>
          <w:color w:val="auto"/>
        </w:rPr>
      </w:pPr>
      <w:r>
        <w:rPr>
          <w:rFonts w:ascii="Arial" w:cs="Arial" w:eastAsia="Arial" w:hAnsi="Arial"/>
          <w:sz w:val="18"/>
          <w:szCs w:val="18"/>
          <w:color w:val="auto"/>
        </w:rPr>
        <w:t>The Merger Agreement was unanimously approved by Biogen’s Board of Directors (the “</w:t>
      </w:r>
      <w:r>
        <w:rPr>
          <w:rFonts w:ascii="Arial" w:cs="Arial" w:eastAsia="Arial" w:hAnsi="Arial"/>
          <w:sz w:val="18"/>
          <w:szCs w:val="18"/>
          <w:u w:val="single" w:color="auto"/>
          <w:color w:val="auto"/>
        </w:rPr>
        <w:t>Biogen Board</w:t>
      </w:r>
      <w:r>
        <w:rPr>
          <w:rFonts w:ascii="Arial" w:cs="Arial" w:eastAsia="Arial" w:hAnsi="Arial"/>
          <w:sz w:val="18"/>
          <w:szCs w:val="18"/>
          <w:color w:val="auto"/>
        </w:rPr>
        <w:t>”). Reata’s Board of Directors (the “</w:t>
      </w:r>
      <w:r>
        <w:rPr>
          <w:rFonts w:ascii="Arial" w:cs="Arial" w:eastAsia="Arial" w:hAnsi="Arial"/>
          <w:sz w:val="18"/>
          <w:szCs w:val="18"/>
          <w:u w:val="single" w:color="auto"/>
          <w:color w:val="auto"/>
        </w:rPr>
        <w:t>Reata Board</w:t>
      </w:r>
      <w:r>
        <w:rPr>
          <w:rFonts w:ascii="Arial" w:cs="Arial" w:eastAsia="Arial" w:hAnsi="Arial"/>
          <w:sz w:val="18"/>
          <w:szCs w:val="18"/>
          <w:color w:val="auto"/>
        </w:rPr>
        <w:t>”) has unanimously (i) determined that the Merger Agreement and the transactions contemplated thereby, including the Merger, are advisable, fair to and in the best interests of Reata and its stockholders, and declared it advisable for Reata to enter into the Merger Agreement, (ii) approved and declared advisable the execution and delivery by Reata of the Merger Agreement, the performance by Reata of its covenants and agreements contained in the Merger Agreement and the consummation of the Merger and the other transactions contemplated by the Merger Agreement upon the terms and subject to the conditions contained therein, (iii) directed that the adoption of the Merger Agreement be submitted to a vote at a special meeting of the stockholders of Reata (the “</w:t>
      </w:r>
      <w:r>
        <w:rPr>
          <w:rFonts w:ascii="Arial" w:cs="Arial" w:eastAsia="Arial" w:hAnsi="Arial"/>
          <w:sz w:val="18"/>
          <w:szCs w:val="18"/>
          <w:u w:val="single" w:color="auto"/>
          <w:color w:val="auto"/>
        </w:rPr>
        <w:t>Reata Special Meeting</w:t>
      </w:r>
      <w:r>
        <w:rPr>
          <w:rFonts w:ascii="Arial" w:cs="Arial" w:eastAsia="Arial" w:hAnsi="Arial"/>
          <w:sz w:val="18"/>
          <w:szCs w:val="18"/>
          <w:color w:val="auto"/>
        </w:rPr>
        <w:t>”) and (iv) resolved, subject to the terms and conditions set forth in the Merger Agreement, to recommend that the Merger Agreement be adopted by the stockholders of Reata.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 and Treatment of Equity Awards</w:t>
      </w:r>
    </w:p>
    <w:p>
      <w:pPr>
        <w:spacing w:after="0" w:line="110"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Subject to the terms and conditions of the Merger Agreement, at the effective time of the Merger (the “</w:t>
      </w:r>
      <w:r>
        <w:rPr>
          <w:rFonts w:ascii="Arial" w:cs="Arial" w:eastAsia="Arial" w:hAnsi="Arial"/>
          <w:sz w:val="18"/>
          <w:szCs w:val="18"/>
          <w:u w:val="single" w:color="auto"/>
          <w:color w:val="auto"/>
        </w:rPr>
        <w:t>Effective Time</w:t>
      </w:r>
      <w:r>
        <w:rPr>
          <w:rFonts w:ascii="Arial" w:cs="Arial" w:eastAsia="Arial" w:hAnsi="Arial"/>
          <w:sz w:val="18"/>
          <w:szCs w:val="18"/>
          <w:color w:val="auto"/>
        </w:rPr>
        <w:t>”), each share of Class A common stock, par value $0.001 per share, of Reata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issued and outstanding immediately prior to the Effective Time and each share of Class B common stock, par value $0.001 per share, of Reata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xml:space="preserve"> ” and, together with the Class A Common Stock, the “</w:t>
      </w:r>
      <w:r>
        <w:rPr>
          <w:rFonts w:ascii="Arial" w:cs="Arial" w:eastAsia="Arial" w:hAnsi="Arial"/>
          <w:sz w:val="18"/>
          <w:szCs w:val="18"/>
          <w:u w:val="single" w:color="auto"/>
          <w:color w:val="auto"/>
        </w:rPr>
        <w:t>Reata Common Stock</w:t>
      </w:r>
      <w:r>
        <w:rPr>
          <w:rFonts w:ascii="Arial" w:cs="Arial" w:eastAsia="Arial" w:hAnsi="Arial"/>
          <w:sz w:val="18"/>
          <w:szCs w:val="18"/>
          <w:color w:val="auto"/>
        </w:rPr>
        <w:t>”) issued and outstanding immediately prior to the Effective Time (in each case except for (i) shares of Reata Common Stock owned by Biogen, Merger Sub or Reata, or by any direct or indirect wholly-owned subsidiary of Biogen, Merger Sub or Reata, in each case, immediately prior to the Effective Time; and (ii) any shares of Reata Common Stock with respect to which statutory rights of appraisal have been properly and validly demanded) will be automatically canceled and converted into the right to receive $172.50 in cash, without interest and subject to any applicable withholding taxes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In addition, effective as of immediately prior to the Effective Time, (i) each outstanding Reata stock option, whether vested or unvested, will be automatically canceled and converted into the right to receive an amount in cash, without interest, equal to the product of (A) the number of shares of Reata Common Stock underlying such option immediately prior to the Effective Time multiplied by (B) the amount, if any, by which the Merger Consideration exceeds the exercise price per share of such option, and (ii) each outstanding Reata restricted stock unit (“</w:t>
      </w:r>
      <w:r>
        <w:rPr>
          <w:rFonts w:ascii="Arial" w:cs="Arial" w:eastAsia="Arial" w:hAnsi="Arial"/>
          <w:sz w:val="18"/>
          <w:szCs w:val="18"/>
          <w:u w:val="single" w:color="auto"/>
          <w:color w:val="auto"/>
        </w:rPr>
        <w:t>RSU</w:t>
      </w:r>
      <w:r>
        <w:rPr>
          <w:rFonts w:ascii="Arial" w:cs="Arial" w:eastAsia="Arial" w:hAnsi="Arial"/>
          <w:sz w:val="18"/>
          <w:szCs w:val="18"/>
          <w:color w:val="auto"/>
        </w:rPr>
        <w:t xml:space="preserve"> ”) will be automatically canceled and converted into the right to receive an amount in cash, without interest, equal to the product of (A) the number of shares of Reata Common Stock underlying such RSU immediately prior to the Effective Time multiplied by (B) the Merger Consideration, in each case, subject to any applicable withholding taxes.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Warranties and Covenants</w:t>
      </w:r>
    </w:p>
    <w:p>
      <w:pPr>
        <w:spacing w:after="0" w:line="110" w:lineRule="exact"/>
        <w:rPr>
          <w:sz w:val="20"/>
          <w:szCs w:val="20"/>
          <w:color w:val="auto"/>
        </w:rPr>
      </w:pPr>
    </w:p>
    <w:p>
      <w:pPr>
        <w:ind w:right="80" w:firstLine="440"/>
        <w:spacing w:after="0" w:line="241" w:lineRule="auto"/>
        <w:rPr>
          <w:sz w:val="20"/>
          <w:szCs w:val="20"/>
          <w:color w:val="auto"/>
        </w:rPr>
      </w:pPr>
      <w:r>
        <w:rPr>
          <w:rFonts w:ascii="Arial" w:cs="Arial" w:eastAsia="Arial" w:hAnsi="Arial"/>
          <w:sz w:val="18"/>
          <w:szCs w:val="18"/>
          <w:color w:val="auto"/>
        </w:rPr>
        <w:t>Each of Biogen, Merger Sub and Reata have made customary representations, warranties and covenants in the Merger Agreement, including, among others, covenants to use their respective reasonable best efforts to take, or cause to be taken, all actions that are necessary, proper or advisable to consummate and make effective, in the most expeditious manner practicable, the Merger and each of the other transactions contemplated by the Merger Agreement, including using reasonable best efforts to cause each of the conditions to the Merger to be satisfied as promptly as practicable after the date of the Merger Agreement.</w:t>
      </w:r>
    </w:p>
    <w:p>
      <w:pPr>
        <w:spacing w:after="0" w:line="189"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In addition, Reata has made customary covenants in the Merger Agreement, including, among others, covenants during the period between the date of the Merger Agreement and the Effective Time (i) to use reasonable best efforts to conduct its operations in all material respects according to its ordinary and usual course of business consistent with past practice and preserve</w:t>
      </w:r>
    </w:p>
    <w:p>
      <w:pPr>
        <w:sectPr>
          <w:pgSz w:w="11900" w:h="16838" w:orient="portrait"/>
          <w:cols w:equalWidth="0" w:num="1">
            <w:col w:w="11000"/>
          </w:cols>
          <w:pgMar w:left="440" w:top="508" w:right="459" w:bottom="1440" w:gutter="0" w:footer="0" w:header="0"/>
        </w:sectPr>
      </w:pPr>
    </w:p>
    <w:bookmarkStart w:id="2" w:name="page3"/>
    <w:bookmarkEnd w:id="2"/>
    <w:p>
      <w:pPr>
        <w:jc w:val="both"/>
        <w:ind w:left="4" w:right="6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intact its business organization and to preserve the present relationships with those persons having significant business relationships with Reata or its subsidiaries and (ii) not to engage in specified types of transactions or take specified actions during this period unless agreed to in writing by Biogen. The Reata Board has agreed, subject to certain exceptions, not to withdraw, amend, modify or qualify in a manner adverse to Biogen or Merger Sub the Company Board Recommendation (as defined in the Merger Agreement).</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No-Shop; Change of Recommendation</w:t>
      </w:r>
    </w:p>
    <w:p>
      <w:pPr>
        <w:spacing w:after="0" w:line="110" w:lineRule="exact"/>
        <w:rPr>
          <w:sz w:val="20"/>
          <w:szCs w:val="20"/>
          <w:color w:val="auto"/>
        </w:rPr>
      </w:pPr>
    </w:p>
    <w:p>
      <w:pPr>
        <w:ind w:left="4" w:firstLine="440"/>
        <w:spacing w:after="0" w:line="237" w:lineRule="auto"/>
        <w:rPr>
          <w:sz w:val="20"/>
          <w:szCs w:val="20"/>
          <w:color w:val="auto"/>
        </w:rPr>
      </w:pPr>
      <w:r>
        <w:rPr>
          <w:rFonts w:ascii="Arial" w:cs="Arial" w:eastAsia="Arial" w:hAnsi="Arial"/>
          <w:sz w:val="18"/>
          <w:szCs w:val="18"/>
          <w:color w:val="auto"/>
        </w:rPr>
        <w:t>Under the Merger Agreement, Reata is subject to a customary “no-shop” provision that restricts Reata and its representatives from soliciting Acquisition Proposals (as defined in the Merger Agreement) from third parties or providing information to or engaging or participating in any discussions or negotiations with third parties regarding Acquisition Proposals. However, prior to the receipt of the affirmative vote of the holders of a majority of the voting power of the outstanding Reata Common Stock to adopt of the Merger Agreement and approve of the transactions contemplated thereby (the “</w:t>
      </w:r>
      <w:r>
        <w:rPr>
          <w:rFonts w:ascii="Arial" w:cs="Arial" w:eastAsia="Arial" w:hAnsi="Arial"/>
          <w:sz w:val="18"/>
          <w:szCs w:val="18"/>
          <w:u w:val="single" w:color="auto"/>
          <w:color w:val="auto"/>
        </w:rPr>
        <w:t>Reata Stockholder Approval</w:t>
      </w:r>
      <w:r>
        <w:rPr>
          <w:rFonts w:ascii="Arial" w:cs="Arial" w:eastAsia="Arial" w:hAnsi="Arial"/>
          <w:sz w:val="18"/>
          <w:szCs w:val="18"/>
          <w:color w:val="auto"/>
        </w:rPr>
        <w:t>”), the “no-shop” provision allows Reata, under certain circumstances and in compliance with certain obligations set forth in the Merger Agreement (including promptly advising Biogen of receipt of any Acquisition Proposal and the substance thereof), to provide non-public information and engage in discussions and negotiations with respect to an unsolicited bona fide Acquisition Proposal if the Reata Board, after consultation with its financial advisor(s) and outside legal counsel, determines in good faith that such Acquisition Proposal constitutes or is reasonably likely to lead to a Superior Proposal (as defined in the Merger Agreement) and that failure to take such actions would be reasonably likely to be inconsistent with its fiduciary duties under applicable law.</w:t>
      </w:r>
    </w:p>
    <w:p>
      <w:pPr>
        <w:spacing w:after="0" w:line="195" w:lineRule="exact"/>
        <w:rPr>
          <w:sz w:val="20"/>
          <w:szCs w:val="20"/>
          <w:color w:val="auto"/>
        </w:rPr>
      </w:pPr>
    </w:p>
    <w:p>
      <w:pPr>
        <w:ind w:left="4" w:right="20" w:firstLine="440"/>
        <w:spacing w:after="0" w:line="238" w:lineRule="auto"/>
        <w:rPr>
          <w:sz w:val="20"/>
          <w:szCs w:val="20"/>
          <w:color w:val="auto"/>
        </w:rPr>
      </w:pPr>
      <w:r>
        <w:rPr>
          <w:rFonts w:ascii="Arial" w:cs="Arial" w:eastAsia="Arial" w:hAnsi="Arial"/>
          <w:sz w:val="18"/>
          <w:szCs w:val="18"/>
          <w:color w:val="auto"/>
        </w:rPr>
        <w:t>Reata will prepare and file a proxy statement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subject to certain exceptions, the Reata Board will recommend that the Merger Agreement be adopted by Reata’s stockholders at the Reata Special Meeting. Prior to the receipt of the Reata Stockholder Approval, the Reata Board may withdraw or modify its recommendation that Reata’s stockholders adopt the Merger Agreement and approve the transactions contemplated thereby if it, after consultation with its financial advisor(s) and outside legal counsel, determines in good faith (i) that it has received a Superior Proposal or (ii) an Intervening Event (as defined in the Merger Agreement) has occurred, in each case, subject to providing notice to Biogen and complying with other specified conditions, including giving Biogen the opportunity to propose revisions to the terms of the transaction contemplated by the Merger Agreement during a match right period.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Closing Conditions</w:t>
      </w:r>
    </w:p>
    <w:p>
      <w:pPr>
        <w:spacing w:after="0" w:line="110"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7"/>
          <w:szCs w:val="17"/>
          <w:color w:val="auto"/>
        </w:rPr>
        <w:t>The obligation of the parties to consummate the Merger is subject to certain customary conditions, including: (i) receipt of the Reata Stockholder Approval, (ii) the expiration or termination of the applicable waiting period under the Hart-Scott-Rodino Act of 1976, and</w:t>
      </w:r>
    </w:p>
    <w:p>
      <w:pPr>
        <w:spacing w:after="0" w:line="2" w:lineRule="exact"/>
        <w:rPr>
          <w:sz w:val="20"/>
          <w:szCs w:val="20"/>
          <w:color w:val="auto"/>
        </w:rPr>
      </w:pPr>
    </w:p>
    <w:p>
      <w:pPr>
        <w:ind w:left="4" w:right="20" w:hanging="4"/>
        <w:spacing w:after="0" w:line="236" w:lineRule="auto"/>
        <w:tabs>
          <w:tab w:leader="none" w:pos="29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absence of any law or order prohibiting or otherwise preventing the consummation of the acquisition of the Reata Common Stock by Biogen or the Merger. In addition, each of and Biogen’s and Reata’s obligations to consummate the Merger are subject to certain matters, including: (i) the accuracy of the representations and warranties given by the other party (subject to customary materiality qualifiers), and (ii) performance, and compliance with, in all material respects, the agreements and covenants required to be performed, or complied with, by the other party under the Merger Agreement. Biogen’s obligation to consummate the Merger is also subject to (i) the non-occurrence of a Company Material Adverse Effect (as defined in the Merger Agreement), (ii) the absence of any law or order that is in effect and imposes a Burdensome Condition (as defined in the Merger Agreement) and (iii) the absence of any pending legal proceeding that seeks to (A) have the effect of making illegal or prohibiting or otherwise preventing the consummation of the acquisition of the Reata Common Stock by Biogen or Merger Sub or (B) impose a Burdensome Condition. The Merger Agreement does not contain a financing condition.</w:t>
      </w:r>
    </w:p>
    <w:p>
      <w:pPr>
        <w:sectPr>
          <w:pgSz w:w="11900" w:h="16838" w:orient="portrait"/>
          <w:cols w:equalWidth="0" w:num="1">
            <w:col w:w="10984"/>
          </w:cols>
          <w:pgMar w:left="436" w:top="518"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Termination; Termination Fees; Expense Reimbursement</w:t>
      </w:r>
    </w:p>
    <w:p>
      <w:pPr>
        <w:spacing w:after="0" w:line="110" w:lineRule="exact"/>
        <w:rPr>
          <w:sz w:val="20"/>
          <w:szCs w:val="20"/>
          <w:color w:val="auto"/>
        </w:rPr>
      </w:pPr>
    </w:p>
    <w:p>
      <w:pPr>
        <w:ind w:right="60" w:firstLine="440"/>
        <w:spacing w:after="0" w:line="237" w:lineRule="auto"/>
        <w:rPr>
          <w:sz w:val="20"/>
          <w:szCs w:val="20"/>
          <w:color w:val="auto"/>
        </w:rPr>
      </w:pPr>
      <w:r>
        <w:rPr>
          <w:rFonts w:ascii="Arial" w:cs="Arial" w:eastAsia="Arial" w:hAnsi="Arial"/>
          <w:sz w:val="18"/>
          <w:szCs w:val="18"/>
          <w:color w:val="auto"/>
        </w:rPr>
        <w:t>The Merger Agreement contains certain termination rights for Biogen and Reata, including the right of either party to terminate the Merger Agreement if (i) the Merger is not consummated by January 28, 2024 (the “</w:t>
      </w:r>
      <w:r>
        <w:rPr>
          <w:rFonts w:ascii="Arial" w:cs="Arial" w:eastAsia="Arial" w:hAnsi="Arial"/>
          <w:sz w:val="18"/>
          <w:szCs w:val="18"/>
          <w:u w:val="single" w:color="auto"/>
          <w:color w:val="auto"/>
        </w:rPr>
        <w:t>Outside Date</w:t>
      </w:r>
      <w:r>
        <w:rPr>
          <w:rFonts w:ascii="Arial" w:cs="Arial" w:eastAsia="Arial" w:hAnsi="Arial"/>
          <w:sz w:val="18"/>
          <w:szCs w:val="18"/>
          <w:color w:val="auto"/>
        </w:rPr>
        <w:t>”) (subject to any extension in accordance with the terms of the Merger Agreement), (ii) the Reata Stockholder Approval is not obtained at the Reata Special Meeting or at any adjournment or postponement thereof, (iii) a law or order permanently restraining, enjoining, preventing or otherwise prohibiting or making illegal the consummation of the Merger has become final and non-appealable, or (iv) the other party breaches any representation, warranty, covenant or agreement made in the Merger Agreement, and such breach remains uncured for twenty business days (if curable). Biogen may terminate the Merger Agreement if (i) any law or order imposing a Burdensome Condition has become final and non-appealable, or (ii) prior to obtaining stockholder approval, the Reata Board changes its recommendation that Reata’s stockholders adopt the Merger Agreement and approve the transactions contemplated thereby (a “</w:t>
      </w:r>
      <w:r>
        <w:rPr>
          <w:rFonts w:ascii="Arial" w:cs="Arial" w:eastAsia="Arial" w:hAnsi="Arial"/>
          <w:sz w:val="18"/>
          <w:szCs w:val="18"/>
          <w:u w:val="single" w:color="auto"/>
          <w:color w:val="auto"/>
        </w:rPr>
        <w:t>Recommendation Change</w:t>
      </w:r>
      <w:r>
        <w:rPr>
          <w:rFonts w:ascii="Arial" w:cs="Arial" w:eastAsia="Arial" w:hAnsi="Arial"/>
          <w:sz w:val="18"/>
          <w:szCs w:val="18"/>
          <w:color w:val="auto"/>
        </w:rPr>
        <w:t>”). Reata may terminate the Merger Agreement if, prior to obtaining stockholder approval, the Reata Board in good faith determines that it has received a Superior Proposal and terminates the Merger Agreement to enter into an agreement with respect to the Superior Proposal (subject to payment of a termination fee described below).</w:t>
      </w:r>
    </w:p>
    <w:p>
      <w:pPr>
        <w:spacing w:after="0" w:line="193" w:lineRule="exact"/>
        <w:rPr>
          <w:sz w:val="20"/>
          <w:szCs w:val="20"/>
          <w:color w:val="auto"/>
        </w:rPr>
      </w:pPr>
    </w:p>
    <w:p>
      <w:pPr>
        <w:ind w:right="280" w:firstLine="440"/>
        <w:spacing w:after="0" w:line="241" w:lineRule="auto"/>
        <w:rPr>
          <w:sz w:val="20"/>
          <w:szCs w:val="20"/>
          <w:color w:val="auto"/>
        </w:rPr>
      </w:pPr>
      <w:r>
        <w:rPr>
          <w:rFonts w:ascii="Arial" w:cs="Arial" w:eastAsia="Arial" w:hAnsi="Arial"/>
          <w:sz w:val="18"/>
          <w:szCs w:val="18"/>
          <w:color w:val="auto"/>
        </w:rPr>
        <w:t>In certain customary circumstances (including (i) if Biogen terminates the Merger Agreement because of a Recommendation Change, (ii) if Reata terminates the Merger Agreement to enter into an agreement with respect to a Superior Proposal and (iii) if Biogen terminates the Merger Agreement after the Reata Special Meeting has been held and the Reata Stockholder Approval has not been obtained thereat or at any adjournment or postponement thereof) Reata will be required to pay Biogen a termination fee equal to $264,000,000.</w:t>
      </w:r>
    </w:p>
    <w:p>
      <w:pPr>
        <w:spacing w:after="0" w:line="189" w:lineRule="exact"/>
        <w:rPr>
          <w:sz w:val="20"/>
          <w:szCs w:val="20"/>
          <w:color w:val="auto"/>
        </w:rPr>
      </w:pPr>
    </w:p>
    <w:p>
      <w:pPr>
        <w:ind w:firstLine="440"/>
        <w:spacing w:after="0" w:line="241" w:lineRule="auto"/>
        <w:rPr>
          <w:sz w:val="20"/>
          <w:szCs w:val="20"/>
          <w:color w:val="auto"/>
        </w:rPr>
      </w:pPr>
      <w:r>
        <w:rPr>
          <w:rFonts w:ascii="Arial" w:cs="Arial" w:eastAsia="Arial" w:hAnsi="Arial"/>
          <w:sz w:val="18"/>
          <w:szCs w:val="18"/>
          <w:color w:val="auto"/>
        </w:rPr>
        <w:t>In certain customary circumstances (including if the Merger Agreement is terminated because of the failure to consummate the Merger by the Outside Date or a law or order permanently restraining, enjoining, preventing or otherwise prohibiting or making illegal the consummation of the Merger has become final and non-appealable and, in each case, at the time of such termination, all closing conditions have been satisfied other than with respect to the Hart-Scott-Rodino Act), Biogen will be required to pay Reata a termination fee equal to $301,000,000.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Merger Agreement Not Complete</w:t>
      </w:r>
    </w:p>
    <w:p>
      <w:pPr>
        <w:spacing w:after="0" w:line="110" w:lineRule="exact"/>
        <w:rPr>
          <w:sz w:val="20"/>
          <w:szCs w:val="20"/>
          <w:color w:val="auto"/>
        </w:rPr>
      </w:pPr>
    </w:p>
    <w:p>
      <w:pPr>
        <w:ind w:right="20" w:firstLine="440"/>
        <w:spacing w:after="0" w:line="237" w:lineRule="auto"/>
        <w:rPr>
          <w:sz w:val="20"/>
          <w:szCs w:val="20"/>
          <w:color w:val="auto"/>
        </w:rPr>
      </w:pPr>
      <w:r>
        <w:rPr>
          <w:rFonts w:ascii="Arial" w:cs="Arial" w:eastAsia="Arial" w:hAnsi="Arial"/>
          <w:sz w:val="18"/>
          <w:szCs w:val="18"/>
          <w:color w:val="auto"/>
        </w:rPr>
        <w:t>The Merger Agreement and the above description of the Merger Agreement have been included to provide investors with information regarding the terms of the Merger Agreement. It is not intended to provide any other factual information about Biogen, Reata, or their respective subsidiaries or affiliates. The representations, warranties and covenants contained in the Merger Agreement were made only for purposes of that agreement and as of specific dates, were solely for the benefit of the parties to the Merger Agreement and may be subject to limitations agreed upon by the parties in connection with negotiating the terms of the Merger Agreement, including being qualified by confidential disclosures made by each party to the other for the purposes of allocating contractual risk between them.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Merger Agreement, which subsequent information may or may not be fully reflected in public disclosures by Biogen. The Merger Agreement should not be read alone, but should instead be read in conjunction with the other information regarding the</w:t>
      </w:r>
    </w:p>
    <w:p>
      <w:pPr>
        <w:sectPr>
          <w:pgSz w:w="11900" w:h="16838" w:orient="portrait"/>
          <w:cols w:equalWidth="0" w:num="1">
            <w:col w:w="11000"/>
          </w:cols>
          <w:pgMar w:left="440" w:top="512" w:right="459" w:bottom="1440" w:gutter="0" w:footer="0" w:header="0"/>
        </w:sectPr>
      </w:pPr>
    </w:p>
    <w:bookmarkStart w:id="4" w:name="page5"/>
    <w:bookmarkEnd w:id="4"/>
    <w:p>
      <w:pPr>
        <w:ind w:right="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parties that is or will be contained in, or incorporated by reference into, the Forms 10-K and Forms 10-Q filed and to be filed by Biogen, the proxy statement to be filed by Reata in connection with the Merger and other documents that the parties will file with the SEC. Investors should not rely on the representations, warranties and covenants or any description thereof as characterizations of the actual state of facts or condition of Biogen, Reata or any of their respective subsidiaries, affiliates or businesses. The foregoing description of the Merger Agreement and the transactions contemplated thereby does not purport to be complete and is subject to, and qualified in its entirety by, the full text of the Merger Agreement, a copy of which is attached hereto as Exhibit 2.1 and incorporated herein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of the Merger</w:t>
      </w:r>
    </w:p>
    <w:p>
      <w:pPr>
        <w:spacing w:after="0" w:line="110"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Biogen expects to finance the Merger with a combination of cash on hand and term loan proceeds. In connection with entering into the Merger Agreement, Biogen has entered into a commitment letter (the “</w:t>
      </w:r>
      <w:r>
        <w:rPr>
          <w:rFonts w:ascii="Arial" w:cs="Arial" w:eastAsia="Arial" w:hAnsi="Arial"/>
          <w:sz w:val="18"/>
          <w:szCs w:val="18"/>
          <w:u w:val="single" w:color="auto"/>
          <w:color w:val="auto"/>
        </w:rPr>
        <w:t>Commitment Letter</w:t>
      </w:r>
      <w:r>
        <w:rPr>
          <w:rFonts w:ascii="Arial" w:cs="Arial" w:eastAsia="Arial" w:hAnsi="Arial"/>
          <w:sz w:val="18"/>
          <w:szCs w:val="18"/>
          <w:color w:val="auto"/>
        </w:rPr>
        <w:t>”), dated as of July 28, 2023, with 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pursuant to which, subject to the terms and conditions set forth therein, JPMorgan has committed to provide a 364-day senior unsecured bridge loan facility in an aggregate principal amount of up to $1.5 billion (the “</w:t>
      </w:r>
      <w:r>
        <w:rPr>
          <w:rFonts w:ascii="Arial" w:cs="Arial" w:eastAsia="Arial" w:hAnsi="Arial"/>
          <w:sz w:val="18"/>
          <w:szCs w:val="18"/>
          <w:u w:val="single" w:color="auto"/>
          <w:color w:val="auto"/>
        </w:rPr>
        <w:t>Bridge Facility</w:t>
      </w:r>
      <w:r>
        <w:rPr>
          <w:rFonts w:ascii="Arial" w:cs="Arial" w:eastAsia="Arial" w:hAnsi="Arial"/>
          <w:sz w:val="18"/>
          <w:szCs w:val="18"/>
          <w:color w:val="auto"/>
        </w:rPr>
        <w:t>”), to fund a portion of the consideration for the Merger. The funding of the Bridge Facility provided for in the Commitment Letter is contingent on the satisfaction of customary conditions, including (i) the execution and delivery of definitive documentation with respect to the Bridge Facility in accordance with the terms set forth in the Commitment Letter and (ii) the consummation of the Merger in accordance with the terms set forth in the Merger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Support Agreements</w:t>
      </w:r>
    </w:p>
    <w:p>
      <w:pPr>
        <w:spacing w:after="0" w:line="110"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On July 28, 2023, concurrently with the execution of the Merger Agreement, Biogen and Merger Sub entered into a voting and support agreement (each, a “Support Agreement” and, together, the “Support Agreements”) with each of William E. Rose, Evelyn P. Rose, Charles E. Gale, Evelyn P. Rose Survivor’s Trust, R. Kent McGaughy, Jr., CPMG, Inc., J. Warren Huff and The 2021 JWH GRAT (each a “Relevant Stockholder”), pursuant to which and subject to the conditions contained wherein, each Relevant Stockholder has agreed, among other things, to vote all of such Relevant Stockholder’s shares (i) in favor of the adoption of the Merger Agreement and any other matters necessary for the consummation of the Merger and other transactions contemplated thereby and (ii) against any Acquisition Proposal or other transaction, proposal, agreement or action made in opposition to adoption of the Merger Agreement or in competition or inconsistent with the Merger or matters contemplated by the Merger Agreement. The Support Agreements terminate in certain circumstances, including written notification to Biogen of a Recommendation Change in accordance with the terms of the Merger Agreement. The foregoing description of the Support Agreements does not purport to be complete and is subject to, and qualified in its entirety by, the full text of each Support Agreement, copies of which are attached hereto as Exhibits 10.1, 10.2, 10.3, and incorporated herein by reference.</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7"/>
          <w:szCs w:val="17"/>
          <w:b w:val="1"/>
          <w:bCs w:val="1"/>
          <w:color w:val="auto"/>
        </w:rPr>
        <w:t>Amendments to Articles of Incorporation or Bylaws; Change in Fiscal Year.</w:t>
      </w:r>
    </w:p>
    <w:p>
      <w:pPr>
        <w:spacing w:after="0" w:line="114" w:lineRule="exact"/>
        <w:rPr>
          <w:sz w:val="20"/>
          <w:szCs w:val="20"/>
          <w:color w:val="auto"/>
        </w:rPr>
      </w:pPr>
    </w:p>
    <w:p>
      <w:pPr>
        <w:ind w:firstLine="440"/>
        <w:spacing w:after="0" w:line="241" w:lineRule="auto"/>
        <w:rPr>
          <w:sz w:val="20"/>
          <w:szCs w:val="20"/>
          <w:color w:val="auto"/>
        </w:rPr>
      </w:pPr>
      <w:r>
        <w:rPr>
          <w:rFonts w:ascii="Arial" w:cs="Arial" w:eastAsia="Arial" w:hAnsi="Arial"/>
          <w:sz w:val="18"/>
          <w:szCs w:val="18"/>
          <w:color w:val="auto"/>
        </w:rPr>
        <w:t>Effective July 28, 2023, the Board of Directors of Biogen approved an amendment to Biogen’s Fourth Amended and Restated Bylaws (the “</w:t>
      </w:r>
      <w:r>
        <w:rPr>
          <w:rFonts w:ascii="Arial" w:cs="Arial" w:eastAsia="Arial" w:hAnsi="Arial"/>
          <w:sz w:val="18"/>
          <w:szCs w:val="18"/>
          <w:u w:val="single" w:color="auto"/>
          <w:color w:val="auto"/>
        </w:rPr>
        <w:t>Fourth Amended and Restated Bylaws</w:t>
      </w:r>
      <w:r>
        <w:rPr>
          <w:rFonts w:ascii="Arial" w:cs="Arial" w:eastAsia="Arial" w:hAnsi="Arial"/>
          <w:sz w:val="18"/>
          <w:szCs w:val="18"/>
          <w:color w:val="auto"/>
        </w:rPr>
        <w:t>”) to (i) clarify that nominees for election or reelection must agree to, among other things, adhere to Biogen’s Code of Business Conduct and Corporate Governance Principles and (ii) remove the position of Vice Chair and add the position of Chair Pro Tem. The full text of the Fourth Amended and Restated Bylaws, as amended, marked to show the new amendments, is filed as Exhibit 3.1 to this Current Report on Form 8-K, which is incorporated herein by reference.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press release contains forward-looking statements, relating to: our strategy and plans; potential of, and expectations for, our commercial business and pipeline programs; capital allocation and investment strategy; clinical development programs, clinical trials, and data readouts and presentations; regulatory discussions, submissions, filings, and approvals; the potential benefits, safety, and efficacy of our and our collaboration partners’ products and investigational therapies; the anticipated benefits and potential of investments; optimization of the cost structure including our “Fit for Growth” program, actions to improve risk profile and productivity of R&amp;D pipeline, collaborations, and business development activities; consummation of the proposed transaction; our future financial and operating results; 2023 financial guidance. These forward-looking statements may be accompanied by such words as “aim,” “anticipate,” “believe,” “could,” “estimate,” “expect,” “forecast,” “goal,” “intend,” “may,” “plan,” “potential,” “possible,” “prospect,”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w:t>
      </w:r>
    </w:p>
    <w:p>
      <w:pPr>
        <w:sectPr>
          <w:pgSz w:w="11900" w:h="16838" w:orient="portrait"/>
          <w:cols w:equalWidth="0" w:num="1">
            <w:col w:w="11020"/>
          </w:cols>
          <w:pgMar w:left="440" w:top="518" w:right="439" w:bottom="1440" w:gutter="0" w:footer="0" w:header="0"/>
        </w:sectPr>
      </w:pPr>
    </w:p>
    <w:bookmarkStart w:id="5" w:name="page6"/>
    <w:bookmarkEnd w:id="5"/>
    <w:p>
      <w:pPr>
        <w:spacing w:after="0" w:line="24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These statements involve risks and uncertainties that could cause actual results to differ materially from those reflected in such statements, including: our dependence on sales from our products; uncertainty of long-term success in developing, licensing, or acquiring other product candidates or additional indications for existing products; failure to compete effectively due to significant product competition in the markets for our products; failure to successfully execute or realize the anticipated benefits of our strategic and growth initiatives; difficulties in obtaining and maintaining adequate coverage, pricing, and reimbursement for our products; our dependence on collaborators and other third parties for the development, regulatory approval, and commercialization of products and other aspects of our business, which are outside of our full control; risks associated with current and potential future healthcare reforms; risks related to commercialization of biosimilars; failure to obtain, protect, and enforce our data, intellectual property, and other proprietary rights and the risks and 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technology failures or breaches; problems with our manufacturing processes; risks relating to management and personnel changes, including attracting and retaining personnel; failure to comply with legal and regulatory requirements; the risks of doing business internationally, including currency exchange rate fluctuations; risks relating to investment in our manufacturing capacity; the direct and indirect impacts of the COVID-19 pandemic on our business; risks relating to the distribution and sale by third parties of counterfeit or unfit versions of our products; risks relating to the use of social media for our business; results of operations, and financial condition; fluctuations in our operating results; risks related to investment in properties; the market, interest, and credit risks associated with our investment portfolio; risks relating to share repurchase programs; risks relating to access to capital and credit markets; risks related to indebtedness; change in control provisions in certain of our collaboration agreements; fluctuations in our effective tax rate; environmental risks; the parties’ ability to consummate the proposed transaction within the expected time-frame or at all; the satisfaction or waiver of the conditions to the completion of the proposed transaction, including the receipt of the required approval of Reata’s stockholders with respect to the proposed transaction and the receipt of regulatory clearances required to consummate the proposed transaction, in each case, on the terms expected or on the anticipated schedule; the risk that the parties may be unable to achieve the anticipated benefits of the proposed transaction within the expected time frames or at all; the possibility that competing offers or acquisition proposals for Reata will be made; the occurrence of any event that could give rise to the termination of the proposed transaction, including in circumstances which would require the payment of a termination fee; the effect of the announcement or pendency of the proposed transaction on Reata’s ability to retain and hire key personnel, its ability to maintain relationships with its customers, clients, vendors and others with whom it does business; the risk that stockholder litigation in connection with the proposed transaction may result in significant costs of defense, indemnification and liability and may delay the proposed transaction; and any other risks and uncertainties that are described in other reports we have filed with the SEC.</w:t>
      </w:r>
    </w:p>
    <w:p>
      <w:pPr>
        <w:sectPr>
          <w:pgSz w:w="11900" w:h="16838" w:orient="portrait"/>
          <w:cols w:equalWidth="0" w:num="1">
            <w:col w:w="10980"/>
          </w:cols>
          <w:pgMar w:left="440" w:top="518" w:right="479" w:bottom="1440" w:gutter="0" w:footer="0" w:header="0"/>
        </w:sectPr>
      </w:pPr>
    </w:p>
    <w:bookmarkStart w:id="6" w:name="page7"/>
    <w:bookmarkEnd w:id="6"/>
    <w:p>
      <w:pPr>
        <w:ind w:right="5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These statements speak only as of the date of this presentation. We do not undertake any obligation to publicly update any forward-looking statements.</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particular, you should consider the risks set forth in Biogen’s filings with the SEC, including its Annual Report on Form 10-K for the fiscal year ended December 31, 2022, under the caption “Risk Factors”, and subsequent reports on Form 10-Q. The forward-looking statements speak only as of the date made and, other than as required by law, we undertake no obligation to publicly update or revise any forward-looking statements,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communication may be deemed to be solicitation material in respect of the proposed transaction between Biogen and Reata. In connection with the proposed transaction, Reata intends to file with the SEC a proxy statement on Schedule 14A (the “Proxy Statement”) in preliminary and definitive form, and Reata will mail the definitive Proxy Statement to its stockholders and file other documents regarding the proposed transaction with the SEC. HOLDERS OF COMMON STOCK OF REATA ARE URGED TO READ ALL RELEVANT DOCUMENTS FILED WITH THE SEC, INCLUDING THE PROXY STATEMENT (IF AND WHEN AVAILABLE), AS WELL AS ANY AMENDMENTS OR SUPPLEMENTS THERETO, CAREFULLY WHEN THEY BECOME AVAILABLE BECAUSE THEY WILL CONTAIN IMPORTANT INFORMATION ABOUT THE PROPOSED TRANSACTION.</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Proxy Statement and other relevant materials (when they become available) and any other documents filed or furnished by Reata with the SEC may be obtained free of charge at the SEC’s web site, http://www.sec.gov, through Reata’s Investor Relations page (https://www.reatapharma.com/investors), or by writing to Reata Pharmaceuticals, Inc., Attn: Investor Relations, at 5320 Legacy Drive Plano, TX 75024 or at ir@reatapharma.com.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Biogen and its directors and executive officers, and Reata and its directors and executive officers, may be deemed to be participants in the solicitation of proxies from the holders of shares of Reata common stock in respect of the proposed transaction. Information about the directors and executive officers of Biogen is set forth in the proxy statement for Biogen’s 2023 Annual Meeting of Stockholders, which was filed with the SEC on April 28, 2023. Information about the directors and executive officers of Reata is set forth in the proxy statement for Reata’s 2023 Annual Meeting of Stockholders, which was filed with the SEC on April 28, 2023. To the extent holdings of Biogen’s or Reata’s securities by their respective directors or executive officers have changed since the amounts set forth in such 2023 proxy statements, such changes have been or will be reflected on Initial Statements of Beneficial Ownership on Form 3 or Statements of Beneficial Ownership on Form 4 filed with the SEC. Additional information concerning the interests of Biogen’s or Reata’s participants in the solicitation will be set forth in the Proxy Statement (if and when available). Investors may obtain additional information regarding the interest of such participants by reading the Proxy Statement. You may obtain free copies of these documents using the sources indicated above.</w:t>
      </w:r>
    </w:p>
    <w:p>
      <w:pPr>
        <w:sectPr>
          <w:pgSz w:w="11900" w:h="16838" w:orient="portrait"/>
          <w:cols w:equalWidth="0" w:num="1">
            <w:col w:w="11000"/>
          </w:cols>
          <w:pgMar w:left="440" w:top="518" w:right="459" w:bottom="1440" w:gutter="0" w:footer="0" w:header="0"/>
        </w:sectPr>
      </w:pPr>
    </w:p>
    <w:bookmarkStart w:id="7" w:name="page8"/>
    <w:bookmarkEnd w:id="7"/>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980" w:right="380" w:hanging="395"/>
        <w:spacing w:after="0" w:line="260" w:lineRule="auto"/>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0000EE"/>
        </w:rPr>
        <w:t>Agreement and Plan of Merger, dated as of July 28, 2023, by and among Biogen Inc., River Acquisition, Inc. and Reata Pharmaceuticals, Inc.*</w:t>
      </w:r>
    </w:p>
    <w:p>
      <w:pPr>
        <w:spacing w:after="0" w:line="65" w:lineRule="exact"/>
        <w:rPr>
          <w:sz w:val="20"/>
          <w:szCs w:val="20"/>
          <w:color w:val="auto"/>
        </w:rPr>
      </w:pPr>
    </w:p>
    <w:p>
      <w:pPr>
        <w:ind w:left="600"/>
        <w:spacing w:after="0"/>
        <w:tabs>
          <w:tab w:leader="none" w:pos="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0000EE"/>
        </w:rPr>
        <w:t>Fourth Amended and Restated Bylaws of Biogen Inc.</w:t>
      </w:r>
    </w:p>
    <w:p>
      <w:pPr>
        <w:spacing w:after="0" w:line="104" w:lineRule="exact"/>
        <w:rPr>
          <w:sz w:val="20"/>
          <w:szCs w:val="20"/>
          <w:color w:val="auto"/>
        </w:rPr>
      </w:pPr>
    </w:p>
    <w:p>
      <w:pPr>
        <w:ind w:left="980" w:right="460" w:hanging="495"/>
        <w:spacing w:after="0" w:line="260" w:lineRule="auto"/>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EE"/>
        </w:rPr>
        <w:t>Voting and Support Agreement, dated as of July 28, 2023, by and among Biogen Inc., River Acquisition, Inc. and each stockholder of Reata Pharmaceuticals, Inc., set forth on Exhibit A thereto</w:t>
      </w:r>
    </w:p>
    <w:p>
      <w:pPr>
        <w:spacing w:after="0" w:line="65" w:lineRule="exact"/>
        <w:rPr>
          <w:sz w:val="20"/>
          <w:szCs w:val="20"/>
          <w:color w:val="auto"/>
        </w:rPr>
      </w:pPr>
    </w:p>
    <w:p>
      <w:pPr>
        <w:ind w:left="980" w:right="460" w:hanging="495"/>
        <w:spacing w:after="0" w:line="260" w:lineRule="auto"/>
        <w:tabs>
          <w:tab w:leader="none" w:pos="9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EE"/>
        </w:rPr>
        <w:t>Voting and Support Agreement, dated as of July 28, 2023, by and among Biogen Inc., River Acquisition, Inc. and each stockholder of Reata Pharmaceuticals, Inc., set forth on Exhibit A thereto</w:t>
      </w:r>
    </w:p>
    <w:p>
      <w:pPr>
        <w:spacing w:after="0" w:line="65" w:lineRule="exact"/>
        <w:rPr>
          <w:sz w:val="20"/>
          <w:szCs w:val="20"/>
          <w:color w:val="auto"/>
        </w:rPr>
      </w:pPr>
    </w:p>
    <w:p>
      <w:pPr>
        <w:ind w:left="980" w:right="460" w:hanging="495"/>
        <w:spacing w:after="0" w:line="260" w:lineRule="auto"/>
        <w:tabs>
          <w:tab w:leader="none" w:pos="9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EE"/>
        </w:rPr>
        <w:t>Voting and Support Agreement, dated as of July 28, 2023, by and among Biogen Inc., River Acquisition, Inc. and each stockholder of Reata Pharmaceuticals, Inc., set forth on Exhibit A thereto</w:t>
      </w:r>
    </w:p>
    <w:p>
      <w:pPr>
        <w:spacing w:after="0" w:line="6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1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schedules and exhibits have been omitted pursuant to Item 601(a)(5) of Regulation S-K. Biogen agrees to furnish supplementally a copy of such schedules and exhibits, or any section thereof, to the SEC upon request.</w:t>
      </w:r>
    </w:p>
    <w:p>
      <w:pPr>
        <w:sectPr>
          <w:pgSz w:w="11900" w:h="16838" w:orient="portrait"/>
          <w:cols w:equalWidth="0" w:num="1">
            <w:col w:w="10820"/>
          </w:cols>
          <w:pgMar w:left="440" w:top="508" w:right="6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BIOGEN INC.</w:t>
      </w:r>
    </w:p>
    <w:p>
      <w:pPr>
        <w:spacing w:after="0" w:line="222"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July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5080</wp:posOffset>
            </wp:positionV>
            <wp:extent cx="314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Wendell Taylor</w:t>
      </w:r>
    </w:p>
    <w:p>
      <w:pPr>
        <w:ind w:left="606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0860"/>
          </w:cols>
          <w:pgMar w:left="440" w:top="508" w:right="5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REATA PHARMACEUTICALS, INC.</w:t>
      </w:r>
      <w:r>
        <w:rPr>
          <w:rFonts w:ascii="Arial" w:cs="Arial" w:eastAsia="Arial" w:hAnsi="Arial"/>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BIOGEN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RIVER ACQUISITION, INC.</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July 28</w:t>
      </w:r>
      <w:r>
        <w:rPr>
          <w:rFonts w:ascii="Arial" w:cs="Arial" w:eastAsia="Arial" w:hAnsi="Arial"/>
          <w:sz w:val="18"/>
          <w:szCs w:val="18"/>
          <w:color w:val="auto"/>
        </w:rPr>
        <w:t>,</w:t>
      </w:r>
      <w:r>
        <w:rPr>
          <w:rFonts w:ascii="Arial" w:cs="Arial" w:eastAsia="Arial" w:hAnsi="Arial"/>
          <w:sz w:val="18"/>
          <w:szCs w:val="18"/>
          <w:b w:val="1"/>
          <w:bCs w:val="1"/>
          <w:color w:val="auto"/>
        </w:rPr>
        <w:t xml:space="preserve"> 2023</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9060" w:type="dxa"/>
            <w:vAlign w:val="bottom"/>
          </w:tcPr>
          <w:p>
            <w:pPr>
              <w:jc w:val="center"/>
              <w:ind w:left="1370"/>
              <w:spacing w:after="0"/>
              <w:rPr>
                <w:sz w:val="20"/>
                <w:szCs w:val="20"/>
                <w:color w:val="auto"/>
              </w:rPr>
            </w:pPr>
            <w:r>
              <w:rPr>
                <w:rFonts w:ascii="Arial" w:cs="Arial" w:eastAsia="Arial" w:hAnsi="Arial"/>
                <w:sz w:val="18"/>
                <w:szCs w:val="18"/>
                <w:b w:val="1"/>
                <w:bCs w:val="1"/>
                <w:color w:val="auto"/>
                <w:w w:val="98"/>
              </w:rPr>
              <w:t>TABLE OF CONTENTS</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92"/>
        </w:trPr>
        <w:tc>
          <w:tcPr>
            <w:tcW w:w="24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318"/>
        </w:trPr>
        <w:tc>
          <w:tcPr>
            <w:tcW w:w="240" w:type="dxa"/>
            <w:vAlign w:val="bottom"/>
          </w:tcPr>
          <w:p>
            <w:pPr>
              <w:spacing w:after="0"/>
              <w:rPr>
                <w:sz w:val="24"/>
                <w:szCs w:val="24"/>
                <w:color w:val="auto"/>
              </w:rPr>
            </w:pPr>
          </w:p>
        </w:tc>
        <w:tc>
          <w:tcPr>
            <w:tcW w:w="9060" w:type="dxa"/>
            <w:vAlign w:val="bottom"/>
          </w:tcPr>
          <w:p>
            <w:pPr>
              <w:jc w:val="center"/>
              <w:ind w:left="1330"/>
              <w:spacing w:after="0"/>
              <w:rPr>
                <w:sz w:val="20"/>
                <w:szCs w:val="20"/>
                <w:color w:val="auto"/>
              </w:rPr>
            </w:pPr>
            <w:r>
              <w:rPr>
                <w:rFonts w:ascii="Arial" w:cs="Arial" w:eastAsia="Arial" w:hAnsi="Arial"/>
                <w:sz w:val="18"/>
                <w:szCs w:val="18"/>
                <w:color w:val="auto"/>
                <w:w w:val="97"/>
              </w:rPr>
              <w:t>ARTICLE I</w:t>
            </w:r>
          </w:p>
        </w:tc>
        <w:tc>
          <w:tcPr>
            <w:tcW w:w="1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9060" w:type="dxa"/>
            <w:vAlign w:val="bottom"/>
          </w:tcPr>
          <w:p>
            <w:pPr>
              <w:jc w:val="center"/>
              <w:ind w:left="1330"/>
              <w:spacing w:after="0"/>
              <w:rPr>
                <w:sz w:val="20"/>
                <w:szCs w:val="20"/>
                <w:color w:val="auto"/>
              </w:rPr>
            </w:pPr>
            <w:r>
              <w:rPr>
                <w:rFonts w:ascii="Arial" w:cs="Arial" w:eastAsia="Arial" w:hAnsi="Arial"/>
                <w:sz w:val="18"/>
                <w:szCs w:val="18"/>
                <w:color w:val="auto"/>
                <w:w w:val="97"/>
              </w:rPr>
              <w:t>DEFINITIONS &amp; INTERPRETATIONS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1.1</w:t>
            </w:r>
          </w:p>
        </w:tc>
        <w:tc>
          <w:tcPr>
            <w:tcW w:w="9060" w:type="dxa"/>
            <w:vAlign w:val="bottom"/>
          </w:tcPr>
          <w:p>
            <w:pPr>
              <w:ind w:left="20"/>
              <w:spacing w:after="0"/>
              <w:rPr>
                <w:sz w:val="20"/>
                <w:szCs w:val="20"/>
                <w:color w:val="auto"/>
              </w:rPr>
            </w:pPr>
            <w:r>
              <w:rPr>
                <w:rFonts w:ascii="Arial" w:cs="Arial" w:eastAsia="Arial" w:hAnsi="Arial"/>
                <w:sz w:val="18"/>
                <w:szCs w:val="18"/>
                <w:color w:val="auto"/>
              </w:rPr>
              <w:t>Certain Definitions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1.2 Additional Definitions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1.3</w:t>
            </w:r>
          </w:p>
        </w:tc>
        <w:tc>
          <w:tcPr>
            <w:tcW w:w="9060" w:type="dxa"/>
            <w:vAlign w:val="bottom"/>
          </w:tcPr>
          <w:p>
            <w:pPr>
              <w:ind w:left="20"/>
              <w:spacing w:after="0"/>
              <w:rPr>
                <w:sz w:val="20"/>
                <w:szCs w:val="20"/>
                <w:color w:val="auto"/>
              </w:rPr>
            </w:pPr>
            <w:r>
              <w:rPr>
                <w:rFonts w:ascii="Arial" w:cs="Arial" w:eastAsia="Arial" w:hAnsi="Arial"/>
                <w:sz w:val="18"/>
                <w:szCs w:val="18"/>
                <w:color w:val="auto"/>
              </w:rPr>
              <w:t>Certain Interpretations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spacing w:after="0"/>
              <w:rPr>
                <w:sz w:val="24"/>
                <w:szCs w:val="24"/>
                <w:color w:val="auto"/>
              </w:rPr>
            </w:pPr>
          </w:p>
        </w:tc>
        <w:tc>
          <w:tcPr>
            <w:tcW w:w="9060" w:type="dxa"/>
            <w:vAlign w:val="bottom"/>
          </w:tcPr>
          <w:p>
            <w:pPr>
              <w:jc w:val="center"/>
              <w:ind w:left="1330"/>
              <w:spacing w:after="0"/>
              <w:rPr>
                <w:sz w:val="20"/>
                <w:szCs w:val="20"/>
                <w:color w:val="auto"/>
              </w:rPr>
            </w:pPr>
            <w:r>
              <w:rPr>
                <w:rFonts w:ascii="Arial" w:cs="Arial" w:eastAsia="Arial" w:hAnsi="Arial"/>
                <w:sz w:val="18"/>
                <w:szCs w:val="18"/>
                <w:color w:val="auto"/>
              </w:rPr>
              <w:t>ARTICLE II</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9060" w:type="dxa"/>
            <w:vAlign w:val="bottom"/>
          </w:tcPr>
          <w:p>
            <w:pPr>
              <w:jc w:val="center"/>
              <w:ind w:left="1330"/>
              <w:spacing w:after="0"/>
              <w:rPr>
                <w:sz w:val="20"/>
                <w:szCs w:val="20"/>
                <w:color w:val="auto"/>
              </w:rPr>
            </w:pPr>
            <w:r>
              <w:rPr>
                <w:rFonts w:ascii="Arial" w:cs="Arial" w:eastAsia="Arial" w:hAnsi="Arial"/>
                <w:sz w:val="18"/>
                <w:szCs w:val="18"/>
                <w:color w:val="auto"/>
                <w:w w:val="96"/>
              </w:rPr>
              <w:t>THE MERGER</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2.1 The Merger</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2.2</w:t>
            </w:r>
          </w:p>
        </w:tc>
        <w:tc>
          <w:tcPr>
            <w:tcW w:w="9060" w:type="dxa"/>
            <w:vAlign w:val="bottom"/>
          </w:tcPr>
          <w:p>
            <w:pPr>
              <w:ind w:left="20"/>
              <w:spacing w:after="0"/>
              <w:rPr>
                <w:sz w:val="20"/>
                <w:szCs w:val="20"/>
                <w:color w:val="auto"/>
              </w:rPr>
            </w:pPr>
            <w:r>
              <w:rPr>
                <w:rFonts w:ascii="Arial" w:cs="Arial" w:eastAsia="Arial" w:hAnsi="Arial"/>
                <w:sz w:val="18"/>
                <w:szCs w:val="18"/>
                <w:color w:val="auto"/>
              </w:rPr>
              <w:t>The Effective Time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2.3</w:t>
            </w:r>
          </w:p>
        </w:tc>
        <w:tc>
          <w:tcPr>
            <w:tcW w:w="9060" w:type="dxa"/>
            <w:vAlign w:val="bottom"/>
          </w:tcPr>
          <w:p>
            <w:pPr>
              <w:ind w:left="20"/>
              <w:spacing w:after="0"/>
              <w:rPr>
                <w:sz w:val="20"/>
                <w:szCs w:val="20"/>
                <w:color w:val="auto"/>
              </w:rPr>
            </w:pPr>
            <w:r>
              <w:rPr>
                <w:rFonts w:ascii="Arial" w:cs="Arial" w:eastAsia="Arial" w:hAnsi="Arial"/>
                <w:sz w:val="18"/>
                <w:szCs w:val="18"/>
                <w:color w:val="auto"/>
              </w:rPr>
              <w:t>The Closing</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2.4</w:t>
            </w:r>
          </w:p>
        </w:tc>
        <w:tc>
          <w:tcPr>
            <w:tcW w:w="9060" w:type="dxa"/>
            <w:vAlign w:val="bottom"/>
          </w:tcPr>
          <w:p>
            <w:pPr>
              <w:ind w:left="20"/>
              <w:spacing w:after="0"/>
              <w:rPr>
                <w:sz w:val="20"/>
                <w:szCs w:val="20"/>
                <w:color w:val="auto"/>
              </w:rPr>
            </w:pPr>
            <w:r>
              <w:rPr>
                <w:rFonts w:ascii="Arial" w:cs="Arial" w:eastAsia="Arial" w:hAnsi="Arial"/>
                <w:sz w:val="18"/>
                <w:szCs w:val="18"/>
                <w:color w:val="auto"/>
              </w:rPr>
              <w:t>Effect of the Merger</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2.5</w:t>
            </w:r>
          </w:p>
        </w:tc>
        <w:tc>
          <w:tcPr>
            <w:tcW w:w="9060" w:type="dxa"/>
            <w:vAlign w:val="bottom"/>
          </w:tcPr>
          <w:p>
            <w:pPr>
              <w:ind w:left="20"/>
              <w:spacing w:after="0"/>
              <w:rPr>
                <w:sz w:val="20"/>
                <w:szCs w:val="20"/>
                <w:color w:val="auto"/>
              </w:rPr>
            </w:pPr>
            <w:r>
              <w:rPr>
                <w:rFonts w:ascii="Arial" w:cs="Arial" w:eastAsia="Arial" w:hAnsi="Arial"/>
                <w:sz w:val="18"/>
                <w:szCs w:val="18"/>
                <w:color w:val="auto"/>
              </w:rPr>
              <w:t>Certificate of Incorporation and Bylaws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2.6</w:t>
            </w:r>
          </w:p>
        </w:tc>
        <w:tc>
          <w:tcPr>
            <w:tcW w:w="9060" w:type="dxa"/>
            <w:vAlign w:val="bottom"/>
          </w:tcPr>
          <w:p>
            <w:pPr>
              <w:ind w:left="20"/>
              <w:spacing w:after="0"/>
              <w:rPr>
                <w:sz w:val="20"/>
                <w:szCs w:val="20"/>
                <w:color w:val="auto"/>
              </w:rPr>
            </w:pPr>
            <w:r>
              <w:rPr>
                <w:rFonts w:ascii="Arial" w:cs="Arial" w:eastAsia="Arial" w:hAnsi="Arial"/>
                <w:sz w:val="18"/>
                <w:szCs w:val="18"/>
                <w:color w:val="auto"/>
              </w:rPr>
              <w:t>Directors and Officers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2.7</w:t>
            </w:r>
          </w:p>
        </w:tc>
        <w:tc>
          <w:tcPr>
            <w:tcW w:w="9060" w:type="dxa"/>
            <w:vAlign w:val="bottom"/>
          </w:tcPr>
          <w:p>
            <w:pPr>
              <w:ind w:left="20"/>
              <w:spacing w:after="0"/>
              <w:rPr>
                <w:sz w:val="20"/>
                <w:szCs w:val="20"/>
                <w:color w:val="auto"/>
              </w:rPr>
            </w:pPr>
            <w:r>
              <w:rPr>
                <w:rFonts w:ascii="Arial" w:cs="Arial" w:eastAsia="Arial" w:hAnsi="Arial"/>
                <w:sz w:val="18"/>
                <w:szCs w:val="18"/>
                <w:color w:val="auto"/>
              </w:rPr>
              <w:t>Effect on Capital Stock</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2.8</w:t>
            </w:r>
          </w:p>
        </w:tc>
        <w:tc>
          <w:tcPr>
            <w:tcW w:w="9060" w:type="dxa"/>
            <w:vAlign w:val="bottom"/>
          </w:tcPr>
          <w:p>
            <w:pPr>
              <w:ind w:left="20"/>
              <w:spacing w:after="0"/>
              <w:rPr>
                <w:sz w:val="20"/>
                <w:szCs w:val="20"/>
                <w:color w:val="auto"/>
              </w:rPr>
            </w:pPr>
            <w:r>
              <w:rPr>
                <w:rFonts w:ascii="Arial" w:cs="Arial" w:eastAsia="Arial" w:hAnsi="Arial"/>
                <w:sz w:val="18"/>
                <w:szCs w:val="18"/>
                <w:color w:val="auto"/>
              </w:rPr>
              <w:t>Payment for Company Securities; Exchange of Certificates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2.9</w:t>
            </w:r>
          </w:p>
        </w:tc>
        <w:tc>
          <w:tcPr>
            <w:tcW w:w="9060" w:type="dxa"/>
            <w:vAlign w:val="bottom"/>
          </w:tcPr>
          <w:p>
            <w:pPr>
              <w:ind w:left="20"/>
              <w:spacing w:after="0"/>
              <w:rPr>
                <w:sz w:val="20"/>
                <w:szCs w:val="20"/>
                <w:color w:val="auto"/>
              </w:rPr>
            </w:pPr>
            <w:r>
              <w:rPr>
                <w:rFonts w:ascii="Arial" w:cs="Arial" w:eastAsia="Arial" w:hAnsi="Arial"/>
                <w:sz w:val="18"/>
                <w:szCs w:val="18"/>
                <w:color w:val="auto"/>
              </w:rPr>
              <w:t>No Further Ownership Rights in Shares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2.10 Lost, Stolen or Destroyed Certificates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24"/>
        </w:trPr>
        <w:tc>
          <w:tcPr>
            <w:tcW w:w="240" w:type="dxa"/>
            <w:vAlign w:val="bottom"/>
          </w:tcPr>
          <w:p>
            <w:pPr>
              <w:spacing w:after="0"/>
              <w:rPr>
                <w:sz w:val="24"/>
                <w:szCs w:val="24"/>
                <w:color w:val="auto"/>
              </w:rPr>
            </w:pPr>
          </w:p>
        </w:tc>
        <w:tc>
          <w:tcPr>
            <w:tcW w:w="9060" w:type="dxa"/>
            <w:vAlign w:val="bottom"/>
          </w:tcPr>
          <w:p>
            <w:pPr>
              <w:jc w:val="center"/>
              <w:ind w:left="1330"/>
              <w:spacing w:after="0"/>
              <w:rPr>
                <w:sz w:val="20"/>
                <w:szCs w:val="20"/>
                <w:color w:val="auto"/>
              </w:rPr>
            </w:pPr>
            <w:r>
              <w:rPr>
                <w:rFonts w:ascii="Arial" w:cs="Arial" w:eastAsia="Arial" w:hAnsi="Arial"/>
                <w:sz w:val="18"/>
                <w:szCs w:val="18"/>
                <w:color w:val="auto"/>
                <w:w w:val="99"/>
              </w:rPr>
              <w:t>ARTICLE III</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9060" w:type="dxa"/>
            <w:vAlign w:val="bottom"/>
          </w:tcPr>
          <w:p>
            <w:pPr>
              <w:jc w:val="center"/>
              <w:ind w:left="1330"/>
              <w:spacing w:after="0"/>
              <w:rPr>
                <w:sz w:val="20"/>
                <w:szCs w:val="20"/>
                <w:color w:val="auto"/>
              </w:rPr>
            </w:pPr>
            <w:r>
              <w:rPr>
                <w:rFonts w:ascii="Arial" w:cs="Arial" w:eastAsia="Arial" w:hAnsi="Arial"/>
                <w:sz w:val="18"/>
                <w:szCs w:val="18"/>
                <w:color w:val="auto"/>
                <w:w w:val="94"/>
              </w:rPr>
              <w:t>REPRESENTATIONS AND WARRANTIES OF THE COMPANY</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3.1</w:t>
            </w:r>
          </w:p>
        </w:tc>
        <w:tc>
          <w:tcPr>
            <w:tcW w:w="9060" w:type="dxa"/>
            <w:vAlign w:val="bottom"/>
          </w:tcPr>
          <w:p>
            <w:pPr>
              <w:ind w:left="20"/>
              <w:spacing w:after="0"/>
              <w:rPr>
                <w:sz w:val="20"/>
                <w:szCs w:val="20"/>
                <w:color w:val="auto"/>
              </w:rPr>
            </w:pPr>
            <w:r>
              <w:rPr>
                <w:rFonts w:ascii="Arial" w:cs="Arial" w:eastAsia="Arial" w:hAnsi="Arial"/>
                <w:sz w:val="18"/>
                <w:szCs w:val="18"/>
                <w:color w:val="auto"/>
              </w:rPr>
              <w:t>Organization and Qualification</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3.2</w:t>
            </w:r>
          </w:p>
        </w:tc>
        <w:tc>
          <w:tcPr>
            <w:tcW w:w="906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3.3</w:t>
            </w:r>
          </w:p>
        </w:tc>
        <w:tc>
          <w:tcPr>
            <w:tcW w:w="906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3.4</w:t>
            </w:r>
          </w:p>
        </w:tc>
        <w:tc>
          <w:tcPr>
            <w:tcW w:w="9060" w:type="dxa"/>
            <w:vAlign w:val="bottom"/>
          </w:tcPr>
          <w:p>
            <w:pPr>
              <w:ind w:left="20"/>
              <w:spacing w:after="0"/>
              <w:rPr>
                <w:sz w:val="20"/>
                <w:szCs w:val="20"/>
                <w:color w:val="auto"/>
              </w:rPr>
            </w:pPr>
            <w:r>
              <w:rPr>
                <w:rFonts w:ascii="Arial" w:cs="Arial" w:eastAsia="Arial" w:hAnsi="Arial"/>
                <w:sz w:val="18"/>
                <w:szCs w:val="18"/>
                <w:color w:val="auto"/>
              </w:rPr>
              <w:t>Corporate Power; Enforceability</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3.5</w:t>
            </w:r>
          </w:p>
        </w:tc>
        <w:tc>
          <w:tcPr>
            <w:tcW w:w="9060" w:type="dxa"/>
            <w:vAlign w:val="bottom"/>
          </w:tcPr>
          <w:p>
            <w:pPr>
              <w:ind w:left="20"/>
              <w:spacing w:after="0"/>
              <w:rPr>
                <w:sz w:val="20"/>
                <w:szCs w:val="20"/>
                <w:color w:val="auto"/>
              </w:rPr>
            </w:pPr>
            <w:r>
              <w:rPr>
                <w:rFonts w:ascii="Arial" w:cs="Arial" w:eastAsia="Arial" w:hAnsi="Arial"/>
                <w:sz w:val="18"/>
                <w:szCs w:val="18"/>
                <w:color w:val="auto"/>
              </w:rPr>
              <w:t>Company Board Approval</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3.6</w:t>
            </w:r>
          </w:p>
        </w:tc>
        <w:tc>
          <w:tcPr>
            <w:tcW w:w="9060" w:type="dxa"/>
            <w:vAlign w:val="bottom"/>
          </w:tcPr>
          <w:p>
            <w:pPr>
              <w:ind w:left="20"/>
              <w:spacing w:after="0"/>
              <w:rPr>
                <w:sz w:val="20"/>
                <w:szCs w:val="20"/>
                <w:color w:val="auto"/>
              </w:rPr>
            </w:pPr>
            <w:r>
              <w:rPr>
                <w:rFonts w:ascii="Arial" w:cs="Arial" w:eastAsia="Arial" w:hAnsi="Arial"/>
                <w:sz w:val="18"/>
                <w:szCs w:val="18"/>
                <w:color w:val="auto"/>
              </w:rPr>
              <w:t>Stockholder Approval</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3.7</w:t>
            </w:r>
          </w:p>
        </w:tc>
        <w:tc>
          <w:tcPr>
            <w:tcW w:w="9060" w:type="dxa"/>
            <w:vAlign w:val="bottom"/>
          </w:tcPr>
          <w:p>
            <w:pPr>
              <w:ind w:left="20"/>
              <w:spacing w:after="0"/>
              <w:rPr>
                <w:sz w:val="20"/>
                <w:szCs w:val="20"/>
                <w:color w:val="auto"/>
              </w:rPr>
            </w:pPr>
            <w:r>
              <w:rPr>
                <w:rFonts w:ascii="Arial" w:cs="Arial" w:eastAsia="Arial" w:hAnsi="Arial"/>
                <w:sz w:val="18"/>
                <w:szCs w:val="18"/>
                <w:color w:val="auto"/>
              </w:rPr>
              <w:t>Consents and Approvals; No Violation</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3.8</w:t>
            </w:r>
          </w:p>
        </w:tc>
        <w:tc>
          <w:tcPr>
            <w:tcW w:w="9060" w:type="dxa"/>
            <w:vAlign w:val="bottom"/>
          </w:tcPr>
          <w:p>
            <w:pPr>
              <w:ind w:left="20"/>
              <w:spacing w:after="0"/>
              <w:rPr>
                <w:sz w:val="20"/>
                <w:szCs w:val="20"/>
                <w:color w:val="auto"/>
              </w:rPr>
            </w:pPr>
            <w:r>
              <w:rPr>
                <w:rFonts w:ascii="Arial" w:cs="Arial" w:eastAsia="Arial" w:hAnsi="Arial"/>
                <w:sz w:val="18"/>
                <w:szCs w:val="18"/>
                <w:color w:val="auto"/>
              </w:rPr>
              <w:t>Reports; Financial Statements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3.9</w:t>
            </w:r>
          </w:p>
        </w:tc>
        <w:tc>
          <w:tcPr>
            <w:tcW w:w="9060" w:type="dxa"/>
            <w:vAlign w:val="bottom"/>
          </w:tcPr>
          <w:p>
            <w:pPr>
              <w:ind w:left="20"/>
              <w:spacing w:after="0"/>
              <w:rPr>
                <w:sz w:val="20"/>
                <w:szCs w:val="20"/>
                <w:color w:val="auto"/>
              </w:rPr>
            </w:pPr>
            <w:r>
              <w:rPr>
                <w:rFonts w:ascii="Arial" w:cs="Arial" w:eastAsia="Arial" w:hAnsi="Arial"/>
                <w:sz w:val="18"/>
                <w:szCs w:val="18"/>
                <w:color w:val="auto"/>
              </w:rPr>
              <w:t>No Undisclosed Liabilities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3.10 Absence of Certain Changes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3.11 Proxy Statement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3.12 Brokers; Certain Expenses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3.13 Employee Benefit Matters/Employees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3.14 Litigation</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3.15 Tax Matters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3.16 Compliance with Law; Permits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486"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(Continued)</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97"/>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3.17</w:t>
            </w:r>
          </w:p>
        </w:tc>
        <w:tc>
          <w:tcPr>
            <w:tcW w:w="920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114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3.18</w:t>
            </w:r>
          </w:p>
        </w:tc>
        <w:tc>
          <w:tcPr>
            <w:tcW w:w="920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3.19</w:t>
            </w:r>
          </w:p>
        </w:tc>
        <w:tc>
          <w:tcPr>
            <w:tcW w:w="9200" w:type="dxa"/>
            <w:vAlign w:val="bottom"/>
          </w:tcPr>
          <w:p>
            <w:pPr>
              <w:ind w:left="20"/>
              <w:spacing w:after="0"/>
              <w:rPr>
                <w:sz w:val="20"/>
                <w:szCs w:val="20"/>
                <w:color w:val="auto"/>
              </w:rPr>
            </w:pPr>
            <w:r>
              <w:rPr>
                <w:rFonts w:ascii="Arial" w:cs="Arial" w:eastAsia="Arial" w:hAnsi="Arial"/>
                <w:sz w:val="18"/>
                <w:szCs w:val="18"/>
                <w:color w:val="auto"/>
              </w:rPr>
              <w:t>Data Privacy and Security</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3.20</w:t>
            </w:r>
          </w:p>
        </w:tc>
        <w:tc>
          <w:tcPr>
            <w:tcW w:w="9200" w:type="dxa"/>
            <w:vAlign w:val="bottom"/>
          </w:tcPr>
          <w:p>
            <w:pPr>
              <w:ind w:left="20"/>
              <w:spacing w:after="0"/>
              <w:rPr>
                <w:sz w:val="20"/>
                <w:szCs w:val="20"/>
                <w:color w:val="auto"/>
              </w:rPr>
            </w:pPr>
            <w:r>
              <w:rPr>
                <w:rFonts w:ascii="Arial" w:cs="Arial" w:eastAsia="Arial" w:hAnsi="Arial"/>
                <w:sz w:val="18"/>
                <w:szCs w:val="18"/>
                <w:color w:val="auto"/>
              </w:rPr>
              <w:t>Real Property</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3.21</w:t>
            </w:r>
          </w:p>
        </w:tc>
        <w:tc>
          <w:tcPr>
            <w:tcW w:w="9200" w:type="dxa"/>
            <w:vAlign w:val="bottom"/>
          </w:tcPr>
          <w:p>
            <w:pPr>
              <w:ind w:left="20"/>
              <w:spacing w:after="0"/>
              <w:rPr>
                <w:sz w:val="20"/>
                <w:szCs w:val="20"/>
                <w:color w:val="auto"/>
              </w:rPr>
            </w:pPr>
            <w:r>
              <w:rPr>
                <w:rFonts w:ascii="Arial" w:cs="Arial" w:eastAsia="Arial" w:hAnsi="Arial"/>
                <w:sz w:val="18"/>
                <w:szCs w:val="18"/>
                <w:color w:val="auto"/>
              </w:rPr>
              <w:t>Material Contracts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3.22</w:t>
            </w:r>
          </w:p>
        </w:tc>
        <w:tc>
          <w:tcPr>
            <w:tcW w:w="9200" w:type="dxa"/>
            <w:vAlign w:val="bottom"/>
          </w:tcPr>
          <w:p>
            <w:pPr>
              <w:ind w:left="20"/>
              <w:spacing w:after="0"/>
              <w:rPr>
                <w:sz w:val="20"/>
                <w:szCs w:val="20"/>
                <w:color w:val="auto"/>
              </w:rPr>
            </w:pPr>
            <w:r>
              <w:rPr>
                <w:rFonts w:ascii="Arial" w:cs="Arial" w:eastAsia="Arial" w:hAnsi="Arial"/>
                <w:sz w:val="18"/>
                <w:szCs w:val="18"/>
                <w:color w:val="auto"/>
              </w:rPr>
              <w:t>Regulatory Compliance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3.23</w:t>
            </w:r>
          </w:p>
        </w:tc>
        <w:tc>
          <w:tcPr>
            <w:tcW w:w="92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3.24</w:t>
            </w:r>
          </w:p>
        </w:tc>
        <w:tc>
          <w:tcPr>
            <w:tcW w:w="9200" w:type="dxa"/>
            <w:vAlign w:val="bottom"/>
          </w:tcPr>
          <w:p>
            <w:pPr>
              <w:ind w:left="20"/>
              <w:spacing w:after="0"/>
              <w:rPr>
                <w:sz w:val="20"/>
                <w:szCs w:val="20"/>
                <w:color w:val="auto"/>
              </w:rPr>
            </w:pPr>
            <w:r>
              <w:rPr>
                <w:rFonts w:ascii="Arial" w:cs="Arial" w:eastAsia="Arial" w:hAnsi="Arial"/>
                <w:sz w:val="18"/>
                <w:szCs w:val="18"/>
                <w:color w:val="auto"/>
              </w:rPr>
              <w:t>Certain Business Practices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3.25</w:t>
            </w:r>
          </w:p>
        </w:tc>
        <w:tc>
          <w:tcPr>
            <w:tcW w:w="9200" w:type="dxa"/>
            <w:vAlign w:val="bottom"/>
          </w:tcPr>
          <w:p>
            <w:pPr>
              <w:ind w:left="20"/>
              <w:spacing w:after="0"/>
              <w:rPr>
                <w:sz w:val="20"/>
                <w:szCs w:val="20"/>
                <w:color w:val="auto"/>
              </w:rPr>
            </w:pPr>
            <w:r>
              <w:rPr>
                <w:rFonts w:ascii="Arial" w:cs="Arial" w:eastAsia="Arial" w:hAnsi="Arial"/>
                <w:sz w:val="18"/>
                <w:szCs w:val="18"/>
                <w:color w:val="auto"/>
              </w:rPr>
              <w:t>Opinion of Financial Advisor of the Company</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3.26</w:t>
            </w:r>
          </w:p>
        </w:tc>
        <w:tc>
          <w:tcPr>
            <w:tcW w:w="9200" w:type="dxa"/>
            <w:vAlign w:val="bottom"/>
          </w:tcPr>
          <w:p>
            <w:pPr>
              <w:ind w:left="20"/>
              <w:spacing w:after="0"/>
              <w:rPr>
                <w:sz w:val="20"/>
                <w:szCs w:val="20"/>
                <w:color w:val="auto"/>
              </w:rPr>
            </w:pPr>
            <w:r>
              <w:rPr>
                <w:rFonts w:ascii="Arial" w:cs="Arial" w:eastAsia="Arial" w:hAnsi="Arial"/>
                <w:sz w:val="18"/>
                <w:szCs w:val="18"/>
                <w:color w:val="auto"/>
              </w:rPr>
              <w:t>State Takeover Statutes Inapplicable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3.27</w:t>
            </w:r>
          </w:p>
        </w:tc>
        <w:tc>
          <w:tcPr>
            <w:tcW w:w="9200" w:type="dxa"/>
            <w:vAlign w:val="bottom"/>
          </w:tcPr>
          <w:p>
            <w:pPr>
              <w:ind w:left="20"/>
              <w:spacing w:after="0"/>
              <w:rPr>
                <w:sz w:val="20"/>
                <w:szCs w:val="20"/>
                <w:color w:val="auto"/>
              </w:rPr>
            </w:pPr>
            <w:r>
              <w:rPr>
                <w:rFonts w:ascii="Arial" w:cs="Arial" w:eastAsia="Arial" w:hAnsi="Arial"/>
                <w:sz w:val="18"/>
                <w:szCs w:val="18"/>
                <w:color w:val="auto"/>
              </w:rPr>
              <w:t>Related Party Transactions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3.28</w:t>
            </w:r>
          </w:p>
        </w:tc>
        <w:tc>
          <w:tcPr>
            <w:tcW w:w="9200" w:type="dxa"/>
            <w:vAlign w:val="bottom"/>
          </w:tcPr>
          <w:p>
            <w:pPr>
              <w:ind w:left="20"/>
              <w:spacing w:after="0"/>
              <w:rPr>
                <w:sz w:val="20"/>
                <w:szCs w:val="20"/>
                <w:color w:val="auto"/>
              </w:rPr>
            </w:pPr>
            <w:r>
              <w:rPr>
                <w:rFonts w:ascii="Arial" w:cs="Arial" w:eastAsia="Arial" w:hAnsi="Arial"/>
                <w:sz w:val="18"/>
                <w:szCs w:val="18"/>
                <w:color w:val="auto"/>
              </w:rPr>
              <w:t>No Other Representations or Warranties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Arial" w:cs="Arial" w:eastAsia="Arial" w:hAnsi="Arial"/>
                <w:sz w:val="18"/>
                <w:szCs w:val="18"/>
                <w:color w:val="auto"/>
              </w:rPr>
              <w:t>ARTICLE IV</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Arial" w:cs="Arial" w:eastAsia="Arial" w:hAnsi="Arial"/>
                <w:sz w:val="18"/>
                <w:szCs w:val="18"/>
                <w:color w:val="auto"/>
                <w:w w:val="94"/>
              </w:rPr>
              <w:t>REPRESENTATIONS AND WARRANTIES OF PARENT AND MERGER SUB</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4.1</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Organization and Qualification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4.2 Authority</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4.3</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Proxy Statement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4.4</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Consents and Approvals; No Violation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4.5</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Litigation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4.6</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Interested Stockholder</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4.7</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Sufficient Funds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4.8</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No Other Operations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4.9</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Brokers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4.10</w:t>
            </w:r>
          </w:p>
        </w:tc>
        <w:tc>
          <w:tcPr>
            <w:tcW w:w="9200" w:type="dxa"/>
            <w:vAlign w:val="bottom"/>
          </w:tcPr>
          <w:p>
            <w:pPr>
              <w:ind w:left="20"/>
              <w:spacing w:after="0"/>
              <w:rPr>
                <w:sz w:val="20"/>
                <w:szCs w:val="20"/>
                <w:color w:val="auto"/>
              </w:rPr>
            </w:pPr>
            <w:r>
              <w:rPr>
                <w:rFonts w:ascii="Arial" w:cs="Arial" w:eastAsia="Arial" w:hAnsi="Arial"/>
                <w:sz w:val="18"/>
                <w:szCs w:val="18"/>
                <w:color w:val="auto"/>
              </w:rPr>
              <w:t>Solvency</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4.11 Absence of Certain Arrangements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4.12</w:t>
            </w:r>
          </w:p>
        </w:tc>
        <w:tc>
          <w:tcPr>
            <w:tcW w:w="9200" w:type="dxa"/>
            <w:vAlign w:val="bottom"/>
          </w:tcPr>
          <w:p>
            <w:pPr>
              <w:ind w:left="20"/>
              <w:spacing w:after="0"/>
              <w:rPr>
                <w:sz w:val="20"/>
                <w:szCs w:val="20"/>
                <w:color w:val="auto"/>
              </w:rPr>
            </w:pPr>
            <w:r>
              <w:rPr>
                <w:rFonts w:ascii="Arial" w:cs="Arial" w:eastAsia="Arial" w:hAnsi="Arial"/>
                <w:sz w:val="18"/>
                <w:szCs w:val="18"/>
                <w:color w:val="auto"/>
              </w:rPr>
              <w:t>No Other Representations or Warranties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Arial" w:cs="Arial" w:eastAsia="Arial" w:hAnsi="Arial"/>
                <w:sz w:val="18"/>
                <w:szCs w:val="18"/>
                <w:color w:val="auto"/>
                <w:w w:val="98"/>
              </w:rPr>
              <w:t>ARTICLE V</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Arial" w:cs="Arial" w:eastAsia="Arial" w:hAnsi="Arial"/>
                <w:sz w:val="18"/>
                <w:szCs w:val="18"/>
                <w:color w:val="auto"/>
                <w:w w:val="96"/>
              </w:rPr>
              <w:t>COVENANTS OF THE COMPANY</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5.1</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Conduct of Business of the Company</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5.2</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No Solicitation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5.3 Company Board Recommendation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Arial" w:cs="Arial" w:eastAsia="Arial" w:hAnsi="Arial"/>
                <w:sz w:val="18"/>
                <w:szCs w:val="18"/>
                <w:color w:val="auto"/>
              </w:rPr>
              <w:t>ARTICLE VI</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Arial" w:cs="Arial" w:eastAsia="Arial" w:hAnsi="Arial"/>
                <w:sz w:val="18"/>
                <w:szCs w:val="18"/>
                <w:color w:val="auto"/>
                <w:w w:val="99"/>
              </w:rPr>
              <w:t>ADDITIONAL COVENANTS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w w:val="87"/>
              </w:rPr>
              <w:t>6.1</w:t>
            </w:r>
          </w:p>
        </w:tc>
        <w:tc>
          <w:tcPr>
            <w:tcW w:w="9300" w:type="dxa"/>
            <w:vAlign w:val="bottom"/>
            <w:gridSpan w:val="2"/>
          </w:tcPr>
          <w:p>
            <w:pPr>
              <w:ind w:left="20"/>
              <w:spacing w:after="0"/>
              <w:rPr>
                <w:sz w:val="20"/>
                <w:szCs w:val="20"/>
                <w:color w:val="auto"/>
              </w:rPr>
            </w:pPr>
            <w:r>
              <w:rPr>
                <w:rFonts w:ascii="Arial" w:cs="Arial" w:eastAsia="Arial" w:hAnsi="Arial"/>
                <w:sz w:val="18"/>
                <w:szCs w:val="18"/>
                <w:color w:val="auto"/>
              </w:rPr>
              <w:t>Preparation of the Proxy Statement; Stockholders Meeting</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64"/>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jc w:val="center"/>
              <w:ind w:left="105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48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74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740" w:type="dxa"/>
            <w:vAlign w:val="bottom"/>
          </w:tcPr>
          <w:p>
            <w:pPr>
              <w:jc w:val="center"/>
              <w:ind w:left="1690"/>
              <w:spacing w:after="0"/>
              <w:rPr>
                <w:sz w:val="20"/>
                <w:szCs w:val="20"/>
                <w:color w:val="auto"/>
              </w:rPr>
            </w:pPr>
            <w:r>
              <w:rPr>
                <w:rFonts w:ascii="Arial" w:cs="Arial" w:eastAsia="Arial" w:hAnsi="Arial"/>
                <w:sz w:val="18"/>
                <w:szCs w:val="18"/>
                <w:b w:val="1"/>
                <w:bCs w:val="1"/>
                <w:color w:val="auto"/>
                <w:w w:val="91"/>
              </w:rPr>
              <w:t>(Continued)</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97"/>
        </w:trPr>
        <w:tc>
          <w:tcPr>
            <w:tcW w:w="24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240" w:type="dxa"/>
            <w:vAlign w:val="bottom"/>
          </w:tcPr>
          <w:p>
            <w:pPr>
              <w:spacing w:after="0"/>
              <w:rPr>
                <w:sz w:val="20"/>
                <w:szCs w:val="20"/>
                <w:color w:val="auto"/>
              </w:rPr>
            </w:pPr>
            <w:r>
              <w:rPr>
                <w:rFonts w:ascii="Arial" w:cs="Arial" w:eastAsia="Arial" w:hAnsi="Arial"/>
                <w:sz w:val="18"/>
                <w:szCs w:val="18"/>
                <w:color w:val="auto"/>
                <w:w w:val="87"/>
              </w:rPr>
              <w:t>6.2</w:t>
            </w:r>
          </w:p>
        </w:tc>
        <w:tc>
          <w:tcPr>
            <w:tcW w:w="8740" w:type="dxa"/>
            <w:vAlign w:val="bottom"/>
          </w:tcPr>
          <w:p>
            <w:pPr>
              <w:ind w:left="20"/>
              <w:spacing w:after="0"/>
              <w:rPr>
                <w:sz w:val="20"/>
                <w:szCs w:val="20"/>
                <w:color w:val="auto"/>
              </w:rPr>
            </w:pPr>
            <w:r>
              <w:rPr>
                <w:rFonts w:ascii="Arial" w:cs="Arial" w:eastAsia="Arial" w:hAnsi="Arial"/>
                <w:sz w:val="18"/>
                <w:szCs w:val="18"/>
                <w:color w:val="auto"/>
              </w:rPr>
              <w:t>Reasonable Best Efforts</w:t>
            </w:r>
          </w:p>
        </w:tc>
        <w:tc>
          <w:tcPr>
            <w:tcW w:w="170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6.3 Antitrust Obligations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6.4</w:t>
            </w:r>
          </w:p>
        </w:tc>
        <w:tc>
          <w:tcPr>
            <w:tcW w:w="8740" w:type="dxa"/>
            <w:vAlign w:val="bottom"/>
          </w:tcPr>
          <w:p>
            <w:pPr>
              <w:ind w:left="20"/>
              <w:spacing w:after="0"/>
              <w:rPr>
                <w:sz w:val="20"/>
                <w:szCs w:val="20"/>
                <w:color w:val="auto"/>
              </w:rPr>
            </w:pPr>
            <w:r>
              <w:rPr>
                <w:rFonts w:ascii="Arial" w:cs="Arial" w:eastAsia="Arial" w:hAnsi="Arial"/>
                <w:sz w:val="18"/>
                <w:szCs w:val="18"/>
                <w:color w:val="auto"/>
              </w:rPr>
              <w:t>Public Statements and Disclosure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6.5 Anti-Takeover Laws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6.6 Access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6.7</w:t>
            </w:r>
          </w:p>
        </w:tc>
        <w:tc>
          <w:tcPr>
            <w:tcW w:w="8740" w:type="dxa"/>
            <w:vAlign w:val="bottom"/>
          </w:tcPr>
          <w:p>
            <w:pPr>
              <w:ind w:left="20"/>
              <w:spacing w:after="0"/>
              <w:rPr>
                <w:sz w:val="20"/>
                <w:szCs w:val="20"/>
                <w:color w:val="auto"/>
              </w:rPr>
            </w:pPr>
            <w:r>
              <w:rPr>
                <w:rFonts w:ascii="Arial" w:cs="Arial" w:eastAsia="Arial" w:hAnsi="Arial"/>
                <w:sz w:val="18"/>
                <w:szCs w:val="18"/>
                <w:color w:val="auto"/>
              </w:rPr>
              <w:t>Section 16(b) Exemption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6.8</w:t>
            </w:r>
          </w:p>
        </w:tc>
        <w:tc>
          <w:tcPr>
            <w:tcW w:w="8740" w:type="dxa"/>
            <w:vAlign w:val="bottom"/>
          </w:tcPr>
          <w:p>
            <w:pPr>
              <w:ind w:left="20"/>
              <w:spacing w:after="0"/>
              <w:rPr>
                <w:sz w:val="20"/>
                <w:szCs w:val="20"/>
                <w:color w:val="auto"/>
              </w:rPr>
            </w:pPr>
            <w:r>
              <w:rPr>
                <w:rFonts w:ascii="Arial" w:cs="Arial" w:eastAsia="Arial" w:hAnsi="Arial"/>
                <w:sz w:val="18"/>
                <w:szCs w:val="18"/>
                <w:color w:val="auto"/>
              </w:rPr>
              <w:t>Directors’ and Officers’ Indemnification and Insurance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6.9</w:t>
            </w:r>
          </w:p>
        </w:tc>
        <w:tc>
          <w:tcPr>
            <w:tcW w:w="8740" w:type="dxa"/>
            <w:vAlign w:val="bottom"/>
          </w:tcPr>
          <w:p>
            <w:pPr>
              <w:ind w:left="20"/>
              <w:spacing w:after="0"/>
              <w:rPr>
                <w:sz w:val="20"/>
                <w:szCs w:val="20"/>
                <w:color w:val="auto"/>
              </w:rPr>
            </w:pPr>
            <w:r>
              <w:rPr>
                <w:rFonts w:ascii="Arial" w:cs="Arial" w:eastAsia="Arial" w:hAnsi="Arial"/>
                <w:sz w:val="18"/>
                <w:szCs w:val="18"/>
                <w:color w:val="auto"/>
              </w:rPr>
              <w:t>Employee Matters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6.10 Obligations of Merger Sub</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6.11 Certain Litigation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6.12 Delisting</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6.13 Merger Sub Stockholder Consent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6.14 Financing</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240" w:type="dxa"/>
            <w:vAlign w:val="bottom"/>
          </w:tcPr>
          <w:p>
            <w:pPr>
              <w:spacing w:after="0"/>
              <w:rPr>
                <w:sz w:val="24"/>
                <w:szCs w:val="24"/>
                <w:color w:val="auto"/>
              </w:rPr>
            </w:pPr>
          </w:p>
        </w:tc>
        <w:tc>
          <w:tcPr>
            <w:tcW w:w="8740" w:type="dxa"/>
            <w:vAlign w:val="bottom"/>
          </w:tcPr>
          <w:p>
            <w:pPr>
              <w:jc w:val="center"/>
              <w:ind w:left="1650"/>
              <w:spacing w:after="0"/>
              <w:rPr>
                <w:sz w:val="20"/>
                <w:szCs w:val="20"/>
                <w:color w:val="auto"/>
              </w:rPr>
            </w:pPr>
            <w:r>
              <w:rPr>
                <w:rFonts w:ascii="Arial" w:cs="Arial" w:eastAsia="Arial" w:hAnsi="Arial"/>
                <w:sz w:val="18"/>
                <w:szCs w:val="18"/>
                <w:color w:val="auto"/>
              </w:rPr>
              <w:t>ARTICLE VII</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8740" w:type="dxa"/>
            <w:vAlign w:val="bottom"/>
          </w:tcPr>
          <w:p>
            <w:pPr>
              <w:jc w:val="center"/>
              <w:ind w:left="1650"/>
              <w:spacing w:after="0"/>
              <w:rPr>
                <w:sz w:val="20"/>
                <w:szCs w:val="20"/>
                <w:color w:val="auto"/>
              </w:rPr>
            </w:pPr>
            <w:r>
              <w:rPr>
                <w:rFonts w:ascii="Arial" w:cs="Arial" w:eastAsia="Arial" w:hAnsi="Arial"/>
                <w:sz w:val="18"/>
                <w:szCs w:val="18"/>
                <w:color w:val="auto"/>
                <w:w w:val="95"/>
              </w:rPr>
              <w:t>CONDITIONS TO THE MERGER</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7.1</w:t>
            </w:r>
          </w:p>
        </w:tc>
        <w:tc>
          <w:tcPr>
            <w:tcW w:w="8740" w:type="dxa"/>
            <w:vAlign w:val="bottom"/>
          </w:tcPr>
          <w:p>
            <w:pPr>
              <w:ind w:left="20"/>
              <w:spacing w:after="0"/>
              <w:rPr>
                <w:sz w:val="20"/>
                <w:szCs w:val="20"/>
                <w:color w:val="auto"/>
              </w:rPr>
            </w:pPr>
            <w:r>
              <w:rPr>
                <w:rFonts w:ascii="Arial" w:cs="Arial" w:eastAsia="Arial" w:hAnsi="Arial"/>
                <w:sz w:val="18"/>
                <w:szCs w:val="18"/>
                <w:color w:val="auto"/>
              </w:rPr>
              <w:t>Conditions to the Obligations of Each Party to Effect the Merger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7.2</w:t>
            </w:r>
          </w:p>
        </w:tc>
        <w:tc>
          <w:tcPr>
            <w:tcW w:w="8740" w:type="dxa"/>
            <w:vAlign w:val="bottom"/>
          </w:tcPr>
          <w:p>
            <w:pPr>
              <w:ind w:left="20"/>
              <w:spacing w:after="0"/>
              <w:rPr>
                <w:sz w:val="20"/>
                <w:szCs w:val="20"/>
                <w:color w:val="auto"/>
              </w:rPr>
            </w:pPr>
            <w:r>
              <w:rPr>
                <w:rFonts w:ascii="Arial" w:cs="Arial" w:eastAsia="Arial" w:hAnsi="Arial"/>
                <w:sz w:val="18"/>
                <w:szCs w:val="18"/>
                <w:color w:val="auto"/>
              </w:rPr>
              <w:t>Conditions to the Obligations of Parent and Merger Sub to Effect the Merger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7.3</w:t>
            </w:r>
          </w:p>
        </w:tc>
        <w:tc>
          <w:tcPr>
            <w:tcW w:w="8740" w:type="dxa"/>
            <w:vAlign w:val="bottom"/>
          </w:tcPr>
          <w:p>
            <w:pPr>
              <w:ind w:left="20"/>
              <w:spacing w:after="0"/>
              <w:rPr>
                <w:sz w:val="20"/>
                <w:szCs w:val="20"/>
                <w:color w:val="auto"/>
              </w:rPr>
            </w:pPr>
            <w:r>
              <w:rPr>
                <w:rFonts w:ascii="Arial" w:cs="Arial" w:eastAsia="Arial" w:hAnsi="Arial"/>
                <w:sz w:val="18"/>
                <w:szCs w:val="18"/>
                <w:color w:val="auto"/>
              </w:rPr>
              <w:t>Conditions to the Obligations of the Company to Effect the Merger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240" w:type="dxa"/>
            <w:vAlign w:val="bottom"/>
          </w:tcPr>
          <w:p>
            <w:pPr>
              <w:spacing w:after="0"/>
              <w:rPr>
                <w:sz w:val="24"/>
                <w:szCs w:val="24"/>
                <w:color w:val="auto"/>
              </w:rPr>
            </w:pPr>
          </w:p>
        </w:tc>
        <w:tc>
          <w:tcPr>
            <w:tcW w:w="8740" w:type="dxa"/>
            <w:vAlign w:val="bottom"/>
          </w:tcPr>
          <w:p>
            <w:pPr>
              <w:jc w:val="center"/>
              <w:ind w:left="1650"/>
              <w:spacing w:after="0"/>
              <w:rPr>
                <w:sz w:val="20"/>
                <w:szCs w:val="20"/>
                <w:color w:val="auto"/>
              </w:rPr>
            </w:pPr>
            <w:r>
              <w:rPr>
                <w:rFonts w:ascii="Arial" w:cs="Arial" w:eastAsia="Arial" w:hAnsi="Arial"/>
                <w:sz w:val="18"/>
                <w:szCs w:val="18"/>
                <w:color w:val="auto"/>
              </w:rPr>
              <w:t>ARTICLE VIII</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8740" w:type="dxa"/>
            <w:vAlign w:val="bottom"/>
          </w:tcPr>
          <w:p>
            <w:pPr>
              <w:jc w:val="center"/>
              <w:ind w:left="1650"/>
              <w:spacing w:after="0"/>
              <w:rPr>
                <w:sz w:val="20"/>
                <w:szCs w:val="20"/>
                <w:color w:val="auto"/>
              </w:rPr>
            </w:pPr>
            <w:r>
              <w:rPr>
                <w:rFonts w:ascii="Arial" w:cs="Arial" w:eastAsia="Arial" w:hAnsi="Arial"/>
                <w:sz w:val="18"/>
                <w:szCs w:val="18"/>
                <w:color w:val="auto"/>
                <w:w w:val="98"/>
              </w:rPr>
              <w:t>TERMINATION, AMENDMENT AND WAIVER</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8.1</w:t>
            </w:r>
          </w:p>
        </w:tc>
        <w:tc>
          <w:tcPr>
            <w:tcW w:w="8740" w:type="dxa"/>
            <w:vAlign w:val="bottom"/>
          </w:tcPr>
          <w:p>
            <w:pPr>
              <w:ind w:left="20"/>
              <w:spacing w:after="0"/>
              <w:rPr>
                <w:sz w:val="20"/>
                <w:szCs w:val="20"/>
                <w:color w:val="auto"/>
              </w:rPr>
            </w:pPr>
            <w:r>
              <w:rPr>
                <w:rFonts w:ascii="Arial" w:cs="Arial" w:eastAsia="Arial" w:hAnsi="Arial"/>
                <w:sz w:val="18"/>
                <w:szCs w:val="18"/>
                <w:color w:val="auto"/>
              </w:rPr>
              <w:t>Termination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8.2</w:t>
            </w:r>
          </w:p>
        </w:tc>
        <w:tc>
          <w:tcPr>
            <w:tcW w:w="8740" w:type="dxa"/>
            <w:vAlign w:val="bottom"/>
          </w:tcPr>
          <w:p>
            <w:pPr>
              <w:ind w:left="20"/>
              <w:spacing w:after="0"/>
              <w:rPr>
                <w:sz w:val="20"/>
                <w:szCs w:val="20"/>
                <w:color w:val="auto"/>
              </w:rPr>
            </w:pPr>
            <w:r>
              <w:rPr>
                <w:rFonts w:ascii="Arial" w:cs="Arial" w:eastAsia="Arial" w:hAnsi="Arial"/>
                <w:sz w:val="18"/>
                <w:szCs w:val="18"/>
                <w:color w:val="auto"/>
              </w:rPr>
              <w:t>Notice of Termination; Effect of Termination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8.3</w:t>
            </w:r>
          </w:p>
        </w:tc>
        <w:tc>
          <w:tcPr>
            <w:tcW w:w="8740" w:type="dxa"/>
            <w:vAlign w:val="bottom"/>
          </w:tcPr>
          <w:p>
            <w:pPr>
              <w:ind w:left="20"/>
              <w:spacing w:after="0"/>
              <w:rPr>
                <w:sz w:val="20"/>
                <w:szCs w:val="20"/>
                <w:color w:val="auto"/>
              </w:rPr>
            </w:pPr>
            <w:r>
              <w:rPr>
                <w:rFonts w:ascii="Arial" w:cs="Arial" w:eastAsia="Arial" w:hAnsi="Arial"/>
                <w:sz w:val="18"/>
                <w:szCs w:val="18"/>
                <w:color w:val="auto"/>
              </w:rPr>
              <w:t>Fees and Expenses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8.4 Amendment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8.5</w:t>
            </w:r>
          </w:p>
        </w:tc>
        <w:tc>
          <w:tcPr>
            <w:tcW w:w="8740" w:type="dxa"/>
            <w:vAlign w:val="bottom"/>
          </w:tcPr>
          <w:p>
            <w:pPr>
              <w:ind w:left="20"/>
              <w:spacing w:after="0"/>
              <w:rPr>
                <w:sz w:val="20"/>
                <w:szCs w:val="20"/>
                <w:color w:val="auto"/>
              </w:rPr>
            </w:pPr>
            <w:r>
              <w:rPr>
                <w:rFonts w:ascii="Arial" w:cs="Arial" w:eastAsia="Arial" w:hAnsi="Arial"/>
                <w:sz w:val="18"/>
                <w:szCs w:val="18"/>
                <w:color w:val="auto"/>
              </w:rPr>
              <w:t>Extension; Waiver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240" w:type="dxa"/>
            <w:vAlign w:val="bottom"/>
          </w:tcPr>
          <w:p>
            <w:pPr>
              <w:spacing w:after="0"/>
              <w:rPr>
                <w:sz w:val="24"/>
                <w:szCs w:val="24"/>
                <w:color w:val="auto"/>
              </w:rPr>
            </w:pPr>
          </w:p>
        </w:tc>
        <w:tc>
          <w:tcPr>
            <w:tcW w:w="8740" w:type="dxa"/>
            <w:vAlign w:val="bottom"/>
          </w:tcPr>
          <w:p>
            <w:pPr>
              <w:jc w:val="center"/>
              <w:ind w:left="1650"/>
              <w:spacing w:after="0"/>
              <w:rPr>
                <w:sz w:val="20"/>
                <w:szCs w:val="20"/>
                <w:color w:val="auto"/>
              </w:rPr>
            </w:pPr>
            <w:r>
              <w:rPr>
                <w:rFonts w:ascii="Arial" w:cs="Arial" w:eastAsia="Arial" w:hAnsi="Arial"/>
                <w:sz w:val="18"/>
                <w:szCs w:val="18"/>
                <w:color w:val="auto"/>
              </w:rPr>
              <w:t>ARTICLE IX</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8740" w:type="dxa"/>
            <w:vAlign w:val="bottom"/>
          </w:tcPr>
          <w:p>
            <w:pPr>
              <w:jc w:val="center"/>
              <w:ind w:left="1670"/>
              <w:spacing w:after="0"/>
              <w:rPr>
                <w:sz w:val="20"/>
                <w:szCs w:val="20"/>
                <w:color w:val="auto"/>
              </w:rPr>
            </w:pPr>
            <w:r>
              <w:rPr>
                <w:rFonts w:ascii="Arial" w:cs="Arial" w:eastAsia="Arial" w:hAnsi="Arial"/>
                <w:sz w:val="18"/>
                <w:szCs w:val="18"/>
                <w:color w:val="auto"/>
                <w:w w:val="95"/>
              </w:rPr>
              <w:t>GENERAL PROVISIONS</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9.1</w:t>
            </w:r>
          </w:p>
        </w:tc>
        <w:tc>
          <w:tcPr>
            <w:tcW w:w="8740" w:type="dxa"/>
            <w:vAlign w:val="bottom"/>
          </w:tcPr>
          <w:p>
            <w:pPr>
              <w:ind w:left="20"/>
              <w:spacing w:after="0"/>
              <w:rPr>
                <w:sz w:val="20"/>
                <w:szCs w:val="20"/>
                <w:color w:val="auto"/>
              </w:rPr>
            </w:pPr>
            <w:r>
              <w:rPr>
                <w:rFonts w:ascii="Arial" w:cs="Arial" w:eastAsia="Arial" w:hAnsi="Arial"/>
                <w:sz w:val="18"/>
                <w:szCs w:val="18"/>
                <w:color w:val="auto"/>
              </w:rPr>
              <w:t>Survival of Representations, Warranties and Covenants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9.2</w:t>
            </w:r>
          </w:p>
        </w:tc>
        <w:tc>
          <w:tcPr>
            <w:tcW w:w="8740" w:type="dxa"/>
            <w:vAlign w:val="bottom"/>
          </w:tcPr>
          <w:p>
            <w:pPr>
              <w:ind w:left="20"/>
              <w:spacing w:after="0"/>
              <w:rPr>
                <w:sz w:val="20"/>
                <w:szCs w:val="20"/>
                <w:color w:val="auto"/>
              </w:rPr>
            </w:pPr>
            <w:r>
              <w:rPr>
                <w:rFonts w:ascii="Arial" w:cs="Arial" w:eastAsia="Arial" w:hAnsi="Arial"/>
                <w:sz w:val="18"/>
                <w:szCs w:val="18"/>
                <w:color w:val="auto"/>
              </w:rPr>
              <w:t>Notices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9.3 Assignment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9.4</w:t>
            </w:r>
          </w:p>
        </w:tc>
        <w:tc>
          <w:tcPr>
            <w:tcW w:w="874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9.5</w:t>
            </w:r>
          </w:p>
        </w:tc>
        <w:tc>
          <w:tcPr>
            <w:tcW w:w="8740" w:type="dxa"/>
            <w:vAlign w:val="bottom"/>
          </w:tcPr>
          <w:p>
            <w:pPr>
              <w:ind w:left="20"/>
              <w:spacing w:after="0"/>
              <w:rPr>
                <w:sz w:val="20"/>
                <w:szCs w:val="20"/>
                <w:color w:val="auto"/>
              </w:rPr>
            </w:pPr>
            <w:r>
              <w:rPr>
                <w:rFonts w:ascii="Arial" w:cs="Arial" w:eastAsia="Arial" w:hAnsi="Arial"/>
                <w:sz w:val="18"/>
                <w:szCs w:val="18"/>
                <w:color w:val="auto"/>
              </w:rPr>
              <w:t>Entire Agreement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9.6</w:t>
            </w:r>
          </w:p>
        </w:tc>
        <w:tc>
          <w:tcPr>
            <w:tcW w:w="8740" w:type="dxa"/>
            <w:vAlign w:val="bottom"/>
          </w:tcPr>
          <w:p>
            <w:pPr>
              <w:ind w:left="20"/>
              <w:spacing w:after="0"/>
              <w:rPr>
                <w:sz w:val="20"/>
                <w:szCs w:val="20"/>
                <w:color w:val="auto"/>
              </w:rPr>
            </w:pPr>
            <w:r>
              <w:rPr>
                <w:rFonts w:ascii="Arial" w:cs="Arial" w:eastAsia="Arial" w:hAnsi="Arial"/>
                <w:sz w:val="18"/>
                <w:szCs w:val="18"/>
                <w:color w:val="auto"/>
              </w:rPr>
              <w:t>Third Party Beneficiaries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9.7</w:t>
            </w:r>
          </w:p>
        </w:tc>
        <w:tc>
          <w:tcPr>
            <w:tcW w:w="874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486" w:right="4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00" w:type="dxa"/>
            <w:vAlign w:val="bottom"/>
            <w:gridSpan w:val="2"/>
          </w:tcPr>
          <w:p>
            <w:pPr>
              <w:jc w:val="right"/>
              <w:ind w:right="4430"/>
              <w:spacing w:after="0"/>
              <w:rPr>
                <w:sz w:val="20"/>
                <w:szCs w:val="20"/>
                <w:color w:val="auto"/>
              </w:rPr>
            </w:pPr>
            <w:r>
              <w:rPr>
                <w:rFonts w:ascii="Arial" w:cs="Arial" w:eastAsia="Arial" w:hAnsi="Arial"/>
                <w:sz w:val="18"/>
                <w:szCs w:val="18"/>
                <w:b w:val="1"/>
                <w:bCs w:val="1"/>
                <w:color w:val="auto"/>
              </w:rPr>
              <w:t>TABLE OF CONTENTS</w:t>
            </w:r>
          </w:p>
        </w:tc>
      </w:tr>
      <w:tr>
        <w:trPr>
          <w:trHeight w:val="234"/>
        </w:trPr>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100" w:type="dxa"/>
            <w:vAlign w:val="bottom"/>
            <w:gridSpan w:val="2"/>
          </w:tcPr>
          <w:p>
            <w:pPr>
              <w:jc w:val="right"/>
              <w:ind w:right="4930"/>
              <w:spacing w:after="0"/>
              <w:rPr>
                <w:sz w:val="20"/>
                <w:szCs w:val="20"/>
                <w:color w:val="auto"/>
              </w:rPr>
            </w:pPr>
            <w:r>
              <w:rPr>
                <w:rFonts w:ascii="Arial" w:cs="Arial" w:eastAsia="Arial" w:hAnsi="Arial"/>
                <w:sz w:val="18"/>
                <w:szCs w:val="18"/>
                <w:b w:val="1"/>
                <w:bCs w:val="1"/>
                <w:color w:val="auto"/>
              </w:rPr>
              <w:t>(Continued)</w:t>
            </w:r>
          </w:p>
        </w:tc>
      </w:tr>
      <w:tr>
        <w:trPr>
          <w:trHeight w:val="297"/>
        </w:trPr>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3880" w:type="dxa"/>
            <w:vAlign w:val="bottom"/>
            <w:gridSpan w:val="2"/>
          </w:tcPr>
          <w:p>
            <w:pPr>
              <w:spacing w:after="0"/>
              <w:rPr>
                <w:sz w:val="20"/>
                <w:szCs w:val="20"/>
                <w:color w:val="auto"/>
              </w:rPr>
            </w:pPr>
            <w:r>
              <w:rPr>
                <w:rFonts w:ascii="Arial" w:cs="Arial" w:eastAsia="Arial" w:hAnsi="Arial"/>
                <w:sz w:val="18"/>
                <w:szCs w:val="18"/>
                <w:color w:val="auto"/>
              </w:rPr>
              <w:t>9.8 Remedies</w:t>
            </w:r>
          </w:p>
        </w:tc>
        <w:tc>
          <w:tcPr>
            <w:tcW w:w="680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9.9 Governing Law</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9.10</w:t>
            </w:r>
          </w:p>
        </w:tc>
        <w:tc>
          <w:tcPr>
            <w:tcW w:w="3540" w:type="dxa"/>
            <w:vAlign w:val="bottom"/>
          </w:tcPr>
          <w:p>
            <w:pPr>
              <w:ind w:left="20"/>
              <w:spacing w:after="0"/>
              <w:rPr>
                <w:sz w:val="20"/>
                <w:szCs w:val="20"/>
                <w:color w:val="auto"/>
              </w:rPr>
            </w:pPr>
            <w:r>
              <w:rPr>
                <w:rFonts w:ascii="Arial" w:cs="Arial" w:eastAsia="Arial" w:hAnsi="Arial"/>
                <w:sz w:val="18"/>
                <w:szCs w:val="18"/>
                <w:color w:val="auto"/>
              </w:rPr>
              <w:t>Consent to Jurisdiction</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9.11 WAIVER OF JURY TRIAL</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9.12</w:t>
            </w:r>
          </w:p>
        </w:tc>
        <w:tc>
          <w:tcPr>
            <w:tcW w:w="3540" w:type="dxa"/>
            <w:vAlign w:val="bottom"/>
          </w:tcPr>
          <w:p>
            <w:pPr>
              <w:ind w:left="20"/>
              <w:spacing w:after="0"/>
              <w:rPr>
                <w:sz w:val="20"/>
                <w:szCs w:val="20"/>
                <w:color w:val="auto"/>
              </w:rPr>
            </w:pPr>
            <w:r>
              <w:rPr>
                <w:rFonts w:ascii="Arial" w:cs="Arial" w:eastAsia="Arial" w:hAnsi="Arial"/>
                <w:sz w:val="18"/>
                <w:szCs w:val="18"/>
                <w:color w:val="auto"/>
              </w:rPr>
              <w:t>Disclosure Letter References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9.13</w:t>
            </w:r>
          </w:p>
        </w:tc>
        <w:tc>
          <w:tcPr>
            <w:tcW w:w="3540" w:type="dxa"/>
            <w:vAlign w:val="bottom"/>
          </w:tcPr>
          <w:p>
            <w:pPr>
              <w:ind w:left="20"/>
              <w:spacing w:after="0"/>
              <w:rPr>
                <w:sz w:val="20"/>
                <w:szCs w:val="20"/>
                <w:color w:val="auto"/>
              </w:rPr>
            </w:pPr>
            <w:r>
              <w:rPr>
                <w:rFonts w:ascii="Arial" w:cs="Arial" w:eastAsia="Arial" w:hAnsi="Arial"/>
                <w:sz w:val="18"/>
                <w:szCs w:val="18"/>
                <w:color w:val="auto"/>
              </w:rPr>
              <w:t>No Presumption Against Drafting Party</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w w:val="91"/>
              </w:rPr>
              <w:t>9.14</w:t>
            </w:r>
          </w:p>
        </w:tc>
        <w:tc>
          <w:tcPr>
            <w:tcW w:w="354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79</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right="5380"/>
        <w:spacing w:after="0" w:line="277" w:lineRule="auto"/>
        <w:rPr>
          <w:sz w:val="20"/>
          <w:szCs w:val="20"/>
          <w:color w:val="auto"/>
        </w:rPr>
      </w:pPr>
      <w:r>
        <w:rPr>
          <w:rFonts w:ascii="Arial" w:cs="Arial" w:eastAsia="Arial" w:hAnsi="Arial"/>
          <w:sz w:val="18"/>
          <w:szCs w:val="18"/>
          <w:color w:val="auto"/>
        </w:rPr>
        <w:t>Exhibit A – Form of Certificate of Incorporation of the Surviving Corporation Exhibit B – Form of Bylaws of the Surviving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486" w:right="479" w:bottom="1440" w:gutter="0" w:footer="0" w:header="0"/>
        </w:sectPr>
      </w:pPr>
    </w:p>
    <w:bookmarkStart w:id="14" w:name="page15"/>
    <w:bookmarkEnd w:id="1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AGREEMENT AND PLAN OF MERGER</w:t>
      </w:r>
    </w:p>
    <w:p>
      <w:pPr>
        <w:spacing w:after="0" w:line="229"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28, 2023, by and among Biogen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River Acquisition, Inc.,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Reata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jc w:val="both"/>
        <w:ind w:left="4" w:right="180" w:firstLine="440"/>
        <w:spacing w:after="0" w:line="301" w:lineRule="auto"/>
        <w:rPr>
          <w:sz w:val="20"/>
          <w:szCs w:val="20"/>
          <w:color w:val="auto"/>
        </w:rPr>
      </w:pPr>
      <w:r>
        <w:rPr>
          <w:rFonts w:ascii="Arial" w:cs="Arial" w:eastAsia="Arial" w:hAnsi="Arial"/>
          <w:sz w:val="16"/>
          <w:szCs w:val="16"/>
          <w:color w:val="auto"/>
        </w:rPr>
        <w:t>WHEREAS, the parties intend that, on the terms and subject to the conditions set forth in this Agreement, Merger Sub will merge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in accordance with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each Share that is outstanding immediately prior to the Effective Time (other than Canceled Shares and Dissenting Shares) will thereupon be canceled and converted into the right to receive cash in an amount equal to the Merger Consideration and the Company will survive the Merger as a wholly owned Subsidiary of Parent;</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has, upon the terms and subject to the conditions set forth herein,</w:t>
      </w:r>
    </w:p>
    <w:p>
      <w:pPr>
        <w:spacing w:after="0" w:line="46" w:lineRule="exact"/>
        <w:rPr>
          <w:sz w:val="20"/>
          <w:szCs w:val="20"/>
          <w:color w:val="auto"/>
        </w:rPr>
      </w:pPr>
    </w:p>
    <w:p>
      <w:pPr>
        <w:ind w:left="4" w:right="140" w:hanging="4"/>
        <w:spacing w:after="0" w:line="281" w:lineRule="auto"/>
        <w:tabs>
          <w:tab w:leader="none" w:pos="219"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determined that this Agreement and the transactions contemplated hereby, including the Merger, are advisable, fair to and in the best interests of the Company and its stockholders, and declared it advisable for the Company to enter into this Agreement, (ii) approved and declared advisable the execution and delivery by the Company of this Agreement, the performance by the Company of its covenants and agreements contained herein and the consummation of the Merger and the other transactions contemplated by this Agreement upon the terms and subject to the conditions contained herein,</w:t>
      </w:r>
    </w:p>
    <w:p>
      <w:pPr>
        <w:spacing w:after="0" w:line="2" w:lineRule="exact"/>
        <w:rPr>
          <w:rFonts w:ascii="Arial" w:cs="Arial" w:eastAsia="Arial" w:hAnsi="Arial"/>
          <w:sz w:val="16"/>
          <w:szCs w:val="16"/>
          <w:color w:val="auto"/>
        </w:rPr>
      </w:pPr>
    </w:p>
    <w:p>
      <w:pPr>
        <w:ind w:left="4" w:right="420" w:hanging="4"/>
        <w:spacing w:after="0" w:line="290"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color w:val="auto"/>
        </w:rPr>
        <w:t>directed that the adoption of this Agreement be submitted to a vote at a meeting of the Company Stockholders, and (iv) resolved, subject to the terms and conditions set forth in this Agreement, to recommend that this Agreement be adopted by the Company Stockholders;</w:t>
      </w:r>
    </w:p>
    <w:p>
      <w:pPr>
        <w:spacing w:after="0" w:line="16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WHEREAS, (i) the Board of Directors of each of Parent and Merger Sub have (A) declared it advisable for Parent and Merger Sub, respectively, to enter into this Agreement, and (B) approved the execution and delivery by Parent and Merger Sub, respectively, of this Agreement, the performance by Parent and Merger Sub of their respective covenants and agreements contained herein and the consummation of the Merger and the other transactions contemplated by this Agreement upon the terms and subject to the conditions contained herein and (ii) the Board of Directors of Merger Sub has recommended that the sole stockholder of Merger Sub adopt this Agreement by written consent in lieu of a meeting effective immediately following the execution and delivery of this Agreement;</w:t>
      </w:r>
    </w:p>
    <w:p>
      <w:pPr>
        <w:spacing w:after="0" w:line="192"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WHEREAS, as a condition and inducement to the willingness of Parent and Merger Sub to enter into this Agreement, concurrently with the execution and delivery of this Agreement, certain of the Company Stockholders are entering into voting and support agreements with Parent and Merger Sub (each a, “</w:t>
      </w:r>
      <w:r>
        <w:rPr>
          <w:rFonts w:ascii="Arial" w:cs="Arial" w:eastAsia="Arial" w:hAnsi="Arial"/>
          <w:sz w:val="17"/>
          <w:szCs w:val="17"/>
          <w:u w:val="single" w:color="auto"/>
          <w:color w:val="auto"/>
        </w:rPr>
        <w:t>Support Agreement</w:t>
      </w:r>
      <w:r>
        <w:rPr>
          <w:rFonts w:ascii="Arial" w:cs="Arial" w:eastAsia="Arial" w:hAnsi="Arial"/>
          <w:sz w:val="17"/>
          <w:szCs w:val="17"/>
          <w:color w:val="auto"/>
        </w:rPr>
        <w:t>”) pursuant to which and subject to the conditions contained therein, among other things, such Company Stockholders have agreed to vote all of their Shares in favor of adopting this Agreement at the Stockholders Meeting; and</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4"/>
          </w:cols>
          <w:pgMar w:left="436" w:top="486" w:right="459" w:bottom="1440" w:gutter="0" w:footer="0" w:header="0"/>
        </w:sectPr>
      </w:pPr>
    </w:p>
    <w:bookmarkStart w:id="15" w:name="page16"/>
    <w:bookmarkEnd w:id="15"/>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WHEREAS, Parent, Merger Sub and the Company desire to make certain representations, warranties, covenants and agreements in connection with this Agreement and the transactions contemplated hereby and to prescribe certain conditions with respect to the consummation of the transactions contemplated by this Agreement.</w:t>
      </w:r>
    </w:p>
    <w:p>
      <w:pPr>
        <w:spacing w:after="0" w:line="18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set forth herein, as well as other good and valuable consideration, the receipt and sufficiency of which are hereby acknowledged and accepted, and intending to be legally bound hereby, Parent, Merger Sub and the Company hereby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INTERPRETATIONS</w:t>
      </w:r>
    </w:p>
    <w:p>
      <w:pPr>
        <w:spacing w:after="0" w:line="211"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all purposes of and under this Agreement, the following capitalized terms shall have the following respective meanings:</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shall mean any confidentiality agreement containing provisions limiting the disclosure and use of non-public information of or with respect to the Company that (a) contains confidentiality provisions that are not, in the aggregate, materially less favorable to the Company than the terms of the Confidentiality Agreement, and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 or (b) was entered into prior to the date of this Agreement.</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shall mean any indication of interest, offer or proposal (other than an offer or proposal by Parent or Merger Sub) to engage in an Acquisition Transaction.</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Transaction</w:t>
      </w:r>
      <w:r>
        <w:rPr>
          <w:rFonts w:ascii="Arial" w:cs="Arial" w:eastAsia="Arial" w:hAnsi="Arial"/>
          <w:sz w:val="17"/>
          <w:szCs w:val="17"/>
          <w:color w:val="auto"/>
        </w:rPr>
        <w:t xml:space="preserve">” shall mean any transaction or series of related transactions (other than the transactions contemplated by this Agreement) resulting in: (a) any acquisition by any Person or “group” (as defined under Section 13(d) of the Exchange Act and the rules and regulations thereunder) of more than twenty-five percent (25%) of the outstanding voting securities or voting power of the Company or any tender offer or exchange offer that if consummated would result in any Person or group (as defined under Section 13(d) of the Exchange Act and the rules and regulations thereunder) beneficially owning more than twenty-five percent (25%) of the outstanding voting securities or voting power of the Company; (b) any merger, consolidation, business combination, recapitalization, reorganization or other similar transaction involving the Company pursuant to which any Person or “group” (as defined in or under Section 13(d) of the Exchange Act) would hold Shares representing more than twenty-five percent (25%) of the voting securities or voting power of the surviving entity after giving effect to the consummation of such transaction or as a result of which the Company Stockholders (as a group) immediately prior to the consummation of such transaction would hold Shares representing less than seventy-five percent (75%) of the voting securities or voting power of the surviving entity after giving effect to the consummation of such transaction; (c) any sale, license or disposition of tangible or intangible assets or businesses that constitute or represent more than twenty-five percent (25%) of the consolidated assets, revenues or earnings of the Company and its Subsidiaries; (d) any sale, exclusive license or disposition of omaveloxolone; or (e) any liquidation or dissolution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Merger and the other transactions contemplated hereby shall be deemed to not be an Acquisition Transaction in any case.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490" w:right="459" w:bottom="1440" w:gutter="0" w:footer="0" w:header="0"/>
        </w:sectPr>
      </w:pPr>
    </w:p>
    <w:bookmarkStart w:id="16" w:name="page17"/>
    <w:bookmarkEnd w:id="16"/>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For purposes of the immediately preceding sentence,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ownership of voting securities, by Contract or otherwise.</w:t>
      </w:r>
    </w:p>
    <w:p>
      <w:pPr>
        <w:spacing w:after="0" w:line="18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 the Foreign Corrupt Practices Act of 1977, the Anti-Kickback Act of 1986, the UK Bribery Act of 2012 and the Anti-Bribery Laws of the People’s Republic of China or any applicable Laws of similar effect.</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w:t>
      </w:r>
      <w:r>
        <w:rPr>
          <w:rFonts w:ascii="Arial" w:cs="Arial" w:eastAsia="Arial" w:hAnsi="Arial"/>
          <w:sz w:val="16"/>
          <w:szCs w:val="16"/>
          <w:color w:val="auto"/>
        </w:rPr>
        <w:t>” shall mean the Sherman Antitrust Act of 1890, as amended, the Clayton Act of 1914, as amended, the HSR Act, the Federal Trade Commission Act, as amended, any Foreign Antitrust Laws, as amended,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this Agreement.</w:t>
      </w:r>
    </w:p>
    <w:p>
      <w:pPr>
        <w:spacing w:after="0" w:line="157"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Bayh-Dole Act</w:t>
      </w:r>
      <w:r>
        <w:rPr>
          <w:rFonts w:ascii="Arial" w:cs="Arial" w:eastAsia="Arial" w:hAnsi="Arial"/>
          <w:sz w:val="18"/>
          <w:szCs w:val="18"/>
          <w:color w:val="auto"/>
        </w:rPr>
        <w:t>” shall mean the Patent and Trademark Law Amendments Act of 1980, as amended, codified at 35 U.S.C. §§ 200-212, as amended, as well as any regulations promulgated pursuant thereto, including in 37 C.F.R. Part 401.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have the meaning given to such term in Rule 14d-1(g)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 Budget” shall mean the capital expenditure budget</w:t>
      </w:r>
      <w:r>
        <w:rPr>
          <w:rFonts w:ascii="Arial" w:cs="Arial" w:eastAsia="Arial" w:hAnsi="Arial"/>
          <w:sz w:val="17"/>
          <w:szCs w:val="17"/>
          <w:color w:val="auto"/>
        </w:rPr>
        <w:t xml:space="preserve"> set forth on Section 1.1(a) of the Company Disclosure Letter.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each outstanding share of class A common stock, par value $0.001,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mean each outstanding share of class B common stock, par value $0.001,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U.S. Internal Revenue Code of 1986, as amended.</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Law Fraud</w:t>
      </w:r>
      <w:r>
        <w:rPr>
          <w:rFonts w:ascii="Arial" w:cs="Arial" w:eastAsia="Arial" w:hAnsi="Arial"/>
          <w:sz w:val="18"/>
          <w:szCs w:val="18"/>
          <w:color w:val="auto"/>
        </w:rPr>
        <w:t xml:space="preserve">” shall mean common law fraud under Delaware law of the Company, Parent or Merger Sub, as applicable, in the making of the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shall mean the Company’s 2022 Employee Stock Purchase Plan.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490" w:right="479" w:bottom="1440" w:gutter="0" w:footer="0" w:header="0"/>
        </w:sectPr>
      </w:pPr>
    </w:p>
    <w:bookmarkStart w:id="17" w:name="page18"/>
    <w:bookmarkEnd w:id="17"/>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Company Intellectual Property Rights</w:t>
      </w:r>
      <w:r>
        <w:rPr>
          <w:rFonts w:ascii="Arial" w:cs="Arial" w:eastAsia="Arial" w:hAnsi="Arial"/>
          <w:sz w:val="18"/>
          <w:szCs w:val="18"/>
          <w:color w:val="auto"/>
        </w:rPr>
        <w:t>” shall mean all Intellectual Property Rights owned by or purported to be owned by (solely or jointly) or exclusively licensed to the Company or any of its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shall mean any change, occurrence, effect, event, circumstance or development (each an “</w:t>
      </w:r>
      <w:r>
        <w:rPr>
          <w:rFonts w:ascii="Arial" w:cs="Arial" w:eastAsia="Arial" w:hAnsi="Arial"/>
          <w:sz w:val="17"/>
          <w:szCs w:val="17"/>
          <w:u w:val="single" w:color="auto"/>
          <w:color w:val="auto"/>
        </w:rPr>
        <w:t>Effect</w:t>
      </w:r>
      <w:r>
        <w:rPr>
          <w:rFonts w:ascii="Arial" w:cs="Arial" w:eastAsia="Arial" w:hAnsi="Arial"/>
          <w:sz w:val="17"/>
          <w:szCs w:val="17"/>
          <w:color w:val="auto"/>
        </w:rPr>
        <w:t>,”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collectively, “</w:t>
      </w:r>
      <w:r>
        <w:rPr>
          <w:rFonts w:ascii="Arial" w:cs="Arial" w:eastAsia="Arial" w:hAnsi="Arial"/>
          <w:sz w:val="16"/>
          <w:szCs w:val="16"/>
          <w:u w:val="single" w:color="auto"/>
          <w:color w:val="auto"/>
        </w:rPr>
        <w:t>Effects</w:t>
      </w:r>
      <w:r>
        <w:rPr>
          <w:rFonts w:ascii="Arial" w:cs="Arial" w:eastAsia="Arial" w:hAnsi="Arial"/>
          <w:sz w:val="16"/>
          <w:szCs w:val="16"/>
          <w:color w:val="auto"/>
        </w:rPr>
        <w:t>”) that has had, or would reasonably be expected to have, a material adverse effect on the business, assets, Liabilities,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condition or results of operations of the Company and its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Effect to the extent directly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indirectly resulting from, attributable to or arising out of any of the following shall (either alone or in combination) be deemed to be or constitute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and no Effect to the extent directly or indirectly resulting from, attributable to or arising out of any of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(either alone or in combination) be taken into account when determining whether a “</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has occurred, except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Effects disproportionately and adversely affect the Company and its Subsidiaries, taken as a whole, in any material respect relative to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similarly situated companies operating in any industry or industries in which the Company and its Subsidiaries operate in the events of clauses (i)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through (vi) below (in which case, the incremental disproportionate impact or impacts may be taken into account in determining whether there has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occurred a “</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w:t>
      </w:r>
    </w:p>
    <w:p>
      <w:pPr>
        <w:spacing w:after="0" w:line="103" w:lineRule="exact"/>
        <w:rPr>
          <w:sz w:val="20"/>
          <w:szCs w:val="20"/>
          <w:color w:val="auto"/>
        </w:rPr>
      </w:pPr>
    </w:p>
    <w:p>
      <w:pPr>
        <w:ind w:right="40" w:firstLine="987"/>
        <w:spacing w:after="0" w:line="257" w:lineRule="auto"/>
        <w:tabs>
          <w:tab w:leader="none" w:pos="120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(or changes in such conditions) in the securities markets, capital markets, credit markets, currency markets or other financial markets in the United States or any other country or region in the world, including (A) changes in interest rates in the United States or any other country or region in the world and changes in exchange rates for the currencies of any countries and (B) any suspension of trading in securities (whether equity, debt, derivative or hybrid securities) generally on any securities exchange or over-the-counter market operating in the United States or any other country or region in the world;</w:t>
      </w:r>
    </w:p>
    <w:p>
      <w:pPr>
        <w:spacing w:after="0" w:line="79" w:lineRule="exact"/>
        <w:rPr>
          <w:rFonts w:ascii="Arial" w:cs="Arial" w:eastAsia="Arial" w:hAnsi="Arial"/>
          <w:sz w:val="18"/>
          <w:szCs w:val="18"/>
          <w:color w:val="auto"/>
        </w:rPr>
      </w:pPr>
    </w:p>
    <w:p>
      <w:pPr>
        <w:ind w:right="580" w:firstLine="987"/>
        <w:spacing w:after="0" w:line="277" w:lineRule="auto"/>
        <w:tabs>
          <w:tab w:leader="none" w:pos="1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(or changes in such conditions) in the United States or any other country or region in the world, or conditions in the global economy generally;</w:t>
      </w:r>
    </w:p>
    <w:p>
      <w:pPr>
        <w:spacing w:after="0" w:line="62" w:lineRule="exact"/>
        <w:rPr>
          <w:rFonts w:ascii="Arial" w:cs="Arial" w:eastAsia="Arial" w:hAnsi="Arial"/>
          <w:sz w:val="18"/>
          <w:szCs w:val="18"/>
          <w:color w:val="auto"/>
        </w:rPr>
      </w:pPr>
    </w:p>
    <w:p>
      <w:pPr>
        <w:ind w:right="20" w:firstLine="987"/>
        <w:spacing w:after="0" w:line="259" w:lineRule="auto"/>
        <w:tabs>
          <w:tab w:leader="none" w:pos="1306"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conditions (or changes in such conditions) in the United States or any other country or region in the world or between any countries or groups of countries, or acts of war, sabotage or terrorism (including any escalation or general worsening of any such acts of war, sabotage or terrorism) in the United States or any other country or region in the world (including any acts of war or sanctions imposed in connection with the current dispute involving the Russian Federation and Ukraine);</w:t>
      </w:r>
    </w:p>
    <w:p>
      <w:pPr>
        <w:spacing w:after="0" w:line="78" w:lineRule="exact"/>
        <w:rPr>
          <w:rFonts w:ascii="Arial" w:cs="Arial" w:eastAsia="Arial" w:hAnsi="Arial"/>
          <w:sz w:val="18"/>
          <w:szCs w:val="18"/>
          <w:color w:val="auto"/>
        </w:rPr>
      </w:pPr>
    </w:p>
    <w:p>
      <w:pPr>
        <w:ind w:firstLine="987"/>
        <w:spacing w:after="0" w:line="277"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earthquakes, hurricanes, tsunamis, tornadoes, floods, epidemics, pandemics (including COVID-19), cyberattacks, mudslides, wild fires or other natural disasters and weather conditions in the United States or any other country or region in the world;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(or changes in such conditions) in the life sciences, pharmaceutical or biotechnology industry;</w:t>
      </w:r>
    </w:p>
    <w:p>
      <w:pPr>
        <w:spacing w:after="0" w:line="117" w:lineRule="exact"/>
        <w:rPr>
          <w:rFonts w:ascii="Arial" w:cs="Arial" w:eastAsia="Arial" w:hAnsi="Arial"/>
          <w:sz w:val="18"/>
          <w:szCs w:val="18"/>
          <w:color w:val="auto"/>
        </w:rPr>
      </w:pPr>
    </w:p>
    <w:p>
      <w:pPr>
        <w:ind w:right="40" w:firstLine="987"/>
        <w:spacing w:after="0" w:line="342" w:lineRule="auto"/>
        <w:tabs>
          <w:tab w:leader="none" w:pos="1296" w:val="left"/>
        </w:tabs>
        <w:numPr>
          <w:ilvl w:val="0"/>
          <w:numId w:val="7"/>
        </w:numPr>
        <w:rPr>
          <w:rFonts w:ascii="Arial" w:cs="Arial" w:eastAsia="Arial" w:hAnsi="Arial"/>
          <w:sz w:val="16"/>
          <w:szCs w:val="16"/>
          <w:color w:val="auto"/>
        </w:rPr>
      </w:pPr>
      <w:r>
        <w:rPr>
          <w:rFonts w:ascii="Arial" w:cs="Arial" w:eastAsia="Arial" w:hAnsi="Arial"/>
          <w:sz w:val="16"/>
          <w:szCs w:val="16"/>
          <w:color w:val="auto"/>
        </w:rPr>
        <w:t>actual or proposed changes in Law or other legal or regulatory conditions (or the interpretation thereof), any COVID-19 Measures or any change in any COVID-19 Measures (or the interpretation thereof), or changes in GAAP or other accounting standards (or the interpretation thereof);</w:t>
      </w:r>
    </w:p>
    <w:p>
      <w:pPr>
        <w:spacing w:after="0" w:line="56" w:lineRule="exact"/>
        <w:rPr>
          <w:rFonts w:ascii="Arial" w:cs="Arial" w:eastAsia="Arial" w:hAnsi="Arial"/>
          <w:sz w:val="16"/>
          <w:szCs w:val="16"/>
          <w:color w:val="auto"/>
        </w:rPr>
      </w:pPr>
    </w:p>
    <w:p>
      <w:pPr>
        <w:ind w:left="5460" w:hanging="106"/>
        <w:spacing w:after="0"/>
        <w:tabs>
          <w:tab w:leader="none" w:pos="5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0"/>
          </w:cols>
          <w:pgMar w:left="440" w:top="490" w:right="439" w:bottom="1440" w:gutter="0" w:footer="0" w:header="0"/>
        </w:sectPr>
      </w:pPr>
    </w:p>
    <w:bookmarkStart w:id="18" w:name="page19"/>
    <w:bookmarkEnd w:id="18"/>
    <w:p>
      <w:pPr>
        <w:ind w:left="4" w:right="140" w:firstLine="987"/>
        <w:spacing w:after="0" w:line="284" w:lineRule="auto"/>
        <w:tabs>
          <w:tab w:leader="none" w:pos="1350"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announcement of this Agreement, or the pendency or consummation of the transactions contemplated hereby, including (A) the identity of Parent, Merger Sub or their Affiliates as acquiror of the Company, (B) the termination or potential termination of (or the failure or potential failure to renew or enter into) any Contracts with customers, licensors, suppliers, distributors or other business partners, (C) any other negative development (or potential negative development) in the Company’s or any of its Subsidiaries’ relationships with any of its customers, licensors, suppliers, distributors or other business partners and (D) any departure or termination of any officers, directors, employees, consultants or independent contractors of the Company or any of its Subsidiaries, in the case of each of clauses (A), (B), (C) and (D), to the extent resulting from such announcement, pendency or consummation (it being understood that this clause (vii) shall not apply to (1) any representation or warranty related to the announcement of this Agreement or the pendency or consummation of the transactions contemplated hereby or (2) the condition set forth in</w:t>
      </w: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to the extent related to any such representation or warranty);</w:t>
      </w:r>
    </w:p>
    <w:p>
      <w:pPr>
        <w:spacing w:after="0" w:line="102" w:lineRule="exact"/>
        <w:rPr>
          <w:rFonts w:ascii="Arial" w:cs="Arial" w:eastAsia="Arial" w:hAnsi="Arial"/>
          <w:sz w:val="16"/>
          <w:szCs w:val="16"/>
          <w:color w:val="auto"/>
        </w:rPr>
      </w:pPr>
    </w:p>
    <w:p>
      <w:pPr>
        <w:jc w:val="both"/>
        <w:ind w:left="4" w:right="100" w:firstLine="987"/>
        <w:spacing w:after="0" w:line="275" w:lineRule="auto"/>
        <w:tabs>
          <w:tab w:leader="none" w:pos="1400" w:val="left"/>
        </w:tabs>
        <w:numPr>
          <w:ilvl w:val="1"/>
          <w:numId w:val="8"/>
        </w:numPr>
        <w:rPr>
          <w:rFonts w:ascii="Arial" w:cs="Arial" w:eastAsia="Arial" w:hAnsi="Arial"/>
          <w:sz w:val="17"/>
          <w:szCs w:val="17"/>
          <w:color w:val="auto"/>
        </w:rPr>
      </w:pPr>
      <w:r>
        <w:rPr>
          <w:rFonts w:ascii="Arial" w:cs="Arial" w:eastAsia="Arial" w:hAnsi="Arial"/>
          <w:sz w:val="17"/>
          <w:szCs w:val="17"/>
          <w:color w:val="auto"/>
        </w:rPr>
        <w:t>changes in the Company’s stock price or the trading volume of the Company’s stock, in and of itself, or any failure by the Company to meet any estimates or expectations of the Company’s revenue, earnings or other financial performance or results of operations for any period, in and of itself, or any failure by the Company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of a Company Material Adverse Effect);</w:t>
      </w:r>
    </w:p>
    <w:p>
      <w:pPr>
        <w:spacing w:after="0" w:line="68" w:lineRule="exact"/>
        <w:rPr>
          <w:rFonts w:ascii="Arial" w:cs="Arial" w:eastAsia="Arial" w:hAnsi="Arial"/>
          <w:sz w:val="17"/>
          <w:szCs w:val="17"/>
          <w:color w:val="auto"/>
        </w:rPr>
      </w:pPr>
    </w:p>
    <w:p>
      <w:pPr>
        <w:ind w:left="4" w:right="160" w:firstLine="987"/>
        <w:spacing w:after="0" w:line="286"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(A) any action taken unless expressly required by this Agreement, or failure to take any action expressly required by this Agreement, in each case, by Parent or any of its controlled Affiliates or (B) the taking of any action or refraining from taking any action, in each case, by the Company or any of its Subsidiaries (1) expressly required by this Agreement (other than </w:t>
      </w:r>
      <w:r>
        <w:rPr>
          <w:rFonts w:ascii="Arial" w:cs="Arial" w:eastAsia="Arial" w:hAnsi="Arial"/>
          <w:sz w:val="16"/>
          <w:szCs w:val="16"/>
          <w:u w:val="single" w:color="auto"/>
          <w:color w:val="auto"/>
        </w:rPr>
        <w:t>Section 5.1</w:t>
      </w:r>
      <w:r>
        <w:rPr>
          <w:rFonts w:ascii="Arial" w:cs="Arial" w:eastAsia="Arial" w:hAnsi="Arial"/>
          <w:sz w:val="16"/>
          <w:szCs w:val="16"/>
          <w:color w:val="auto"/>
        </w:rPr>
        <w:t>, unless Parent unreasonably withholds, conditions or delays consent to the taking of such action or refraining from taking such action), (2) to which Parent has consented in writing in advance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Parent has requested in writing;</w:t>
      </w:r>
    </w:p>
    <w:p>
      <w:pPr>
        <w:spacing w:after="0" w:line="102" w:lineRule="exact"/>
        <w:rPr>
          <w:rFonts w:ascii="Arial" w:cs="Arial" w:eastAsia="Arial" w:hAnsi="Arial"/>
          <w:sz w:val="18"/>
          <w:szCs w:val="18"/>
          <w:color w:val="auto"/>
        </w:rPr>
      </w:pPr>
    </w:p>
    <w:p>
      <w:pPr>
        <w:ind w:left="4" w:firstLine="987"/>
        <w:spacing w:after="0" w:line="277" w:lineRule="auto"/>
        <w:tabs>
          <w:tab w:leader="none" w:pos="125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Legal Proceedings made or brought by any of the current or former Company Stockholders (on their own behalf or on behalf of the Company) against the Company arising out of the Merger or the other transactions contemplated by this Agreement; or</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matters set forth on Section 1.1(b) of the Company Disclosure Letter.</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shall mean an option to purchase shares of Class A Common Stock or Class B Common Stock granted under the Company Stock Plan or otherwise.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Software</w:t>
      </w:r>
      <w:r>
        <w:rPr>
          <w:rFonts w:ascii="Arial" w:cs="Arial" w:eastAsia="Arial" w:hAnsi="Arial"/>
          <w:sz w:val="18"/>
          <w:szCs w:val="18"/>
          <w:color w:val="auto"/>
        </w:rPr>
        <w:t>” shall mean any Software owned (or purported to be owned) by the Company or any of its Subsidiaries.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shall mean the preferred stock, par value $0.001 per share, of the Company.</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490" w:right="459" w:bottom="1440" w:gutter="0" w:footer="0" w:header="0"/>
        </w:sectPr>
      </w:pPr>
    </w:p>
    <w:bookmarkStart w:id="19" w:name="page20"/>
    <w:bookmarkEnd w:id="19"/>
    <w:p>
      <w:pPr>
        <w:ind w:right="8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7"/>
          <w:szCs w:val="17"/>
          <w:u w:val="single" w:color="auto"/>
          <w:color w:val="auto"/>
        </w:rPr>
        <w:t>Company Product</w:t>
      </w:r>
      <w:r>
        <w:rPr>
          <w:rFonts w:ascii="Arial" w:cs="Arial" w:eastAsia="Arial" w:hAnsi="Arial"/>
          <w:sz w:val="17"/>
          <w:szCs w:val="17"/>
          <w:color w:val="auto"/>
        </w:rPr>
        <w:t>” shall mean any product that is in preclinical development or clinical trials or being manufactured, marketed, sold, commercialized, offered, made available, licensed, distributed or branded by or for the Company or any of its Subsidiaries.</w:t>
      </w:r>
    </w:p>
    <w:p>
      <w:pPr>
        <w:spacing w:after="0" w:line="14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 Rights</w:t>
      </w:r>
      <w:r>
        <w:rPr>
          <w:rFonts w:ascii="Arial" w:cs="Arial" w:eastAsia="Arial" w:hAnsi="Arial"/>
          <w:sz w:val="18"/>
          <w:szCs w:val="18"/>
          <w:color w:val="auto"/>
        </w:rPr>
        <w:t>” shall mean all of the Registered Intellectual Property Rights owned or purported to be owned by the Company or any of its Subsidiaries, co-owned by the Company or any of its Subsidiaries, or exclusively licensed by the Company or any of its Subsidiaries.</w:t>
      </w:r>
    </w:p>
    <w:p>
      <w:pPr>
        <w:spacing w:after="0" w:line="184"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RSU Award</w:t>
      </w:r>
      <w:r>
        <w:rPr>
          <w:rFonts w:ascii="Arial" w:cs="Arial" w:eastAsia="Arial" w:hAnsi="Arial"/>
          <w:sz w:val="16"/>
          <w:szCs w:val="16"/>
          <w:color w:val="auto"/>
        </w:rPr>
        <w:t>” shall mean any award of restricted stock units with respect to shares of Class A Common Stock or Class B Common Stock granted under the Company Stock Plan or otherwise that is, at the time of determination, subject to vesting or forfeiture conditions.</w:t>
      </w:r>
    </w:p>
    <w:p>
      <w:pPr>
        <w:spacing w:after="0" w:line="1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Software</w:t>
      </w:r>
      <w:r>
        <w:rPr>
          <w:rFonts w:ascii="Arial" w:cs="Arial" w:eastAsia="Arial" w:hAnsi="Arial"/>
          <w:sz w:val="18"/>
          <w:szCs w:val="18"/>
          <w:color w:val="auto"/>
        </w:rPr>
        <w:t>” shall mean all Company Owned Software together with all Software licensed (or purported to be licensed) to the Company or any of its Subsidiaries and used, held for use or planned for use in the business of the Company and its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Stock Awards</w:t>
      </w:r>
      <w:r>
        <w:rPr>
          <w:rFonts w:ascii="Arial" w:cs="Arial" w:eastAsia="Arial" w:hAnsi="Arial"/>
          <w:sz w:val="17"/>
          <w:szCs w:val="17"/>
          <w:color w:val="auto"/>
        </w:rPr>
        <w:t>” shall mean the Company Options, the Company RSU Awards and rights granted pursuant to the Company ESPP.</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w:t>
      </w:r>
      <w:r>
        <w:rPr>
          <w:rFonts w:ascii="Arial" w:cs="Arial" w:eastAsia="Arial" w:hAnsi="Arial"/>
          <w:sz w:val="18"/>
          <w:szCs w:val="18"/>
          <w:color w:val="auto"/>
        </w:rPr>
        <w:t>” shall mean the Company’s Second Amended and Restated Long Term Incentive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shall mean holders of Shares prior to the Effective Time in their capacity as such.</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shall mean any approval, consent, license, ratification, permission, waiver, order or authorization (including from any Governmental Authority).</w:t>
      </w:r>
    </w:p>
    <w:p>
      <w:pPr>
        <w:spacing w:after="0" w:line="170"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shall mean any employee of the Company or any of its Subsidiaries as of the time immediately prior to the Closing and who continues to be employed by Parent, the Surviving Corporation or any of their respective Subsidiaries or other Affiliates following the Closing.</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legally binding contract, subcontract, agreement, obligation, license, sublicense, note, bond, mortgage, indenture, deed of trust, franchise, lease, sublease, loan, credit agreement or other instrument.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SARS-CoV-2 or COVID-19, and any evolutions or mutations thereof or related or associated epidemics, pandemics or disease outbreaks.</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 Measures</w:t>
      </w:r>
      <w:r>
        <w:rPr>
          <w:rFonts w:ascii="Arial" w:cs="Arial" w:eastAsia="Arial" w:hAnsi="Arial"/>
          <w:sz w:val="16"/>
          <w:szCs w:val="16"/>
          <w:color w:val="auto"/>
        </w:rPr>
        <w:t>” shall mean any quarantine, “shelter in place,” “stay at home,” workforce reduction, social distancing, shut down, closure, sequester, safety or similar Law, directive, guidelines or recommendations promulgated by any industry group or any Governmental Authority, including the Centers for Disease Control and Prevention and the World Health Organization, in each case, in connection with or in response to COVID-19, including the Coronavirus Aid, Relief and Economic Security Act, as amended, and Families First Coronavirus Response Act, as amended.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80"/>
          </w:cols>
          <w:pgMar w:left="440" w:top="490" w:right="479" w:bottom="1440" w:gutter="0" w:footer="0" w:header="0"/>
        </w:sectPr>
      </w:pPr>
    </w:p>
    <w:bookmarkStart w:id="20" w:name="page21"/>
    <w:bookmarkEnd w:id="20"/>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7"/>
          <w:szCs w:val="17"/>
          <w:u w:val="single" w:color="auto"/>
          <w:color w:val="auto"/>
        </w:rPr>
        <w:t>Data Protection Laws</w:t>
      </w:r>
      <w:r>
        <w:rPr>
          <w:rFonts w:ascii="Arial" w:cs="Arial" w:eastAsia="Arial" w:hAnsi="Arial"/>
          <w:sz w:val="17"/>
          <w:szCs w:val="17"/>
          <w:color w:val="auto"/>
        </w:rPr>
        <w:t>” shall mean (a) any Laws regulating the Processing of personal information, including the Health Insurance Portability and Accountability Act of 1996 (42 U.S.C. § 1320d et seq.), as amended by the Health Information Technology for Economic and Clinical Health Act, the European Union General Data Protection Regulation (EU) 2016/679 (the “GDPR”), any other Laws implementing the GDPR into national Law, Switzerland’s Federal Act on Data Protection of 19 June 1992 and Japan’s Act on the Protection of Personal Information; and (b) all binding pre-market and post-market guidance issued by the FDA regarding privacy and cybersecurity.</w:t>
      </w:r>
    </w:p>
    <w:p>
      <w:pPr>
        <w:spacing w:after="0" w:line="17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Requirements</w:t>
      </w:r>
      <w:r>
        <w:rPr>
          <w:rFonts w:ascii="Arial" w:cs="Arial" w:eastAsia="Arial" w:hAnsi="Arial"/>
          <w:sz w:val="18"/>
          <w:szCs w:val="18"/>
          <w:color w:val="auto"/>
        </w:rPr>
        <w:t>” shall mean (a) all Data Protection Laws applicable to the Company or any of its Subsidiaries, (b) the Company’s published and posted policies (including if posted on the Company’s or its Subsidiaries’ websites or provided in connection with the Company’s or its Subsidiaries’ products and services) relating to the Company’s Processing of Personal Information and (c) the terms of any Contracts binding on the Company or any of its Subsidiaries concerning the Processing of Personal Information.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DOJ</w:t>
      </w:r>
      <w:r>
        <w:rPr>
          <w:rFonts w:ascii="Arial" w:cs="Arial" w:eastAsia="Arial" w:hAnsi="Arial"/>
          <w:sz w:val="18"/>
          <w:szCs w:val="18"/>
          <w:color w:val="auto"/>
        </w:rPr>
        <w:t>” shall mean the United States Department of Justice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shall mean the European Medicines Agency or any successor thereto.</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all applicable Laws and Orders relating to the environment, preservation or reclamation of natural resources, the presence, management or Release of, or exposure to, any toxic or hazardous material, substance or waste, or to human health and safety (solely as it relates to exposure to any toxic or hazardous material, substance or waste or contamination in the environment), as each has been amended and the regulations promulgated pursuant thereto.</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and the rules and regulations promulgated thereunder, or any successor statute, rules and regulations thereto.</w:t>
      </w:r>
    </w:p>
    <w:p>
      <w:pPr>
        <w:spacing w:after="0" w:line="17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Person which is (or at any relevant time was) a member of a “controlled group of corporations” with, under “common control” with or a member of an “affiliated service group” with the Company or any of its Subsidiaries as such terms are defined in Section 414(b), (c), (m) or (o) of the Code.</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and the rules and regulations promulgated thereunder, or any successor statute, rules and regulations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mean the United States Food and Drug Administration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shall mean the United States Federal Trade Commission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as applied in the United States.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490" w:right="479" w:bottom="1440" w:gutter="0" w:footer="0" w:header="0"/>
        </w:sectPr>
      </w:pPr>
    </w:p>
    <w:bookmarkStart w:id="21" w:name="page22"/>
    <w:bookmarkEnd w:id="21"/>
    <w:p>
      <w:pPr>
        <w:ind w:left="4"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 any government, (b) any governmental or regulatory entity, body, department, commission, subdivision, board, administrative agency or instrumentality, (c) any court, tribunal, judicial body, or an arbitrator or arbitration panel, or (d) any quasi-governmental self-regulatory agency, securities exchange, commission or authority, in each of (a) through (d) whether supranational, national, federal, state, county, municipal, provincial, and whether local, domestic or foreign. For the avoidance of doubt, Governmental Authority includes the FDA, the EMA and any other similar domestic or foreign entity that regulates or has jurisdiction over the quality, identity, strength, purity, safety, efficacy, testing, manufacturing, marketing, distribution, sale, storage, pricing, import or export of any Company Product.</w:t>
      </w:r>
    </w:p>
    <w:p>
      <w:pPr>
        <w:spacing w:after="0" w:line="178"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w:t>
      </w:r>
      <w:r>
        <w:rPr>
          <w:rFonts w:ascii="Arial" w:cs="Arial" w:eastAsia="Arial" w:hAnsi="Arial"/>
          <w:sz w:val="16"/>
          <w:szCs w:val="16"/>
          <w:color w:val="auto"/>
        </w:rPr>
        <w:t>” shall mean any material, substance or waste that is defined, classified, or otherwise characterized under or pursuant to any Environmental Law as “hazardous,” “toxic,” a “pollutant,” a “contaminant,” “radioactive” or words of similar meaning or effect, including petroleum and its by-products, asbestos, polychlorinated biphenyls, per- and polyfluoroalkyl substances, radon, mold and urea formaldehyde insulation.</w:t>
      </w:r>
    </w:p>
    <w:p>
      <w:pPr>
        <w:spacing w:after="0" w:line="149"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Care Laws</w:t>
      </w:r>
      <w:r>
        <w:rPr>
          <w:rFonts w:ascii="Arial" w:cs="Arial" w:eastAsia="Arial" w:hAnsi="Arial"/>
          <w:sz w:val="16"/>
          <w:szCs w:val="16"/>
          <w:color w:val="auto"/>
        </w:rPr>
        <w:t xml:space="preserve">” shall mean, to the extent applicable, the Federal Food, Drug, and Cosmetic Act (21 U.S.C. §§ 301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Public Health Service Act (42 U.S.C. §§ 201 </w:t>
      </w:r>
      <w:r>
        <w:rPr>
          <w:rFonts w:ascii="Arial" w:cs="Arial" w:eastAsia="Arial" w:hAnsi="Arial"/>
          <w:sz w:val="16"/>
          <w:szCs w:val="16"/>
          <w:i w:val="1"/>
          <w:iCs w:val="1"/>
          <w:color w:val="auto"/>
        </w:rPr>
        <w:t>et seq</w:t>
      </w:r>
      <w:r>
        <w:rPr>
          <w:rFonts w:ascii="Arial" w:cs="Arial" w:eastAsia="Arial" w:hAnsi="Arial"/>
          <w:sz w:val="16"/>
          <w:szCs w:val="16"/>
          <w:color w:val="auto"/>
        </w:rPr>
        <w:t>.), the federal Anti-Kickback Statute (42 U.S.C. § 1320a-7b(b)), the Physician Payments Sunshine Act (42 U.S.C.</w:t>
      </w:r>
    </w:p>
    <w:p>
      <w:pPr>
        <w:ind w:left="4" w:right="240" w:hanging="4"/>
        <w:spacing w:after="0" w:line="323" w:lineRule="auto"/>
        <w:tabs>
          <w:tab w:leader="none" w:pos="1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1320a-7h), the civil False Claims Act (31 U.S.C. §§ 3729 </w:t>
      </w:r>
      <w:r>
        <w:rPr>
          <w:rFonts w:ascii="Arial" w:cs="Arial" w:eastAsia="Arial" w:hAnsi="Arial"/>
          <w:sz w:val="16"/>
          <w:szCs w:val="16"/>
          <w:i w:val="1"/>
          <w:iCs w:val="1"/>
          <w:color w:val="auto"/>
        </w:rPr>
        <w:t>et seq</w:t>
      </w:r>
      <w:r>
        <w:rPr>
          <w:rFonts w:ascii="Arial" w:cs="Arial" w:eastAsia="Arial" w:hAnsi="Arial"/>
          <w:sz w:val="16"/>
          <w:szCs w:val="16"/>
          <w:color w:val="auto"/>
        </w:rPr>
        <w:t>.), the criminal False Claims Law (42 U.S.C. § 1320a-7b(a)), the exclusion laws (42 U.S.C. § 1320a-7), the civil monetary penalties law (42 U.S.C. § 1320a-7a), in each case, as amended and the regulations promulgated thereunder.</w:t>
      </w:r>
    </w:p>
    <w:p>
      <w:pPr>
        <w:spacing w:after="0" w:line="138"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 and the rules and regulations promulgated thereunder, or any successor statute, rules and regulations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Incidental Contracts</w:t>
      </w:r>
      <w:r>
        <w:rPr>
          <w:rFonts w:ascii="Arial" w:cs="Arial" w:eastAsia="Arial" w:hAnsi="Arial"/>
          <w:sz w:val="17"/>
          <w:szCs w:val="17"/>
          <w:color w:val="auto"/>
        </w:rPr>
        <w:t>” shall mean (a) shrink-wrap, click-wrap and off-the-shelf Contracts for commercially available Software or services,</w:t>
      </w:r>
    </w:p>
    <w:p>
      <w:pPr>
        <w:spacing w:after="0" w:line="35" w:lineRule="exact"/>
        <w:rPr>
          <w:sz w:val="20"/>
          <w:szCs w:val="20"/>
          <w:color w:val="auto"/>
        </w:rPr>
      </w:pPr>
    </w:p>
    <w:p>
      <w:pPr>
        <w:ind w:left="4" w:right="220" w:hanging="4"/>
        <w:spacing w:after="0" w:line="255"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transfer agreements, (c) Contracts that are ancillary to a sale of products or services to customers or the purchase or use of Software, services, equipment, reagents or other materials, (d) non-disclosure agreements, and (e) Contracts between the Company or any of its Subsidiaries, on the one hand, and any of the Company’s Subsidiaries, on the other hand.</w:t>
      </w:r>
    </w:p>
    <w:p>
      <w:pPr>
        <w:spacing w:after="0" w:line="190"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shall mean, with respect to any Person, all Liabilities (including all obligations in respect of principal, interest, penalties, fees and premiums) of such Person or any of its Subsidiaries in respect of (a) any indebtedness for borrowed money (including the issuance of any debt security) to any other Person, (b) any obligations evidenced by notes, bonds, debentures or similar Contracts to any other Person, (c) any obligations in respect of letters of credit and bankers’ acceptances (other than undrawn letters of credit used as security for leases), bank guarantees, surety bonds and similar instruments, (d) obligations under interest rate, currency swap, hedging, cap, collar or future Contracts or other derivative instruments or agreements and any other arrangements designed to provide protection against fluctuations in interest or currency rates, (e) all indebtedness created or arising under any conditional sale or other title retention agreement with respect to property acquired or deferred purchase price of property or services, (f)</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4"/>
          </w:cols>
          <w:pgMar w:left="436" w:top="490" w:right="459" w:bottom="1440" w:gutter="0" w:footer="0" w:header="0"/>
        </w:sectPr>
      </w:pPr>
    </w:p>
    <w:bookmarkStart w:id="22" w:name="page23"/>
    <w:bookmarkEnd w:id="2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all obligations in respect of leases required to be capitalized under GAAP, (g) any securitization transaction or (h) any guaranty of any such Liabilities described in clauses (a) through (g) of any other Person other than a Subsidiary of such first Person (other than, in any case, (i) accounts payable to trade creditors and accrued expenses, in each case, arising in the ordinary course of business and (ii) Liabilities solely between such first Person and any of its wholly owned Subsidiaries or solely between any wholly owned Subsidiaries of such first Person (such Liabilities pursuant to this clause (ii), “</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all intellectual property, regardless of form, including: (a) published and unpublished works of authorship, including audiovisual works, collective works, Software, compilations, databases, derivative works, literary works and mask works (“</w:t>
      </w:r>
      <w:r>
        <w:rPr>
          <w:rFonts w:ascii="Arial" w:cs="Arial" w:eastAsia="Arial" w:hAnsi="Arial"/>
          <w:sz w:val="16"/>
          <w:szCs w:val="16"/>
          <w:u w:val="single" w:color="auto"/>
          <w:color w:val="auto"/>
        </w:rPr>
        <w:t>Works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Authorship</w:t>
      </w:r>
      <w:r>
        <w:rPr>
          <w:rFonts w:ascii="Arial" w:cs="Arial" w:eastAsia="Arial" w:hAnsi="Arial"/>
          <w:sz w:val="16"/>
          <w:szCs w:val="16"/>
          <w:color w:val="auto"/>
        </w:rPr>
        <w:t>”); (b) inventions and discoveries, including articles of manufacture, business methods, compositions of matter, improvements, machines, methods, and processes and new uses for any of the preceding items (“</w:t>
      </w:r>
      <w:r>
        <w:rPr>
          <w:rFonts w:ascii="Arial" w:cs="Arial" w:eastAsia="Arial" w:hAnsi="Arial"/>
          <w:sz w:val="16"/>
          <w:szCs w:val="16"/>
          <w:u w:val="single" w:color="auto"/>
          <w:color w:val="auto"/>
        </w:rPr>
        <w:t>Inventions</w:t>
      </w:r>
      <w:r>
        <w:rPr>
          <w:rFonts w:ascii="Arial" w:cs="Arial" w:eastAsia="Arial" w:hAnsi="Arial"/>
          <w:sz w:val="16"/>
          <w:szCs w:val="16"/>
          <w:color w:val="auto"/>
        </w:rPr>
        <w:t>”); (c) words, names, symbols, devices, designs, slogans, logos, trade dress and other designations, and combinations of the preceding items, used to identify or distinguish the origin of a business, good, group, product, or service or to indicate a form of certification (“</w:t>
      </w:r>
      <w:r>
        <w:rPr>
          <w:rFonts w:ascii="Arial" w:cs="Arial" w:eastAsia="Arial" w:hAnsi="Arial"/>
          <w:sz w:val="16"/>
          <w:szCs w:val="16"/>
          <w:u w:val="single" w:color="auto"/>
          <w:color w:val="auto"/>
        </w:rPr>
        <w:t>Trademarks</w:t>
      </w:r>
      <w:r>
        <w:rPr>
          <w:rFonts w:ascii="Arial" w:cs="Arial" w:eastAsia="Arial" w:hAnsi="Arial"/>
          <w:sz w:val="16"/>
          <w:szCs w:val="16"/>
          <w:color w:val="auto"/>
        </w:rPr>
        <w:t>”); (d) Internet domain names that are registered with any domain name registrar (“</w:t>
      </w:r>
      <w:r>
        <w:rPr>
          <w:rFonts w:ascii="Arial" w:cs="Arial" w:eastAsia="Arial" w:hAnsi="Arial"/>
          <w:sz w:val="16"/>
          <w:szCs w:val="16"/>
          <w:u w:val="single" w:color="auto"/>
          <w:color w:val="auto"/>
        </w:rPr>
        <w:t>Domain</w:t>
      </w:r>
      <w:r>
        <w:rPr>
          <w:rFonts w:ascii="Arial" w:cs="Arial" w:eastAsia="Arial" w:hAnsi="Arial"/>
          <w:sz w:val="16"/>
          <w:szCs w:val="16"/>
          <w:color w:val="auto"/>
        </w:rPr>
        <w:t xml:space="preserve"> </w:t>
      </w:r>
      <w:r>
        <w:rPr>
          <w:rFonts w:ascii="Arial" w:cs="Arial" w:eastAsia="Arial" w:hAnsi="Arial"/>
          <w:sz w:val="16"/>
          <w:szCs w:val="16"/>
          <w:u w:val="single" w:color="auto"/>
          <w:color w:val="auto"/>
        </w:rPr>
        <w:t>Names</w:t>
      </w:r>
      <w:r>
        <w:rPr>
          <w:rFonts w:ascii="Arial" w:cs="Arial" w:eastAsia="Arial" w:hAnsi="Arial"/>
          <w:sz w:val="16"/>
          <w:szCs w:val="16"/>
          <w:color w:val="auto"/>
        </w:rPr>
        <w:t>”); (e) trade secrets, know how, inventions, invention disclosures, formulae, methods, processes, protocols, specifications, techniques, technology, research and development information, business plans, including with respect to regulatory filings relating to investigational or approved medicines or medical devices, Drug Master Files (“</w:t>
      </w:r>
      <w:r>
        <w:rPr>
          <w:rFonts w:ascii="Arial" w:cs="Arial" w:eastAsia="Arial" w:hAnsi="Arial"/>
          <w:sz w:val="16"/>
          <w:szCs w:val="16"/>
          <w:u w:val="single" w:color="auto"/>
          <w:color w:val="auto"/>
        </w:rPr>
        <w:t>DMFs</w:t>
      </w:r>
      <w:r>
        <w:rPr>
          <w:rFonts w:ascii="Arial" w:cs="Arial" w:eastAsia="Arial" w:hAnsi="Arial"/>
          <w:sz w:val="16"/>
          <w:szCs w:val="16"/>
          <w:color w:val="auto"/>
        </w:rPr>
        <w:t>”), and the like (“</w:t>
      </w:r>
      <w:r>
        <w:rPr>
          <w:rFonts w:ascii="Arial" w:cs="Arial" w:eastAsia="Arial" w:hAnsi="Arial"/>
          <w:sz w:val="16"/>
          <w:szCs w:val="16"/>
          <w:u w:val="single" w:color="auto"/>
          <w:color w:val="auto"/>
        </w:rPr>
        <w:t>Trade Secrets</w:t>
      </w:r>
      <w:r>
        <w:rPr>
          <w:rFonts w:ascii="Arial" w:cs="Arial" w:eastAsia="Arial" w:hAnsi="Arial"/>
          <w:sz w:val="16"/>
          <w:szCs w:val="16"/>
          <w:color w:val="auto"/>
        </w:rPr>
        <w:t>”); (f) improvements, derivatives, modifications, enhancements, revisions and releases relating to any of the foregoing; and (g) instantiations of any of the foregoing in any form and embodied in any media.</w:t>
      </w:r>
    </w:p>
    <w:p>
      <w:pPr>
        <w:spacing w:after="0" w:line="16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mean all U.S. and foreign common Law and statutory rights in, arising out of, or associated with Intellectual Property in any jurisdiction, including (a) rights in, arising out of, or associated with Works of Authorship, including rights granted under the U.S. Copyright Act or analogous foreign common Law or statutory regime; (b) rights in, arising out of, or associated with Inventions, including rights granted under the U.S. Patent Act or analogous foreign common Law or statutory regime, including patents, utility models and inventors’ certificates and all disclosures, applications reissues, divisionals, re-examinations, renewals, substitutions, revisions, extensions, provisionals, continuations and continuations-in-part thereof; (c) rights in, arising out of, or associated with Trademarks, including rights granted under the Lanham Act or analogous foreign common Law or statutory regime; (d) rights in, arising out of, or associated with Trade Secrets, including rights granted under the Uniform Trade Secrets Act or analogous foreign common Law or statutory regime; (e) any rights associated with regulatory filings and approvals for medicines, medical devices or diagnostics, including regulatory, market or data exclusivity rights; (f) other proprietary rights in intellectual property of every kind and nature; (g) rights of privacy and publicity; (h) any rights in data, including data in databases and data collections (including clinical trial data, knowledge databases, customer lists and customer databases); and (i) all U.S. and foreign common Law and statutory rights to sue or recover and retain damages, costs or attorneys’ fees for past, present or future infringement, misappropriation or other violation of any of the foregoing. For the avoidance of doubt, Intellectual Property Rights include Registered Intellectual Property Rights.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490" w:right="459" w:bottom="1440" w:gutter="0" w:footer="0" w:header="0"/>
        </w:sectPr>
      </w:pPr>
    </w:p>
    <w:bookmarkStart w:id="23" w:name="page24"/>
    <w:bookmarkEnd w:id="23"/>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shall mean an Effect that (a) was not known to the Company Board as of the date of this Agreement or, if known, the material consequences of which were not reasonably foreseeable by the Company Board as of the date of this Agreement and (b) does not relate to an Acquisition Proposal;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Effect to the extent directly or indirectly resulting from, attributable to or arising out of any of the following shall (either alone or in combination) be taken into account when determining whether an Intervening Event has occurred: changes in the Company’s stock price or the trading volume of the Company’s stock, in and of itself, or the Company meeting or exceeding any estimates or expectations of the Company’s revenue, earnings or other financial performance or results of operations for any period, in and of itself, or the Company meeting or exceeding any internal budgets, plans or forecasts of its revenues, earnings or other financial performance or results of operations, in and of itself (but not, in each case, the underlying cause of such changes or facts, unless such changes or facts would otherwise be excepted from this definition of an Intervening Event).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U.S. Internal Revenue Service or any successor thereto.</w:t>
      </w:r>
    </w:p>
    <w:p>
      <w:pPr>
        <w:spacing w:after="0" w:line="22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Systems</w:t>
      </w:r>
      <w:r>
        <w:rPr>
          <w:rFonts w:ascii="Arial" w:cs="Arial" w:eastAsia="Arial" w:hAnsi="Arial"/>
          <w:sz w:val="18"/>
          <w:szCs w:val="18"/>
          <w:color w:val="auto"/>
        </w:rPr>
        <w:t>” shall mean the computers, Software, middleware, firmware, servers, workstations, routers, hubs, switches, data communications lines, all other information technology equipment and other information technology hardware, including any “Infrastructure-as-a-Service” or “Platform-as-a-Service” or other cloud or hybrid cloud services, and all associated documentation, in each case, used by the Company or any of its Subsidiaries.</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shall mean, (a) with respect to the Company, the actual knowledge of any of the individuals listed on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of the Company Disclosure Letter without investigation or further inquiry and (b) with respect to Parent or Merger Sub, the actual knowledge of the executive officers of Parent without investigation or further inquiry.</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shall mean any (a) civil, criminal or administrative actions, or (b) litigations, arbitrations or other proceeding, in each of (a) and (b) before any Governmental Authority.</w:t>
      </w:r>
    </w:p>
    <w:p>
      <w:pPr>
        <w:spacing w:after="0" w:line="170"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shall mean any liability, obligation or commitment of any kind (whether accrued, absolute, contingent, matured, unmatured or otherwise and whether or not required to be recorded or reflected on a balance sheet prepared in accordance with GAAP).</w:t>
      </w:r>
    </w:p>
    <w:p>
      <w:pPr>
        <w:spacing w:after="0" w:line="14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any “multiemployer plan” within the meaning of Section 3(37) or Section 4001(a)(3) of ERISA.</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490" w:right="459" w:bottom="1440" w:gutter="0" w:footer="0" w:header="0"/>
        </w:sectPr>
      </w:pPr>
    </w:p>
    <w:bookmarkStart w:id="24" w:name="page25"/>
    <w:bookmarkEnd w:id="2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NASDAQ</w:t>
      </w:r>
      <w:r>
        <w:rPr>
          <w:rFonts w:ascii="Arial" w:cs="Arial" w:eastAsia="Arial" w:hAnsi="Arial"/>
          <w:sz w:val="18"/>
          <w:szCs w:val="18"/>
          <w:color w:val="auto"/>
        </w:rPr>
        <w:t>” shall mean The Nasdaq Global Market.</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order, judgment, award, decision, decree, injunction, ruling, writ or assessment of any Governmental Authority (whether temporary, preliminary or permanent) that is binding on any Person or its property under applicable Law.</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shall mean franchises, grants, authorizations, establishment registrations, licenses, permits, easements, variances, exceptions, Consents, certificates, approvals and Orders of any Governmental Authority.</w:t>
      </w:r>
    </w:p>
    <w:p>
      <w:pPr>
        <w:spacing w:after="0" w:line="170"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shall mean any of the following: (a) Liens for Taxes, assessments and governmental charges or levies not yet delinquent or, if delinquent, that are being contested in good faith by appropriate proceedings and for which appropriate reserves have been established in the consolidated financial statements of the Company; (b) mechanics, carriers’, workmen’s, warehouseman’s, repairmen’s, materialmen’s, landlords’ or other Liens arising or incurred in the ordinary course of business relating to obligations as to which there is no default for a period greater than thirty</w:t>
      </w:r>
    </w:p>
    <w:p>
      <w:pPr>
        <w:spacing w:after="0" w:line="1" w:lineRule="exact"/>
        <w:rPr>
          <w:sz w:val="20"/>
          <w:szCs w:val="20"/>
          <w:color w:val="auto"/>
        </w:rPr>
      </w:pPr>
    </w:p>
    <w:p>
      <w:pPr>
        <w:ind w:left="4" w:hanging="4"/>
        <w:spacing w:after="0" w:line="281" w:lineRule="auto"/>
        <w:tabs>
          <w:tab w:leader="none" w:pos="3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days or that are being contested in good faith by appropriate proceedings and for which appropriate reserves have been established in the consolidated financial statements of the Company; (c) easements, covenants and rights of way (unrecorded and of record) and other similar restrictions, zoning, entitlements, conservation, building and other land use and environmental restrictions or regulations promulgated by Governmental Authorities, in each case, that do not materially and adversely impact the current use of the affected property; (d) Liens the existence of which are disclosed in the notes to the consolidated financial statements of the Company included in the Company’s Annual Report on Form 10-K for the year ended December 31, 2022, the Company’s subsequent Quarterly Reports on Form 10-Q or the Company’s subsequent Current Reports on Form 8-K; (e) all exceptions, restrictions, imperfections of title, charges and other non-monetary Liens that do not materially and adversely interfere with the present use of the assets of the Company and its Subsidiaries, taken as a whole; (f) Liens arising under any lines of credit or other credit facilities or arrangements of the Company or any of its Subsidiaries in effect on the date hereof (or any replacement facilities thereto permitted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(g) Liens incurred in the ordinary course of business in connection with workers’ compensation, unemployment insurance and other types of social security; and</w:t>
      </w:r>
    </w:p>
    <w:p>
      <w:pPr>
        <w:spacing w:after="0" w:line="5" w:lineRule="exact"/>
        <w:rPr>
          <w:rFonts w:ascii="Arial" w:cs="Arial" w:eastAsia="Arial" w:hAnsi="Arial"/>
          <w:sz w:val="16"/>
          <w:szCs w:val="16"/>
          <w:color w:val="auto"/>
        </w:rPr>
      </w:pPr>
    </w:p>
    <w:p>
      <w:pPr>
        <w:ind w:left="4" w:right="680"/>
        <w:spacing w:after="0" w:line="260" w:lineRule="auto"/>
        <w:rPr>
          <w:rFonts w:ascii="Arial" w:cs="Arial" w:eastAsia="Arial" w:hAnsi="Arial"/>
          <w:sz w:val="16"/>
          <w:szCs w:val="16"/>
          <w:color w:val="auto"/>
        </w:rPr>
      </w:pPr>
      <w:r>
        <w:rPr>
          <w:rFonts w:ascii="Arial" w:cs="Arial" w:eastAsia="Arial" w:hAnsi="Arial"/>
          <w:sz w:val="18"/>
          <w:szCs w:val="18"/>
          <w:color w:val="auto"/>
        </w:rPr>
        <w:t>(h) with respect to leased or non-exclusively licensed personal property or Intellectual Property, the terms and conditions of the lease or license applicable thereto.</w:t>
      </w:r>
    </w:p>
    <w:p>
      <w:pPr>
        <w:spacing w:after="0" w:line="185"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84"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shall have the same meaning as “personal data,” “personal information,” “protected health information,” or “personally identifiable information” under applicable Data Protection Laws.</w:t>
      </w:r>
    </w:p>
    <w:p>
      <w:pPr>
        <w:spacing w:after="0" w:line="170"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w:t>
      </w:r>
      <w:r>
        <w:rPr>
          <w:rFonts w:ascii="Arial" w:cs="Arial" w:eastAsia="Arial" w:hAnsi="Arial"/>
          <w:sz w:val="18"/>
          <w:szCs w:val="18"/>
          <w:color w:val="auto"/>
        </w:rPr>
        <w:t>” or “</w:t>
      </w:r>
      <w:r>
        <w:rPr>
          <w:rFonts w:ascii="Arial" w:cs="Arial" w:eastAsia="Arial" w:hAnsi="Arial"/>
          <w:sz w:val="18"/>
          <w:szCs w:val="18"/>
          <w:u w:val="single" w:color="auto"/>
          <w:color w:val="auto"/>
        </w:rPr>
        <w:t>Processing</w:t>
      </w:r>
      <w:r>
        <w:rPr>
          <w:rFonts w:ascii="Arial" w:cs="Arial" w:eastAsia="Arial" w:hAnsi="Arial"/>
          <w:sz w:val="18"/>
          <w:szCs w:val="18"/>
          <w:color w:val="auto"/>
        </w:rPr>
        <w:t>” shall mean, with respect to data, the access, use, collection, treatment, processing, storage, hosting, recording, organization, adaption, alteration, transfer, retrieval, transmittal, sharing, securing, maintenance, consultation, disclosure, retention, linkage, deletion, disposal or combination of such data.</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84"/>
          </w:cols>
          <w:pgMar w:left="436" w:top="490" w:right="479" w:bottom="1440" w:gutter="0" w:footer="0" w:header="0"/>
        </w:sectPr>
      </w:pPr>
    </w:p>
    <w:bookmarkStart w:id="25" w:name="page26"/>
    <w:bookmarkEnd w:id="25"/>
    <w:p>
      <w:pPr>
        <w:ind w:left="4" w:right="1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7"/>
          <w:szCs w:val="17"/>
          <w:u w:val="single" w:color="auto"/>
          <w:color w:val="auto"/>
        </w:rPr>
        <w:t>Registered Intellectual Property Rights</w:t>
      </w:r>
      <w:r>
        <w:rPr>
          <w:rFonts w:ascii="Arial" w:cs="Arial" w:eastAsia="Arial" w:hAnsi="Arial"/>
          <w:sz w:val="17"/>
          <w:szCs w:val="17"/>
          <w:color w:val="auto"/>
        </w:rPr>
        <w:t>” shall mean all Domain Names and all Intellectual Property Rights that are the subject of an application, certificate, filing, registration, or other document issued by, filed with, or recorded by, any Governmental Authority in any jurisdiction.</w:t>
      </w:r>
    </w:p>
    <w:p>
      <w:pPr>
        <w:spacing w:after="0" w:line="146"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mean any release, spill, emission, discharge, leaking, pouring, dumping or emptying, pumping, injection, deposit, disposal, dispersal, leaching or migration into, on, through or from the indoor or outdoor environment (including soil, ambient air, surface water, groundwater and surface or subsurface strata) or any property.</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shall mean with respect to any Person, its directors, officers or other employees, controlled Affiliates, or any investment banker, attorney or other authorized agent or representative retained by such Person.</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shall mean the Sarbanes-Oxley Act of 2002, and the rules and regulations promulgated thereunder, or any successor statute, rules or regulations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 or any successor thereto.</w:t>
      </w:r>
    </w:p>
    <w:p>
      <w:pPr>
        <w:spacing w:after="0" w:line="225"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and the rules and regulations promulgated thereunder, or any successor statute, rules or regulations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shall mean each outstanding share of Class A Common Stock or Class B Common Stock.</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all (a) software, firmware, computer programs and applications (whether in source code, object code or other form),</w:t>
      </w:r>
    </w:p>
    <w:p>
      <w:pPr>
        <w:spacing w:after="0" w:line="35" w:lineRule="exact"/>
        <w:rPr>
          <w:sz w:val="20"/>
          <w:szCs w:val="20"/>
          <w:color w:val="auto"/>
        </w:rPr>
      </w:pPr>
    </w:p>
    <w:p>
      <w:pPr>
        <w:ind w:left="4" w:right="380" w:hanging="4"/>
        <w:spacing w:after="0" w:line="260" w:lineRule="auto"/>
        <w:tabs>
          <w:tab w:leader="none" w:pos="2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algorithms, models and methodologies, and any software implementations thereof, (c) databases related to the foregoing and (d) documentation, specifications, protocols, development tools and other technology used in supporting any of the foregoing categories.</w:t>
      </w:r>
    </w:p>
    <w:p>
      <w:pPr>
        <w:spacing w:after="0" w:line="18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shall mean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w:t>
      </w:r>
    </w:p>
    <w:p>
      <w:pPr>
        <w:spacing w:after="0" w:line="1" w:lineRule="exact"/>
        <w:rPr>
          <w:sz w:val="20"/>
          <w:szCs w:val="20"/>
          <w:color w:val="auto"/>
        </w:rPr>
      </w:pPr>
    </w:p>
    <w:p>
      <w:pPr>
        <w:ind w:left="4" w:right="20" w:hanging="4"/>
        <w:spacing w:after="0" w:line="253"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23" w:lineRule="exact"/>
        <w:rPr>
          <w:rFonts w:ascii="Arial" w:cs="Arial" w:eastAsia="Arial" w:hAnsi="Arial"/>
          <w:sz w:val="18"/>
          <w:szCs w:val="18"/>
          <w:color w:val="auto"/>
        </w:rPr>
      </w:pPr>
    </w:p>
    <w:p>
      <w:pPr>
        <w:ind w:left="5424" w:hanging="111"/>
        <w:spacing w:after="0"/>
        <w:tabs>
          <w:tab w:leader="none" w:pos="54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4"/>
          </w:cols>
          <w:pgMar w:left="436" w:top="490" w:right="459" w:bottom="1440" w:gutter="0" w:footer="0" w:header="0"/>
        </w:sectPr>
      </w:pPr>
    </w:p>
    <w:bookmarkStart w:id="26" w:name="page27"/>
    <w:bookmarkEnd w:id="26"/>
    <w:p>
      <w:pPr>
        <w:ind w:right="16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 written, bona fide Acquisition Proposal that did not result from a breach in any material respect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for a transaction or series of related transactions contemplated by clauses (a), (b) or (c) of the definition of “</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xml:space="preserve">” on terms that the Company Board determines in good faith, after consultation with outside legal counsel and its financial advisor(s), taking into account all financial, legal, regulatory, timing and other aspects of such Acquisition Proposal, to be more favorable to the Company Stockholders, from a financial point of view, than the transactions contemplated by this Agreement (including any adjustment to the terms and conditions proposed by Parent in response to such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the reference to an “Acquisition Proposal” in this definition of a “Superior Proposal,” all references to (a) “more than twenty-five percent (25%)” in the definition of “Acquisition Transaction” shall be deemed to be references to “a majority” and (b) “less than seventy-five percent (75%)” shall be deemed to be references to “less than a majority.”</w:t>
      </w:r>
    </w:p>
    <w:p>
      <w:pPr>
        <w:spacing w:after="0" w:line="16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mean tax or similar duty, fee or charge imposed by any Governmental Authority, in each case in the nature of a tax, including any interest, penalty or addition thereto imposed with respect to such amount by such Governmental Authority.</w:t>
      </w:r>
    </w:p>
    <w:p>
      <w:pPr>
        <w:spacing w:after="0" w:line="170"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shall mean any report, declaration, return, information return or statement filed or required or permitted to be filed with any Governmental Authority relating to Taxes, including any schedule or attachment thereto, and including any amendments thereof.</w:t>
      </w:r>
    </w:p>
    <w:p>
      <w:pPr>
        <w:spacing w:after="0" w:line="146"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shall mean a material breach of this Agreement that is the consequence of an act or omission by the breaching party with the actual knowledge that the taking of such act or failure to take such action would reasonably be expected to result in or constitute a material breach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Additional Definitions</w:t>
      </w:r>
      <w:r>
        <w:rPr>
          <w:rFonts w:ascii="Arial" w:cs="Arial" w:eastAsia="Arial" w:hAnsi="Arial"/>
          <w:sz w:val="16"/>
          <w:szCs w:val="16"/>
          <w:color w:val="auto"/>
        </w:rPr>
        <w:t>. The following capitalized terms shall have the respective meanings ascribed thereto in the respective sections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set forth opposite each of the capitalized terms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w:t>
            </w:r>
          </w:p>
        </w:tc>
        <w:tc>
          <w:tcPr>
            <w:tcW w:w="3900" w:type="dxa"/>
            <w:vAlign w:val="bottom"/>
          </w:tcPr>
          <w:p>
            <w:pPr>
              <w:spacing w:after="0"/>
              <w:rPr>
                <w:sz w:val="16"/>
                <w:szCs w:val="16"/>
                <w:color w:val="auto"/>
              </w:rPr>
            </w:pPr>
          </w:p>
        </w:tc>
        <w:tc>
          <w:tcPr>
            <w:tcW w:w="6820" w:type="dxa"/>
            <w:vAlign w:val="bottom"/>
            <w:gridSpan w:val="3"/>
          </w:tcPr>
          <w:p>
            <w:pPr>
              <w:jc w:val="right"/>
              <w:ind w:right="60"/>
              <w:spacing w:after="0"/>
              <w:rPr>
                <w:sz w:val="20"/>
                <w:szCs w:val="20"/>
                <w:color w:val="auto"/>
              </w:rPr>
            </w:pPr>
            <w:r>
              <w:rPr>
                <w:rFonts w:ascii="Arial" w:cs="Arial" w:eastAsia="Arial" w:hAnsi="Arial"/>
                <w:sz w:val="14"/>
                <w:szCs w:val="14"/>
                <w:color w:val="auto"/>
              </w:rPr>
              <w:t>Section Reference</w:t>
            </w:r>
          </w:p>
        </w:tc>
      </w:tr>
      <w:tr>
        <w:trPr>
          <w:trHeight w:val="203"/>
        </w:trPr>
        <w:tc>
          <w:tcPr>
            <w:tcW w:w="4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Agreement</w:t>
            </w:r>
          </w:p>
        </w:tc>
        <w:tc>
          <w:tcPr>
            <w:tcW w:w="5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Preamble</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Book-Entry Shares</w:t>
            </w:r>
          </w:p>
        </w:tc>
        <w:tc>
          <w:tcPr>
            <w:tcW w:w="57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2.8(c)(ii)</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Burdensome Condition</w:t>
            </w:r>
          </w:p>
        </w:tc>
        <w:tc>
          <w:tcPr>
            <w:tcW w:w="5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Canceled Shares</w:t>
            </w:r>
          </w:p>
        </w:tc>
        <w:tc>
          <w:tcPr>
            <w:tcW w:w="57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2.7(a)(ii)</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Capitalization Date</w:t>
            </w:r>
          </w:p>
        </w:tc>
        <w:tc>
          <w:tcPr>
            <w:tcW w:w="5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w:t>
            </w:r>
          </w:p>
        </w:tc>
        <w:tc>
          <w:tcPr>
            <w:tcW w:w="5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2.8(c)(i)</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Change of Recommendation Notice</w:t>
            </w:r>
          </w:p>
        </w:tc>
        <w:tc>
          <w:tcPr>
            <w:tcW w:w="57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5.3(b)</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COBRA</w:t>
            </w:r>
          </w:p>
        </w:tc>
        <w:tc>
          <w:tcPr>
            <w:tcW w:w="5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3.13(d)</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57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Preamble</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Board</w:t>
            </w:r>
          </w:p>
        </w:tc>
        <w:tc>
          <w:tcPr>
            <w:tcW w:w="5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Recitals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Company Board Recommendation</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Board Recommendation Change</w:t>
            </w:r>
          </w:p>
        </w:tc>
        <w:tc>
          <w:tcPr>
            <w:tcW w:w="5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5.3(a)</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Company Disclosure Letter</w:t>
            </w:r>
          </w:p>
        </w:tc>
        <w:tc>
          <w:tcPr>
            <w:tcW w:w="57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Article III</w:t>
            </w:r>
          </w:p>
        </w:tc>
      </w:tr>
      <w:tr>
        <w:trPr>
          <w:trHeight w:val="350"/>
        </w:trPr>
        <w:tc>
          <w:tcPr>
            <w:tcW w:w="3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720" w:type="dxa"/>
            <w:vAlign w:val="bottom"/>
          </w:tcPr>
          <w:p>
            <w:pPr>
              <w:jc w:val="right"/>
              <w:ind w:right="4133"/>
              <w:spacing w:after="0"/>
              <w:rPr>
                <w:sz w:val="20"/>
                <w:szCs w:val="20"/>
                <w:color w:val="auto"/>
              </w:rPr>
            </w:pPr>
            <w:r>
              <w:rPr>
                <w:rFonts w:ascii="Arial" w:cs="Arial" w:eastAsia="Arial" w:hAnsi="Arial"/>
                <w:sz w:val="18"/>
                <w:szCs w:val="18"/>
                <w:color w:val="auto"/>
              </w:rPr>
              <w:t>- 13 -</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490" w:right="4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w:t>
            </w:r>
          </w:p>
        </w:tc>
        <w:tc>
          <w:tcPr>
            <w:tcW w:w="3360" w:type="dxa"/>
            <w:vAlign w:val="bottom"/>
          </w:tcPr>
          <w:p>
            <w:pPr>
              <w:spacing w:after="0"/>
              <w:rPr>
                <w:sz w:val="16"/>
                <w:szCs w:val="16"/>
                <w:color w:val="auto"/>
              </w:rPr>
            </w:pPr>
          </w:p>
        </w:tc>
        <w:tc>
          <w:tcPr>
            <w:tcW w:w="7360" w:type="dxa"/>
            <w:vAlign w:val="bottom"/>
            <w:gridSpan w:val="3"/>
          </w:tcPr>
          <w:p>
            <w:pPr>
              <w:jc w:val="right"/>
              <w:ind w:right="60"/>
              <w:spacing w:after="0"/>
              <w:rPr>
                <w:sz w:val="20"/>
                <w:szCs w:val="20"/>
                <w:color w:val="auto"/>
              </w:rPr>
            </w:pPr>
            <w:r>
              <w:rPr>
                <w:rFonts w:ascii="Arial" w:cs="Arial" w:eastAsia="Arial" w:hAnsi="Arial"/>
                <w:sz w:val="14"/>
                <w:szCs w:val="14"/>
                <w:color w:val="auto"/>
              </w:rPr>
              <w:t>Section Reference</w:t>
            </w: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Company Financial Advisor</w:t>
            </w:r>
          </w:p>
        </w:tc>
        <w:tc>
          <w:tcPr>
            <w:tcW w:w="6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Company SEC Reports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3.8(a)</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Securities</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3.2(c)</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8.3(c)</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Confidentiality Agreement</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D&amp;O Insurance</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6.8(c)</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DGCL</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Recitals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2.7(c)(i)</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Domain Names</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Effect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Time</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Enforceability Exceptions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Fund</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2.8(b)</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FDA Permits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3.22(b)</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Exercise Date</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2.7(f)</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Final Offering Periods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2.7(f)</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Antitrust Laws</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Indemnified Persons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6.8(a)</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Indemnified Proceeding</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6.8(b)</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Intercompany Indebtedness</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Inventions</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2.8(c)(i)</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 Contract</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Recitals</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Consideration</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2.7(a)(i)</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Preamble</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Plans</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6.9(c)</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6.9(c)</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Consideration</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2.7(d)</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Parent</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Preamble</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Termination Fee</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8.3(d)</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2.8(a)</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Payor</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Plans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3.13(a)</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Proxy Statement</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6.1(a)</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Real Property Leases</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3.20(b)</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 Consideration</w:t>
            </w:r>
          </w:p>
        </w:tc>
        <w:tc>
          <w:tcPr>
            <w:tcW w:w="6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Solvent</w:t>
            </w:r>
          </w:p>
        </w:tc>
        <w:tc>
          <w:tcPr>
            <w:tcW w:w="732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 Approval</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Stockholders Meeting</w:t>
            </w:r>
          </w:p>
        </w:tc>
        <w:tc>
          <w:tcPr>
            <w:tcW w:w="6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6.1(c)</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6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8.1(b)(i)</w:t>
            </w:r>
          </w:p>
        </w:tc>
      </w:tr>
      <w:tr>
        <w:trPr>
          <w:trHeight w:val="350"/>
        </w:trPr>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60" w:type="dxa"/>
            <w:vAlign w:val="bottom"/>
          </w:tcPr>
          <w:p>
            <w:pPr>
              <w:jc w:val="right"/>
              <w:ind w:right="4131"/>
              <w:spacing w:after="0"/>
              <w:rPr>
                <w:sz w:val="20"/>
                <w:szCs w:val="20"/>
                <w:color w:val="auto"/>
              </w:rPr>
            </w:pPr>
            <w:r>
              <w:rPr>
                <w:rFonts w:ascii="Arial" w:cs="Arial" w:eastAsia="Arial" w:hAnsi="Arial"/>
                <w:sz w:val="18"/>
                <w:szCs w:val="18"/>
                <w:color w:val="auto"/>
              </w:rPr>
              <w:t>- 14 -</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485" w:right="43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1.3 </w:t>
      </w:r>
      <w:r>
        <w:rPr>
          <w:rFonts w:ascii="Arial" w:cs="Arial" w:eastAsia="Arial" w:hAnsi="Arial"/>
          <w:sz w:val="18"/>
          <w:szCs w:val="18"/>
          <w:u w:val="single" w:color="auto"/>
          <w:color w:val="auto"/>
        </w:rPr>
        <w:t>Certain Interpretations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57"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indicated, all references herein to Articles, Sections, Annexes, Exhibits or Schedules, shall be deemed to refer to Articles, Sections, Annexes, Exhibits or Schedules of or to this Agreement, as applicable, and all references herein to “paragraphs” or “clauses” shall be deemed references to separate paragraphs or clauses of the section or subsection in which the reference occurs. The words “hereof,” “herein,” “hereby,” “herewith” and words of similar import shall, unless otherwise stated, be construed to refer to this Agreement as a whole and not to any particular provision of this Agreement.</w:t>
      </w:r>
    </w:p>
    <w:p>
      <w:pPr>
        <w:spacing w:after="0" w:line="79"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indicated, the words “include,” “includes” and “including,” when used herein, shall be deemed in each case to be followed by the words “without limitation.”</w:t>
      </w:r>
    </w:p>
    <w:p>
      <w:pPr>
        <w:spacing w:after="0" w:line="62" w:lineRule="exact"/>
        <w:rPr>
          <w:rFonts w:ascii="Arial" w:cs="Arial" w:eastAsia="Arial" w:hAnsi="Arial"/>
          <w:sz w:val="18"/>
          <w:szCs w:val="18"/>
          <w:color w:val="auto"/>
        </w:rPr>
      </w:pPr>
    </w:p>
    <w:p>
      <w:pPr>
        <w:ind w:right="520" w:firstLine="987"/>
        <w:spacing w:after="0" w:line="277"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indicated, all references herein to the Subsidiaries of a Person shall be deemed to include all direct and indirect Subsidiaries of such Person unless otherwise indicated or the context otherwise requires.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 term is defined as one part of speech (such as a noun), it shall have a corresponding meaning when used as another part of speech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as a verb).</w:t>
      </w:r>
    </w:p>
    <w:p>
      <w:pPr>
        <w:spacing w:after="0" w:line="102" w:lineRule="exact"/>
        <w:rPr>
          <w:rFonts w:ascii="Arial" w:cs="Arial" w:eastAsia="Arial" w:hAnsi="Arial"/>
          <w:sz w:val="16"/>
          <w:szCs w:val="16"/>
          <w:color w:val="auto"/>
        </w:rPr>
      </w:pPr>
    </w:p>
    <w:p>
      <w:pPr>
        <w:ind w:right="40" w:firstLine="987"/>
        <w:spacing w:after="0" w:line="277" w:lineRule="auto"/>
        <w:tabs>
          <w:tab w:leader="none" w:pos="12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Whenever the context may require, any pronouns used in this Agreement shall include the corresponding masculine, feminine or neuter forms, and the singular form of nouns and pronouns shall include the plural, and vice versa.</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“or” is not exclusive.</w:t>
      </w:r>
    </w:p>
    <w:p>
      <w:pPr>
        <w:spacing w:after="0" w:line="117" w:lineRule="exact"/>
        <w:rPr>
          <w:rFonts w:ascii="Arial" w:cs="Arial" w:eastAsia="Arial" w:hAnsi="Arial"/>
          <w:sz w:val="18"/>
          <w:szCs w:val="18"/>
          <w:color w:val="auto"/>
        </w:rPr>
      </w:pPr>
    </w:p>
    <w:p>
      <w:pPr>
        <w:ind w:firstLine="987"/>
        <w:spacing w:after="0" w:line="277" w:lineRule="auto"/>
        <w:tabs>
          <w:tab w:leader="none" w:pos="12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used herein, the word “extent” and the phrase “to the extent” shall mean the degree to which a subject or other thing extends, and such word or phrase shall not simply mean “if.”</w:t>
      </w:r>
    </w:p>
    <w:p>
      <w:pPr>
        <w:spacing w:after="0" w:line="62" w:lineRule="exact"/>
        <w:rPr>
          <w:rFonts w:ascii="Arial" w:cs="Arial" w:eastAsia="Arial" w:hAnsi="Arial"/>
          <w:sz w:val="18"/>
          <w:szCs w:val="18"/>
          <w:color w:val="auto"/>
        </w:rPr>
      </w:pPr>
    </w:p>
    <w:p>
      <w:pPr>
        <w:ind w:right="60" w:firstLine="987"/>
        <w:spacing w:after="0" w:line="277" w:lineRule="auto"/>
        <w:tabs>
          <w:tab w:leader="none" w:pos="12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References to “$” and “dollars” are to the currency of the United States of America.</w:t>
      </w:r>
    </w:p>
    <w:p>
      <w:pPr>
        <w:spacing w:after="0" w:line="117" w:lineRule="exact"/>
        <w:rPr>
          <w:rFonts w:ascii="Arial" w:cs="Arial" w:eastAsia="Arial" w:hAnsi="Arial"/>
          <w:sz w:val="18"/>
          <w:szCs w:val="18"/>
          <w:color w:val="auto"/>
        </w:rPr>
      </w:pPr>
    </w:p>
    <w:p>
      <w:pPr>
        <w:ind w:right="740" w:firstLine="987"/>
        <w:spacing w:after="0" w:line="277" w:lineRule="auto"/>
        <w:tabs>
          <w:tab w:leader="none" w:pos="1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dollar or percentage thresholds set forth herein shall not be used as a benchmark for the determination of what is or is not “material” or a Company Material Adverse Effect under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“Writing,” “written” and comparable terms refer to printing, typing and other means of reproducing words (including electronic media)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a visible form.</w:t>
      </w:r>
    </w:p>
    <w:p>
      <w:pPr>
        <w:spacing w:after="0" w:line="102" w:lineRule="exact"/>
        <w:rPr>
          <w:rFonts w:ascii="Arial" w:cs="Arial" w:eastAsia="Arial" w:hAnsi="Arial"/>
          <w:sz w:val="16"/>
          <w:szCs w:val="16"/>
          <w:color w:val="auto"/>
        </w:rPr>
      </w:pPr>
    </w:p>
    <w:p>
      <w:pPr>
        <w:ind w:right="60" w:firstLine="987"/>
        <w:spacing w:after="0" w:line="342" w:lineRule="auto"/>
        <w:tabs>
          <w:tab w:leader="none" w:pos="12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References to any statute or Law shall be deemed to refer to such statute or Law as amended from time to time and to any rules or regulations promulgated thereunder (whether or not the definition of such statute or Law includes a reference to such amendments, rules or regulations).</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20"/>
          </w:cols>
          <w:pgMar w:left="440" w:top="490" w:right="439" w:bottom="1440" w:gutter="0" w:footer="0" w:header="0"/>
        </w:sectPr>
      </w:pPr>
    </w:p>
    <w:bookmarkStart w:id="29" w:name="page30"/>
    <w:bookmarkEnd w:id="29"/>
    <w:p>
      <w:pPr>
        <w:ind w:left="1304" w:hanging="313"/>
        <w:spacing w:after="0"/>
        <w:tabs>
          <w:tab w:leader="none" w:pos="1304" w:val="left"/>
        </w:tabs>
        <w:numPr>
          <w:ilvl w:val="1"/>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Except as otherwise specified, (i) references to any Person include the successors and permitted assigns of that Person, and</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references from or through any date mean from and including or through and including, respectively.</w:t>
      </w:r>
    </w:p>
    <w:p>
      <w:pPr>
        <w:spacing w:after="0" w:line="102" w:lineRule="exact"/>
        <w:rPr>
          <w:rFonts w:ascii="Arial" w:cs="Arial" w:eastAsia="Arial" w:hAnsi="Arial"/>
          <w:sz w:val="18"/>
          <w:szCs w:val="18"/>
          <w:color w:val="auto"/>
        </w:rPr>
      </w:pPr>
    </w:p>
    <w:p>
      <w:pPr>
        <w:ind w:left="4" w:firstLine="987"/>
        <w:spacing w:after="0" w:line="263" w:lineRule="auto"/>
        <w:tabs>
          <w:tab w:leader="none" w:pos="12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75" w:lineRule="exact"/>
        <w:rPr>
          <w:rFonts w:ascii="Arial" w:cs="Arial" w:eastAsia="Arial" w:hAnsi="Arial"/>
          <w:sz w:val="18"/>
          <w:szCs w:val="18"/>
          <w:color w:val="auto"/>
        </w:rPr>
      </w:pPr>
    </w:p>
    <w:p>
      <w:pPr>
        <w:ind w:left="4" w:right="200" w:firstLine="987"/>
        <w:spacing w:after="0" w:line="259" w:lineRule="auto"/>
        <w:tabs>
          <w:tab w:leader="none" w:pos="12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Where used with respect to information, the phrases “delivered” or “made available” means that the information referred to has been physically or electronically delivered to the relevant parties or their respective Representatives, including in the case of “made available” to Parent, Merger Sub or their Representatives, material that has been posted in the “virtual data room” established by the Company at least one day prior to the date hereof.</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and in accordance with the DGCL, at the Effective Time, Merger Sub shall be merged with and into the Company. As a result of the Merger, the separate corporate existence of Merger Sub shall thereupon cease and the Company shall continue as the surviving corporation of the Merger and as a Subsidiary of Parent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The Merger shall be governed by and effected pursuant to the applicable provisions of the DGCL.</w:t>
      </w:r>
    </w:p>
    <w:p>
      <w:pPr>
        <w:spacing w:after="0" w:line="79"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The Effective Time</w:t>
      </w:r>
      <w:r>
        <w:rPr>
          <w:rFonts w:ascii="Arial" w:cs="Arial" w:eastAsia="Arial" w:hAnsi="Arial"/>
          <w:sz w:val="17"/>
          <w:szCs w:val="17"/>
          <w:color w:val="auto"/>
        </w:rPr>
        <w:t>. Upon the terms and subject to the conditions set forth in this Agreement, on the Closing Date, Parent, Merger Sub and the Company shall cause the Merger to be consummated under the DGCL by filing a certificate of merger in such form as required by, and executed in accordance with,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with the Secretary of State of the State of Delaware, and shall take such further actions as may be required to make the Merger effective on the Closing Date. The Merger shall become effective at the time and day of the filing of the Certificate of Merger with the Secretary of State of the State of Delaware, or such later time and day as may be agreed in writing by Parent and the Company and specified in the Certificate of Merger (such time and date being referred to herein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70"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The Closing</w:t>
      </w:r>
      <w:r>
        <w:rPr>
          <w:rFonts w:ascii="Arial" w:cs="Arial" w:eastAsia="Arial" w:hAnsi="Arial"/>
          <w:sz w:val="18"/>
          <w:szCs w:val="18"/>
          <w:color w:val="auto"/>
        </w:rPr>
        <w:t>. The consummation of the Merger shall take place by electronic exchange of signatures and documents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at 9:00 a.m., New York time, on a date to be specified by the parties, which shall be not later than the third (3rd) Business Day after the satisfaction (or waiver, if permitted by applicable Law) of the last to be satisfied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those conditions that, by their nature, are to be satisfied at the Closing, but subject to the satisfaction (or waiver, if permitted by applicable Law) of those conditions), or at such other location, date and time as Parent and the Company shall mutually agree upon in writing. The date upon which the Closing shall actually occur pursuant hereto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4"/>
          </w:cols>
          <w:pgMar w:left="436" w:top="490" w:right="459" w:bottom="1440" w:gutter="0" w:footer="0" w:header="0"/>
        </w:sectPr>
      </w:pPr>
    </w:p>
    <w:bookmarkStart w:id="30" w:name="page31"/>
    <w:bookmarkEnd w:id="30"/>
    <w:p>
      <w:pPr>
        <w:ind w:right="1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2.4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Merger shall have the effects provided in this Agreement and the applicable provisions of the DGCL. Without limiting the generality of the foregoing, and subject thereto, at the Effective Time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 in each case, except as provided by the DGCL.</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Certificate of Incorporation and Bylaws.</w:t>
      </w:r>
    </w:p>
    <w:p>
      <w:pPr>
        <w:spacing w:after="0" w:line="117" w:lineRule="exact"/>
        <w:rPr>
          <w:sz w:val="20"/>
          <w:szCs w:val="20"/>
          <w:color w:val="auto"/>
        </w:rPr>
      </w:pPr>
    </w:p>
    <w:p>
      <w:pPr>
        <w:jc w:val="both"/>
        <w:ind w:right="220" w:firstLine="987"/>
        <w:spacing w:after="0" w:line="259" w:lineRule="auto"/>
        <w:tabs>
          <w:tab w:leader="none" w:pos="123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xml:space="preserve">. At the Effective Time, subject to the provisions of </w:t>
      </w:r>
      <w:r>
        <w:rPr>
          <w:rFonts w:ascii="Arial" w:cs="Arial" w:eastAsia="Arial" w:hAnsi="Arial"/>
          <w:sz w:val="18"/>
          <w:szCs w:val="18"/>
          <w:u w:val="single" w:color="auto"/>
          <w:color w:val="auto"/>
        </w:rPr>
        <w:t>Section 6.8(a)</w:t>
      </w:r>
      <w:r>
        <w:rPr>
          <w:rFonts w:ascii="Arial" w:cs="Arial" w:eastAsia="Arial" w:hAnsi="Arial"/>
          <w:sz w:val="18"/>
          <w:szCs w:val="18"/>
          <w:color w:val="auto"/>
        </w:rPr>
        <w:t xml:space="preserve">, by virtue of the Merger and without necessity of further action by the Company or any other Person, the certificate of incorporation of the Company shall be amended and restated in its entirety to read in its entirety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as so amended and restated shall be the certificate of incorporation of the Surviving Corporation until thereafter amended as provided therein or by applicable Law.</w:t>
      </w:r>
    </w:p>
    <w:p>
      <w:pPr>
        <w:spacing w:after="0" w:line="78" w:lineRule="exact"/>
        <w:rPr>
          <w:rFonts w:ascii="Arial" w:cs="Arial" w:eastAsia="Arial" w:hAnsi="Arial"/>
          <w:sz w:val="18"/>
          <w:szCs w:val="18"/>
          <w:color w:val="auto"/>
        </w:rPr>
      </w:pPr>
    </w:p>
    <w:p>
      <w:pPr>
        <w:ind w:firstLine="987"/>
        <w:spacing w:after="0" w:line="259" w:lineRule="auto"/>
        <w:tabs>
          <w:tab w:leader="none" w:pos="124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Bylaws</w:t>
      </w:r>
      <w:r>
        <w:rPr>
          <w:rFonts w:ascii="Arial" w:cs="Arial" w:eastAsia="Arial" w:hAnsi="Arial"/>
          <w:sz w:val="18"/>
          <w:szCs w:val="18"/>
          <w:color w:val="auto"/>
        </w:rPr>
        <w:t xml:space="preserve">. At the Effective Time, subject to the provisions of </w:t>
      </w:r>
      <w:r>
        <w:rPr>
          <w:rFonts w:ascii="Arial" w:cs="Arial" w:eastAsia="Arial" w:hAnsi="Arial"/>
          <w:sz w:val="18"/>
          <w:szCs w:val="18"/>
          <w:u w:val="single" w:color="auto"/>
          <w:color w:val="auto"/>
        </w:rPr>
        <w:t>Section 6.8(a)</w:t>
      </w:r>
      <w:r>
        <w:rPr>
          <w:rFonts w:ascii="Arial" w:cs="Arial" w:eastAsia="Arial" w:hAnsi="Arial"/>
          <w:sz w:val="18"/>
          <w:szCs w:val="18"/>
          <w:color w:val="auto"/>
        </w:rPr>
        <w:t xml:space="preserve">, the parties hereto shall take all necessary action such that the bylaws of the Company shall be amended and restated in their entirety to read in their entirety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as so amended and restated, shall be the bylaws of the Surviving Corporation until thereafter amended as provided therein, in the certificate of incorporation of the Surviving Corporation or in accordance with applicable Law.</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5"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At the Effective Time, the Company and the Surviving Corporation shall take all necessary action such that the directors of Merger Sub immediately prior to the Effective Time, or such other individuals designated by Parent as of the Effective Time, shall become the directors of the Surviving Corporation, each to hold office, from and after the Effective Time, in accordance with the certificate of incorporation and bylaws of the Surviving Corporation until their respective successors shall have been duly elected and qualified, or until their earlier death, resignation or removal in accordance with the DGCL and the certificate of incorporation and bylaws of the Surviving Corporation.</w:t>
      </w:r>
    </w:p>
    <w:p>
      <w:pPr>
        <w:spacing w:after="0" w:line="68" w:lineRule="exact"/>
        <w:rPr>
          <w:rFonts w:ascii="Arial" w:cs="Arial" w:eastAsia="Arial" w:hAnsi="Arial"/>
          <w:sz w:val="17"/>
          <w:szCs w:val="17"/>
          <w:color w:val="auto"/>
        </w:rPr>
      </w:pPr>
    </w:p>
    <w:p>
      <w:pPr>
        <w:ind w:right="100" w:firstLine="987"/>
        <w:spacing w:after="0" w:line="257"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Officers</w:t>
      </w:r>
      <w:r>
        <w:rPr>
          <w:rFonts w:ascii="Arial" w:cs="Arial" w:eastAsia="Arial" w:hAnsi="Arial"/>
          <w:sz w:val="18"/>
          <w:szCs w:val="18"/>
          <w:color w:val="auto"/>
        </w:rPr>
        <w:t>. At the Effective Time, the officers of the Company immediately prior to the Effective Time, or such other individuals designated by Parent as of the Effective Time, shall be the officers of the Surviving Corporation, each to hold office, from and after the Effective Time, in accordance with the certificate of incorporation and bylaws of the Surviving Corporation, until their respective successors have been duly appointed and qualified or until their earlier death, resignation or removal in accordance with the certificate of incorporation and bylaws of the Surviving Corporation.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342"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Capital Stock</w:t>
      </w:r>
      <w:r>
        <w:rPr>
          <w:rFonts w:ascii="Arial" w:cs="Arial" w:eastAsia="Arial" w:hAnsi="Arial"/>
          <w:sz w:val="16"/>
          <w:szCs w:val="16"/>
          <w:color w:val="auto"/>
        </w:rPr>
        <w:t>. Upon the terms and subject to the conditions set forth in this Agreement, at the Effective Time, by virtue of the Merger and without any action on the part of Parent, Merger Sub, the Company or the holders of any of the following securities, the following shall occur:</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80"/>
          </w:cols>
          <w:pgMar w:left="440" w:top="490" w:right="479" w:bottom="1440" w:gutter="0" w:footer="0" w:header="0"/>
        </w:sectPr>
      </w:pPr>
    </w:p>
    <w:bookmarkStart w:id="31" w:name="page32"/>
    <w:bookmarkEnd w:id="31"/>
    <w:p>
      <w:pPr>
        <w:ind w:left="1644" w:hanging="212"/>
        <w:spacing w:after="0"/>
        <w:tabs>
          <w:tab w:leader="none" w:pos="1644"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Shares</w:t>
      </w:r>
      <w:r>
        <w:rPr>
          <w:rFonts w:ascii="Arial" w:cs="Arial" w:eastAsia="Arial" w:hAnsi="Arial"/>
          <w:sz w:val="16"/>
          <w:szCs w:val="16"/>
          <w:color w:val="auto"/>
        </w:rPr>
        <w:t>. Each Share that is issued and outstanding immediately prior to the Effective Time (excluding (A) Canceled Shares and</w:t>
      </w:r>
    </w:p>
    <w:p>
      <w:pPr>
        <w:spacing w:after="0" w:line="46" w:lineRule="exact"/>
        <w:rPr>
          <w:rFonts w:ascii="Arial" w:cs="Arial" w:eastAsia="Arial" w:hAnsi="Arial"/>
          <w:sz w:val="16"/>
          <w:szCs w:val="16"/>
          <w:color w:val="auto"/>
        </w:rPr>
      </w:pPr>
    </w:p>
    <w:p>
      <w:pPr>
        <w:ind w:left="4" w:right="80" w:hanging="4"/>
        <w:spacing w:after="0" w:line="253" w:lineRule="auto"/>
        <w:tabs>
          <w:tab w:leader="none" w:pos="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Dissenting Shares) shall be canceled and extinguished and automatically converted into the right to receive cash in an amount equal to $172.50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without interest thereon and subject to any applicable withholding Tax pursuant to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upon compliance with the procedures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in the case of a lost, stolen or destroyed certificate, upon delivery of an affidavit in the manner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320" w:firstLine="1428"/>
        <w:spacing w:after="0" w:line="263" w:lineRule="auto"/>
        <w:tabs>
          <w:tab w:leader="none" w:pos="1701"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Canceled Shares</w:t>
      </w:r>
      <w:r>
        <w:rPr>
          <w:rFonts w:ascii="Arial" w:cs="Arial" w:eastAsia="Arial" w:hAnsi="Arial"/>
          <w:sz w:val="18"/>
          <w:szCs w:val="18"/>
          <w:color w:val="auto"/>
        </w:rPr>
        <w:t>. Each Share owned by Parent, Merger Sub or the Company, or by any direct or indirect wholly owned Subsidiary of Parent, Merger Sub or the Company, in each case, immediately prior to the Effective Time (“</w:t>
      </w:r>
      <w:r>
        <w:rPr>
          <w:rFonts w:ascii="Arial" w:cs="Arial" w:eastAsia="Arial" w:hAnsi="Arial"/>
          <w:sz w:val="18"/>
          <w:szCs w:val="18"/>
          <w:u w:val="single" w:color="auto"/>
          <w:color w:val="auto"/>
        </w:rPr>
        <w:t>Canceled Shares</w:t>
      </w:r>
      <w:r>
        <w:rPr>
          <w:rFonts w:ascii="Arial" w:cs="Arial" w:eastAsia="Arial" w:hAnsi="Arial"/>
          <w:sz w:val="18"/>
          <w:szCs w:val="18"/>
          <w:color w:val="auto"/>
        </w:rPr>
        <w:t>”), shall be canceled and extinguished, without any conversion thereof or consideration paid therefor, at the Effective Time.</w:t>
      </w:r>
    </w:p>
    <w:p>
      <w:pPr>
        <w:spacing w:after="0" w:line="75" w:lineRule="exact"/>
        <w:rPr>
          <w:rFonts w:ascii="Arial" w:cs="Arial" w:eastAsia="Arial" w:hAnsi="Arial"/>
          <w:sz w:val="18"/>
          <w:szCs w:val="18"/>
          <w:color w:val="auto"/>
        </w:rPr>
      </w:pPr>
    </w:p>
    <w:p>
      <w:pPr>
        <w:ind w:left="4" w:right="120" w:firstLine="1428"/>
        <w:spacing w:after="0" w:line="273" w:lineRule="auto"/>
        <w:tabs>
          <w:tab w:leader="none" w:pos="1751" w:val="left"/>
        </w:tabs>
        <w:numPr>
          <w:ilvl w:val="2"/>
          <w:numId w:val="22"/>
        </w:numPr>
        <w:rPr>
          <w:rFonts w:ascii="Arial" w:cs="Arial" w:eastAsia="Arial" w:hAnsi="Arial"/>
          <w:sz w:val="17"/>
          <w:szCs w:val="17"/>
          <w:color w:val="auto"/>
        </w:rPr>
      </w:pPr>
      <w:r>
        <w:rPr>
          <w:rFonts w:ascii="Arial" w:cs="Arial" w:eastAsia="Arial" w:hAnsi="Arial"/>
          <w:sz w:val="17"/>
          <w:szCs w:val="17"/>
          <w:u w:val="single" w:color="auto"/>
          <w:color w:val="auto"/>
        </w:rPr>
        <w:t>Capital Stock of Merger Sub</w:t>
      </w:r>
      <w:r>
        <w:rPr>
          <w:rFonts w:ascii="Arial" w:cs="Arial" w:eastAsia="Arial" w:hAnsi="Arial"/>
          <w:sz w:val="17"/>
          <w:szCs w:val="17"/>
          <w:color w:val="auto"/>
        </w:rPr>
        <w:t>. Each share of common stock, par value of $0.001 per share, of Merger Sub that is issued and outstanding immediately prior to the Effective Time shall be converted into and become one (1) validly issued, fully paid and nonassessable share of common stock, par value of $0.001 per share, of the Surviving Corporation, and shall constitute the only outstanding shares of capital stock of the Surviving Corporation. From and after the Effective Time, all certificates representing shares of common stock of Merger Sub immediately prior to the Effective Time shall thereafter be deemed for all purposes to represent the number of shares of common stock of the Surviving Corporation into which they were converted in accordance with the immediately preceding sentence.</w:t>
      </w:r>
    </w:p>
    <w:p>
      <w:pPr>
        <w:spacing w:after="0" w:line="69" w:lineRule="exact"/>
        <w:rPr>
          <w:rFonts w:ascii="Arial" w:cs="Arial" w:eastAsia="Arial" w:hAnsi="Arial"/>
          <w:sz w:val="17"/>
          <w:szCs w:val="17"/>
          <w:color w:val="auto"/>
        </w:rPr>
      </w:pPr>
    </w:p>
    <w:p>
      <w:pPr>
        <w:ind w:left="4" w:firstLine="987"/>
        <w:spacing w:after="0" w:line="254" w:lineRule="auto"/>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Adjustment to the Merger Consideration</w:t>
      </w:r>
      <w:r>
        <w:rPr>
          <w:rFonts w:ascii="Arial" w:cs="Arial" w:eastAsia="Arial" w:hAnsi="Arial"/>
          <w:sz w:val="18"/>
          <w:szCs w:val="18"/>
          <w:color w:val="auto"/>
        </w:rPr>
        <w:t xml:space="preserve">. Notwithstanding anything in this Agreement to the contrary, if, at any time occurring on or after the date of this Agreement until the Effective Time, any change in the outstanding equity interests of the Company shall occur as a result of any reorganization, reclassification, recapitalization, stock split (including a reverse stock split), subdivision or combination, exchange or readjustment of shares, or any stock dividend or stock distribution (including any dividend or other distribution of securities convertible into Shares) with a record date during such period, the Merger Consideration and any other similarly dependent items (including the Option Consideration and the RSU Consideration), as the case may be, shall be appropriately adjusted to reflect such event and provide the same economic effect as contemplated by this Agreement prior to such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shall be, or be deemed to be, an exception to the Company’s obligations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1244" w:hanging="253"/>
        <w:spacing w:after="0"/>
        <w:tabs>
          <w:tab w:leader="none" w:pos="124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Statutory Rights of Appraisal.</w:t>
      </w:r>
    </w:p>
    <w:p>
      <w:pPr>
        <w:spacing w:after="0" w:line="117" w:lineRule="exact"/>
        <w:rPr>
          <w:rFonts w:ascii="Arial" w:cs="Arial" w:eastAsia="Arial" w:hAnsi="Arial"/>
          <w:sz w:val="18"/>
          <w:szCs w:val="18"/>
          <w:color w:val="auto"/>
        </w:rPr>
      </w:pPr>
    </w:p>
    <w:p>
      <w:pPr>
        <w:ind w:left="4" w:right="280" w:firstLine="1428"/>
        <w:spacing w:after="0" w:line="279" w:lineRule="auto"/>
        <w:tabs>
          <w:tab w:leader="none" w:pos="1651" w:val="left"/>
        </w:tabs>
        <w:numPr>
          <w:ilvl w:val="2"/>
          <w:numId w:val="23"/>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all Shares that are issued and outstanding and held by Company Stockholders as of immediately prior to the Effective Time who are entitled to demand and who shall have properly and validly demanded their statutory rights of appraisal in respect of such Shares in compliance in all respects with Section 262 of the DGCL (collectively, “</w:t>
      </w:r>
      <w:r>
        <w:rPr>
          <w:rFonts w:ascii="Arial" w:cs="Arial" w:eastAsia="Arial" w:hAnsi="Arial"/>
          <w:sz w:val="17"/>
          <w:szCs w:val="17"/>
          <w:u w:val="single" w:color="auto"/>
          <w:color w:val="auto"/>
        </w:rPr>
        <w:t>Dissenting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shall not be converted into, or represent the right to receive, the Merger Consideration pursuant to </w:t>
      </w:r>
      <w:r>
        <w:rPr>
          <w:rFonts w:ascii="Arial" w:cs="Arial" w:eastAsia="Arial" w:hAnsi="Arial"/>
          <w:sz w:val="17"/>
          <w:szCs w:val="17"/>
          <w:u w:val="single" w:color="auto"/>
          <w:color w:val="auto"/>
        </w:rPr>
        <w:t>Section 2.7(a)</w:t>
      </w:r>
      <w:r>
        <w:rPr>
          <w:rFonts w:ascii="Arial" w:cs="Arial" w:eastAsia="Arial" w:hAnsi="Arial"/>
          <w:sz w:val="17"/>
          <w:szCs w:val="17"/>
          <w:color w:val="auto"/>
        </w:rPr>
        <w:t>,</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3"/>
          <w:numId w:val="2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84"/>
          </w:cols>
          <w:pgMar w:left="436" w:top="490" w:right="479" w:bottom="1440" w:gutter="0" w:footer="0" w:header="0"/>
        </w:sectPr>
      </w:pPr>
    </w:p>
    <w:bookmarkStart w:id="32" w:name="page33"/>
    <w:bookmarkEnd w:id="32"/>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but instead such Company Stockholder will be entitled to receive such consideration as may be determined to be due to such Company Stockholders in respect of such Dissenting Shares pursuant to Section 262 of the DGCL, except that all Dissenting Shares held by Company Stockholders who shall have failed to perfect or who shall have effectively withdrawn or otherwise lost or forfeited their rights to appraisal of such Dissenting Shares under such Section 262 of the DGCL shall no longer be considered to be Dissenting Shares and shall thereupon be deemed to have been converted into, as of the Effective Time, the right to receive the Merger Consideration, without interest thereon, and subject to any applicable withholding Tax pursuant to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upon the terms and conditions hereof, including the surrender of the certificate or certificates, if any, evidencing such Shares in the manner provided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in the case of a lost, stolen or destroyed certificate, upon delivery of an affidavit in the manner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84" w:lineRule="exact"/>
        <w:rPr>
          <w:sz w:val="20"/>
          <w:szCs w:val="20"/>
          <w:color w:val="auto"/>
        </w:rPr>
      </w:pPr>
    </w:p>
    <w:p>
      <w:pPr>
        <w:ind w:right="20" w:firstLine="1428"/>
        <w:spacing w:after="0" w:line="296" w:lineRule="auto"/>
        <w:tabs>
          <w:tab w:leader="none" w:pos="1694"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shall give Parent (A) prompt notice of any demands for appraisal received by the Company, withdrawals of such demands, and any other instruments served pursuant to the DGCL and received by the Company in respect of Dissenting Shares and (B) the right to participate in and direct all negotiations and proceedings with respect to demands for appraisal under the DGCL in respect of Dissenting Shares. Prior to the Effective Time, the Company shall not, except with the prior written consent of Parent, make any payment with respect to any demands for appraisal, settle or offer to settle or otherwise negotiate any such demands, or agree to do any of the foregoing, in respect of Dissenting Shares.</w:t>
      </w:r>
    </w:p>
    <w:p>
      <w:pPr>
        <w:spacing w:after="0" w:line="53" w:lineRule="exact"/>
        <w:rPr>
          <w:rFonts w:ascii="Arial" w:cs="Arial" w:eastAsia="Arial" w:hAnsi="Arial"/>
          <w:sz w:val="16"/>
          <w:szCs w:val="16"/>
          <w:color w:val="auto"/>
        </w:rPr>
      </w:pPr>
    </w:p>
    <w:p>
      <w:pPr>
        <w:ind w:right="40" w:firstLine="987"/>
        <w:spacing w:after="0" w:line="287" w:lineRule="auto"/>
        <w:tabs>
          <w:tab w:leader="none" w:pos="124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Company Options</w:t>
      </w:r>
      <w:r>
        <w:rPr>
          <w:rFonts w:ascii="Arial" w:cs="Arial" w:eastAsia="Arial" w:hAnsi="Arial"/>
          <w:sz w:val="16"/>
          <w:szCs w:val="16"/>
          <w:color w:val="auto"/>
        </w:rPr>
        <w:t>. Effective as of immediately prior to the Effective Time, each Company Option that is outstanding and unexercised immediately prior thereto, whether vested or unvested, shall by virtue of the Merger automatically and without any action on the part of the Company, Parent or the holder thereof, be canceled and terminated and converted into the right to receive from the Surviving Corporation an amount in cash (without interest), if any, equal to the product obtained by multiplying (x) the aggregate number of Shares underlying such Company Option immediately prior to the Effective Time, by (y) an amount equal to (A) the Merger Consideration, less (B) the per share exercise price of such Company Option (the “</w:t>
      </w:r>
      <w:r>
        <w:rPr>
          <w:rFonts w:ascii="Arial" w:cs="Arial" w:eastAsia="Arial" w:hAnsi="Arial"/>
          <w:sz w:val="16"/>
          <w:szCs w:val="16"/>
          <w:u w:val="single" w:color="auto"/>
          <w:color w:val="auto"/>
        </w:rPr>
        <w:t>Option Consideration</w:t>
      </w:r>
      <w:r>
        <w:rPr>
          <w:rFonts w:ascii="Arial" w:cs="Arial" w:eastAsia="Arial" w:hAnsi="Arial"/>
          <w:sz w:val="16"/>
          <w:szCs w:val="16"/>
          <w:color w:val="auto"/>
        </w:rPr>
        <w:t xml:space="preserve">”) (it being understood and agreed that such exercise price shall not actually be paid to the Surviving Corporation by the holder of a Company Option), subject to any applicable withholding Taxes pursuant to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Company Option with respect to which the applicable per share exercise price of such Company Option is equal to or greater than the Merger Consideration shall be canceled without consideration therefor. Parent shall pay by wire transfer of immediately available funds to the Surviving Corporation, and the Surviving Corporation shall, and Parent shall cause the Surviving Corporation to, pay to each of the holders of Company Options the applicable Option Consideration (subject to any applicable withholding Taxes pursuant to </w:t>
      </w:r>
      <w:r>
        <w:rPr>
          <w:rFonts w:ascii="Arial" w:cs="Arial" w:eastAsia="Arial" w:hAnsi="Arial"/>
          <w:sz w:val="16"/>
          <w:szCs w:val="16"/>
          <w:u w:val="single" w:color="auto"/>
          <w:color w:val="auto"/>
        </w:rPr>
        <w:t>Section 2.8(d)</w:t>
      </w:r>
      <w:r>
        <w:rPr>
          <w:rFonts w:ascii="Arial" w:cs="Arial" w:eastAsia="Arial" w:hAnsi="Arial"/>
          <w:sz w:val="16"/>
          <w:szCs w:val="16"/>
          <w:color w:val="auto"/>
        </w:rPr>
        <w:t>) as promptly as practicable thereafter (and in no event later than the next regularly scheduled payroll date at least five (5) Business Days after the Effective Time).</w:t>
      </w:r>
    </w:p>
    <w:p>
      <w:pPr>
        <w:spacing w:after="0" w:line="59" w:lineRule="exact"/>
        <w:rPr>
          <w:rFonts w:ascii="Arial" w:cs="Arial" w:eastAsia="Arial" w:hAnsi="Arial"/>
          <w:sz w:val="16"/>
          <w:szCs w:val="16"/>
          <w:color w:val="auto"/>
        </w:rPr>
      </w:pPr>
    </w:p>
    <w:p>
      <w:pPr>
        <w:ind w:firstLine="987"/>
        <w:spacing w:after="0" w:line="279"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Company RSU Awards</w:t>
      </w:r>
      <w:r>
        <w:rPr>
          <w:rFonts w:ascii="Arial" w:cs="Arial" w:eastAsia="Arial" w:hAnsi="Arial"/>
          <w:sz w:val="17"/>
          <w:szCs w:val="17"/>
          <w:color w:val="auto"/>
        </w:rPr>
        <w:t>. Effective as of immediately prior to the Effective Time, each Company RSU Award that is outstanding immediately prior thereto shall by virtue of the Merger automatically and without any action on the part of the Company, Parent or the holder thereof, be canceled and terminated and converted into the right to receive from the Surviving Corporation an amount in cash (without interest) equal to the product obtained by multiplying (x) the aggregate number of Shares underlying such Company RSU Award immediately prior to the</w:t>
      </w:r>
    </w:p>
    <w:p>
      <w:pPr>
        <w:spacing w:after="0" w:line="103" w:lineRule="exact"/>
        <w:rPr>
          <w:rFonts w:ascii="Arial" w:cs="Arial" w:eastAsia="Arial" w:hAnsi="Arial"/>
          <w:sz w:val="17"/>
          <w:szCs w:val="17"/>
          <w:color w:val="auto"/>
        </w:rPr>
      </w:pPr>
    </w:p>
    <w:p>
      <w:pPr>
        <w:ind w:left="5420" w:hanging="111"/>
        <w:spacing w:after="0"/>
        <w:tabs>
          <w:tab w:leader="none" w:pos="5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80"/>
          </w:cols>
          <w:pgMar w:left="440" w:top="490" w:right="479" w:bottom="1440" w:gutter="0" w:footer="0" w:header="0"/>
        </w:sectPr>
      </w:pPr>
    </w:p>
    <w:bookmarkStart w:id="33" w:name="page34"/>
    <w:bookmarkEnd w:id="33"/>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Effective Time, by (y) the Merger Consideration (the “</w:t>
      </w:r>
      <w:r>
        <w:rPr>
          <w:rFonts w:ascii="Arial" w:cs="Arial" w:eastAsia="Arial" w:hAnsi="Arial"/>
          <w:sz w:val="17"/>
          <w:szCs w:val="17"/>
          <w:u w:val="single" w:color="auto"/>
          <w:color w:val="auto"/>
        </w:rPr>
        <w:t>RSU Consideration</w:t>
      </w:r>
      <w:r>
        <w:rPr>
          <w:rFonts w:ascii="Arial" w:cs="Arial" w:eastAsia="Arial" w:hAnsi="Arial"/>
          <w:sz w:val="17"/>
          <w:szCs w:val="17"/>
          <w:color w:val="auto"/>
        </w:rPr>
        <w:t xml:space="preserve">”), subject to any applicable withholding Taxes pursuant to </w:t>
      </w:r>
      <w:r>
        <w:rPr>
          <w:rFonts w:ascii="Arial" w:cs="Arial" w:eastAsia="Arial" w:hAnsi="Arial"/>
          <w:sz w:val="17"/>
          <w:szCs w:val="17"/>
          <w:u w:val="single" w:color="auto"/>
          <w:color w:val="auto"/>
        </w:rPr>
        <w:t>Section 2.8(d)</w:t>
      </w:r>
      <w:r>
        <w:rPr>
          <w:rFonts w:ascii="Arial" w:cs="Arial" w:eastAsia="Arial" w:hAnsi="Arial"/>
          <w:sz w:val="17"/>
          <w:szCs w:val="17"/>
          <w:color w:val="auto"/>
        </w:rPr>
        <w:t xml:space="preserve">. Parent shall pay by wire transfer of immediately available funds to the Surviving Corporation, and the Surviving Corporation shall, and Parent shall cause the Surviving Corporation to, pay to each holder of Company RSU Awards the applicable RSU Consideration (subject to any applicable withholding Taxes pursuant to </w:t>
      </w:r>
      <w:r>
        <w:rPr>
          <w:rFonts w:ascii="Arial" w:cs="Arial" w:eastAsia="Arial" w:hAnsi="Arial"/>
          <w:sz w:val="17"/>
          <w:szCs w:val="17"/>
          <w:u w:val="single" w:color="auto"/>
          <w:color w:val="auto"/>
        </w:rPr>
        <w:t>Section 2.8(d)</w:t>
      </w:r>
      <w:r>
        <w:rPr>
          <w:rFonts w:ascii="Arial" w:cs="Arial" w:eastAsia="Arial" w:hAnsi="Arial"/>
          <w:sz w:val="17"/>
          <w:szCs w:val="17"/>
          <w:color w:val="auto"/>
        </w:rPr>
        <w:t>) as promptly as practicable thereafter (and in no event later than the next regularly scheduled payroll date at least five (5) Business Days after the Effective Time). Notwithstanding anything to the contrary contained in this Agreement, any payment in respect of any Company RSU Award that, immediately prior to such cancellation, constitutes “nonqualified deferred compensation” subject to Section 409A of the Code and that cannot be settled in connection with the Effective Time without incurring penalties under Section 409A of the Code shall be made on the applicable settlement date for such Company RSU Award (or an earlier permissible date) if required in order to comply with Section 409A of the Code.</w:t>
      </w:r>
    </w:p>
    <w:p>
      <w:pPr>
        <w:spacing w:after="0" w:line="73" w:lineRule="exact"/>
        <w:rPr>
          <w:sz w:val="20"/>
          <w:szCs w:val="20"/>
          <w:color w:val="auto"/>
        </w:rPr>
      </w:pPr>
    </w:p>
    <w:p>
      <w:pPr>
        <w:ind w:firstLine="987"/>
        <w:spacing w:after="0" w:line="267" w:lineRule="auto"/>
        <w:tabs>
          <w:tab w:leader="none" w:pos="121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Company ESPP</w:t>
      </w:r>
      <w:r>
        <w:rPr>
          <w:rFonts w:ascii="Arial" w:cs="Arial" w:eastAsia="Arial" w:hAnsi="Arial"/>
          <w:sz w:val="17"/>
          <w:szCs w:val="17"/>
          <w:color w:val="auto"/>
        </w:rPr>
        <w:t>. The Company Board (or, if appropriate, the committee administering the Company ESPP) will pass such resolutions and take all actions reasonably necessary with respect to the Company ESPP to provide that (i) except for the offering periods under the Company ESPP in effect on the date hereof (the “</w:t>
      </w:r>
      <w:r>
        <w:rPr>
          <w:rFonts w:ascii="Arial" w:cs="Arial" w:eastAsia="Arial" w:hAnsi="Arial"/>
          <w:sz w:val="17"/>
          <w:szCs w:val="17"/>
          <w:u w:val="single" w:color="auto"/>
          <w:color w:val="auto"/>
        </w:rPr>
        <w:t>Final Offering Periods</w:t>
      </w:r>
      <w:r>
        <w:rPr>
          <w:rFonts w:ascii="Arial" w:cs="Arial" w:eastAsia="Arial" w:hAnsi="Arial"/>
          <w:sz w:val="17"/>
          <w:szCs w:val="17"/>
          <w:color w:val="auto"/>
        </w:rPr>
        <w:t>”), no new offering period will commence following the date hereof unless and until this Agreement is terminated; and (ii) from and after the date hereof, no new participants will be permitted to participate in the Company ESPP and participants will not be permitted to increase their payroll deductions or purchase elections from those in effect on date of this Agreement. If the Effective Time occurs: (i) during one or more of the Final Offering Periods, (A) the final exercise date(s) under the Company ESPP shall be such date as the Company determines in its sole discretion (provided that such date shall be no later than the date that is five (5) days prior to the Effective Time) (the “</w:t>
      </w:r>
      <w:r>
        <w:rPr>
          <w:rFonts w:ascii="Arial" w:cs="Arial" w:eastAsia="Arial" w:hAnsi="Arial"/>
          <w:sz w:val="17"/>
          <w:szCs w:val="17"/>
          <w:u w:val="single" w:color="auto"/>
          <w:color w:val="auto"/>
        </w:rPr>
        <w:t>Final Exercise Date</w:t>
      </w:r>
      <w:r>
        <w:rPr>
          <w:rFonts w:ascii="Arial" w:cs="Arial" w:eastAsia="Arial" w:hAnsi="Arial"/>
          <w:sz w:val="17"/>
          <w:szCs w:val="17"/>
          <w:color w:val="auto"/>
        </w:rPr>
        <w:t xml:space="preserve">”), and (B) each Company ESPP participant’s accumulated contributions under the Company ESPP shall be used to purchase whole shares of Class A Common Stock in accordance with the terms of the Company ESPP as of the Final Exercise Date, which shares of Class A Common Stock, to the extent outstanding immediately prior to the Effective Time, shall be canceled at the Effective Time in exchange for the right to receive the Merger Consideration in accordance with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or (ii) after the end of both of the Final Offering Periods, all amounts allocated to each participant’s account under the Company ESPP at the end of each of the Final Offering Periods shall thereupon be used to purchase whole shares of Class A Common Stock under the terms of the Company ESPP for such offering period, which shares of Class A Common Stock, to the extent outstanding immediately prior to the Effective Time, shall be canceled at the Effective Time in exchange for the right to receive the Merger Consideration in accordance with </w:t>
      </w:r>
      <w:r>
        <w:rPr>
          <w:rFonts w:ascii="Arial" w:cs="Arial" w:eastAsia="Arial" w:hAnsi="Arial"/>
          <w:sz w:val="17"/>
          <w:szCs w:val="17"/>
          <w:u w:val="single" w:color="auto"/>
          <w:color w:val="auto"/>
        </w:rPr>
        <w:t>Section 2.7(a)</w:t>
      </w:r>
      <w:r>
        <w:rPr>
          <w:rFonts w:ascii="Arial" w:cs="Arial" w:eastAsia="Arial" w:hAnsi="Arial"/>
          <w:sz w:val="17"/>
          <w:szCs w:val="17"/>
          <w:color w:val="auto"/>
        </w:rPr>
        <w:t>. As promptly as practicable following the purchase of shares of Class A Common Stock in accordance with the foregoing clauses (i) or (ii), the Company shall return to each participant the funds, if any, that remain in such participant’s account after such purchase.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Payment for Company Securities; Exchange of Certificates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Prior to the Effective Time, Parent and Merger Sub shall designate and appoint a United States bank or trust company reasonably acceptable to the Company to act as the paying agent for the Company Stockholders entitled to receive Merger Consideration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Paying Agent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0"/>
          </w:cols>
          <w:pgMar w:left="440" w:top="490" w:right="459" w:bottom="1440" w:gutter="0" w:footer="0" w:header="0"/>
        </w:sectPr>
      </w:pPr>
    </w:p>
    <w:bookmarkStart w:id="34" w:name="page35"/>
    <w:bookmarkEnd w:id="34"/>
    <w:p>
      <w:pPr>
        <w:ind w:left="-987" w:firstLine="987"/>
        <w:spacing w:after="0" w:line="287" w:lineRule="auto"/>
        <w:tabs>
          <w:tab w:leader="none" w:pos="25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Exchange Fund</w:t>
      </w:r>
      <w:r>
        <w:rPr>
          <w:rFonts w:ascii="Arial" w:cs="Arial" w:eastAsia="Arial" w:hAnsi="Arial"/>
          <w:sz w:val="16"/>
          <w:szCs w:val="16"/>
          <w:color w:val="auto"/>
        </w:rPr>
        <w:t xml:space="preserve">. At or prior to the Effective Time, Parent shall deposit (or cause to be deposited) with the Paying Agent, for payment to and for the sole benefit of the Company Stockholders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 amount of cash equal to the aggregate consideration to which Company Stockholders are entitled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(which, for the avoidance of doubt, shall not include the Option Consideration or RSU Consideration) (such cash amount being referred to herein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Until disbursed in accordance with the terms and conditions of this Agreement, such funds shall be invested by the Paying Agent, as directed by Parent or the Surviving Corporation, in obligations of or guaranteed by the United States of America or obligations of an agency of the United States of America which are backed by the full faith and credit of the United States of America. Any interest and other income resulting from such investments shall be paid to Parent or the Surviving Corporation in accordance with </w:t>
      </w:r>
      <w:r>
        <w:rPr>
          <w:rFonts w:ascii="Arial" w:cs="Arial" w:eastAsia="Arial" w:hAnsi="Arial"/>
          <w:sz w:val="16"/>
          <w:szCs w:val="16"/>
          <w:u w:val="single" w:color="auto"/>
          <w:color w:val="auto"/>
        </w:rPr>
        <w:t>Section 2.8(f)</w:t>
      </w:r>
      <w:r>
        <w:rPr>
          <w:rFonts w:ascii="Arial" w:cs="Arial" w:eastAsia="Arial" w:hAnsi="Arial"/>
          <w:sz w:val="16"/>
          <w:szCs w:val="16"/>
          <w:color w:val="auto"/>
        </w:rPr>
        <w:t xml:space="preserve">. No investment or losses thereon shall affect the consideration to which holders of Shares are entitled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to the extent that there are any losses with respect to any investments of the Exchange Fund, or the Exchange Fund diminishes for any reason below the amount required to promptly pay in full the cash amounts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Parent shall, or shall cause the Surviving Corporation to, promptly replace or restore the cash in the Exchange Fund so as to ensure that the Exchange Fund is at all times maintained at a level sufficient to make in full such payments contemplated this </w:t>
      </w:r>
      <w:r>
        <w:rPr>
          <w:rFonts w:ascii="Arial" w:cs="Arial" w:eastAsia="Arial" w:hAnsi="Arial"/>
          <w:sz w:val="16"/>
          <w:szCs w:val="16"/>
          <w:u w:val="single" w:color="auto"/>
          <w:color w:val="auto"/>
        </w:rPr>
        <w:t>Article II</w:t>
      </w:r>
      <w:r>
        <w:rPr>
          <w:rFonts w:ascii="Arial" w:cs="Arial" w:eastAsia="Arial" w:hAnsi="Arial"/>
          <w:sz w:val="16"/>
          <w:szCs w:val="16"/>
          <w:color w:val="auto"/>
        </w:rPr>
        <w:t>. The Exchange Fund shall not be used for any purpose other than as expressly provided in this Agreement.</w:t>
      </w:r>
    </w:p>
    <w:p>
      <w:pPr>
        <w:spacing w:after="0" w:line="59" w:lineRule="exact"/>
        <w:rPr>
          <w:rFonts w:ascii="Arial" w:cs="Arial" w:eastAsia="Arial" w:hAnsi="Arial"/>
          <w:sz w:val="16"/>
          <w:szCs w:val="16"/>
          <w:color w:val="auto"/>
        </w:rPr>
      </w:pPr>
    </w:p>
    <w:p>
      <w:pPr>
        <w:ind w:left="253" w:hanging="253"/>
        <w:spacing w:after="0"/>
        <w:tabs>
          <w:tab w:leader="none" w:pos="25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 Procedures.</w:t>
      </w:r>
    </w:p>
    <w:p>
      <w:pPr>
        <w:spacing w:after="0" w:line="117" w:lineRule="exact"/>
        <w:rPr>
          <w:rFonts w:ascii="Arial" w:cs="Arial" w:eastAsia="Arial" w:hAnsi="Arial"/>
          <w:sz w:val="18"/>
          <w:szCs w:val="18"/>
          <w:color w:val="auto"/>
        </w:rPr>
      </w:pPr>
    </w:p>
    <w:p>
      <w:pPr>
        <w:ind w:left="-987" w:firstLine="1428"/>
        <w:spacing w:after="0" w:line="285" w:lineRule="auto"/>
        <w:tabs>
          <w:tab w:leader="none" w:pos="65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As soon as practicable after the Effective Time (and in no event later than three (3) Business Days after the Effective Time), Parent or the Surviving Corporation shall cause the Paying Agent to mail to each Person that was, immediately prior to the Effective Time, a holder of record of Shares represented by certificates (the </w:t>
      </w:r>
      <w:r>
        <w:rPr>
          <w:rFonts w:ascii="Arial" w:cs="Arial" w:eastAsia="Arial" w:hAnsi="Arial"/>
          <w:sz w:val="16"/>
          <w:szCs w:val="16"/>
          <w:u w:val="single" w:color="auto"/>
          <w:color w:val="auto"/>
        </w:rPr>
        <w:t>“Certificates”</w:t>
      </w:r>
      <w:r>
        <w:rPr>
          <w:rFonts w:ascii="Arial" w:cs="Arial" w:eastAsia="Arial" w:hAnsi="Arial"/>
          <w:sz w:val="16"/>
          <w:szCs w:val="16"/>
          <w:color w:val="auto"/>
        </w:rPr>
        <w:t>), which Shares were converted into the right to receive the Merger Consideration at the Effective Time pursuant to this Agreement: (A) a letter of transmittal, which shall be in a customary form reasonably acceptable to the Company and Parent prior to the Effective Time and shall specify that delivery shall be effected, and risk of loss and title to the Certificates shall pass, only upon delivery of the Certificates to the Paying Agent, shall have a customary release of all claims against Parent, Merger Sub and the Company arising out of or related to such holder’s ownership of Shares and shall otherwise be in such form as Parent and the Paying Agent shall reasonably agree upon (a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and (B) instructions for effecting the surrender of the Certificates (or affidavits of loss in lieu thereof) in exchange for payment of the Merger Consideration, the forms of which Letter of Transmittal and instructions shall be subject to the reasonable approval of the Company prior to the Effective Time. Upon surrender of a Certificate (or affidavit of loss in lieu thereof) to the Paying Agent or to such other agent or agents as may be appointed in writing by Merger Sub, and upon delivery of a Letter of Transmittal, duly executed and in proper form, with respect to such Certificates, the holder of the Shares represented by such Certificates as of immediately prior to the Effective Time shall be entitled to receive the Merger Consideration for each such Share formerly represented by such Certificates (subject to any required Tax withholdings as provided in </w:t>
      </w:r>
      <w:r>
        <w:rPr>
          <w:rFonts w:ascii="Arial" w:cs="Arial" w:eastAsia="Arial" w:hAnsi="Arial"/>
          <w:sz w:val="16"/>
          <w:szCs w:val="16"/>
          <w:u w:val="single" w:color="auto"/>
          <w:color w:val="auto"/>
        </w:rPr>
        <w:t>Section 2.8(d))</w:t>
      </w:r>
      <w:r>
        <w:rPr>
          <w:rFonts w:ascii="Arial" w:cs="Arial" w:eastAsia="Arial" w:hAnsi="Arial"/>
          <w:sz w:val="16"/>
          <w:szCs w:val="16"/>
          <w:color w:val="auto"/>
        </w:rPr>
        <w:t>, and any Certificate so surrendered shall forthwith be canceled. If payment of the Merger Consideration is to be made to a Person other than the Person in whose name any surrendered Certificate is registered, it shall be a condition precedent of payment that the Certificate so surrendered shall be properly endorsed or shall be otherwise in proper form for transfer, and the Person requesting such payment shall have paid any transfer</w:t>
      </w:r>
    </w:p>
    <w:p>
      <w:pPr>
        <w:spacing w:after="0" w:line="108" w:lineRule="exact"/>
        <w:rPr>
          <w:rFonts w:ascii="Arial" w:cs="Arial" w:eastAsia="Arial" w:hAnsi="Arial"/>
          <w:sz w:val="16"/>
          <w:szCs w:val="16"/>
          <w:color w:val="auto"/>
        </w:rPr>
      </w:pPr>
    </w:p>
    <w:p>
      <w:pPr>
        <w:ind w:left="4433" w:hanging="111"/>
        <w:spacing w:after="0"/>
        <w:tabs>
          <w:tab w:leader="none" w:pos="4433" w:val="left"/>
        </w:tabs>
        <w:numPr>
          <w:ilvl w:val="2"/>
          <w:numId w:val="28"/>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033"/>
          </w:cols>
          <w:pgMar w:left="1427" w:top="490" w:right="439" w:bottom="1440" w:gutter="0" w:footer="0" w:header="0"/>
        </w:sectPr>
      </w:pPr>
    </w:p>
    <w:bookmarkStart w:id="35" w:name="page36"/>
    <w:bookmarkEnd w:id="3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Taxes required by reason of the payment of the Merger Consideration to a Person other than the registered holder in whose name the Certificate so surrendered is registered and shall have established to the satisfaction of the Surviving Corporation that such Taxes either have been paid or are not required to be paid. No interest will be paid or accrued on any amount payable upon due surrender of the Certificates. Until surrendered as contemplated hereby, each Certificate shall be deemed at any time after the Effective Time to represent only the right to receive the Merger Consideration as contemplated by this Agreement, except for Certificates representing Dissenting Shares, which shall represent the right to receive payment in accordance with and to the extent provided by Section 262 of the DGCL, or Canceled Shares.</w:t>
      </w:r>
    </w:p>
    <w:p>
      <w:pPr>
        <w:spacing w:after="0" w:line="70" w:lineRule="exact"/>
        <w:rPr>
          <w:sz w:val="20"/>
          <w:szCs w:val="20"/>
          <w:color w:val="auto"/>
        </w:rPr>
      </w:pPr>
    </w:p>
    <w:p>
      <w:pPr>
        <w:ind w:firstLine="1428"/>
        <w:spacing w:after="0" w:line="282" w:lineRule="auto"/>
        <w:tabs>
          <w:tab w:leader="none" w:pos="1697"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no holder of non-certificated Shares represented by book-entry (“</w:t>
      </w:r>
      <w:r>
        <w:rPr>
          <w:rFonts w:ascii="Arial" w:cs="Arial" w:eastAsia="Arial" w:hAnsi="Arial"/>
          <w:sz w:val="16"/>
          <w:szCs w:val="16"/>
          <w:u w:val="single" w:color="auto"/>
          <w:color w:val="auto"/>
        </w:rPr>
        <w:t>Book-Entry Shares</w:t>
      </w:r>
      <w:r>
        <w:rPr>
          <w:rFonts w:ascii="Arial" w:cs="Arial" w:eastAsia="Arial" w:hAnsi="Arial"/>
          <w:sz w:val="16"/>
          <w:szCs w:val="16"/>
          <w:color w:val="auto"/>
        </w:rPr>
        <w:t xml:space="preserve">”) shall be required to deliver a Certificate or, in the case of holders of Book-Entry Shares held through The Depository Trust Company immediately prior to the Effective Time, an executed Letter of Transmittal to the Paying Agent, to receive the Merger Consideration that such holder is entitled to receive pursuant to the terms hereof. In lieu thereof, each holder of record of one (1) or more Book-Entry Shares held through The Depository Trust Company immediately prior to the Effective Time whose Shares were converted into the right to receive the Merger Consideration shall upon the Effective Time, in accordance with The Depository Trust Company’s customary procedures (including receipt by the Paying Agent of an “agent’s message” (or such other evidence of transfer or surrender as the Paying Agent may reasonably request)) and such other procedures as agreed by the Company, Parent, the Paying Agent and The Depository Trust Company, be entitled to receive, and Parent shall cause the Paying Agent to pay and deliver to The Depository Trust Company or its nominee, for the benefit of the holder of such Book-Entry Shares held through it immediately prior to the Effective Time, as promptly as practicable after the Effective Time, in respect of each such Book-Entry Share, the Merger Consideration for each such Book-Entry Share (subject to any required Tax withholdings as provided in </w:t>
      </w:r>
      <w:r>
        <w:rPr>
          <w:rFonts w:ascii="Arial" w:cs="Arial" w:eastAsia="Arial" w:hAnsi="Arial"/>
          <w:sz w:val="16"/>
          <w:szCs w:val="16"/>
          <w:u w:val="single" w:color="auto"/>
          <w:color w:val="auto"/>
        </w:rPr>
        <w:t>Section 2.8(d)</w:t>
      </w:r>
      <w:r>
        <w:rPr>
          <w:rFonts w:ascii="Arial" w:cs="Arial" w:eastAsia="Arial" w:hAnsi="Arial"/>
          <w:sz w:val="16"/>
          <w:szCs w:val="16"/>
          <w:color w:val="auto"/>
        </w:rPr>
        <w:t>) and such Book-Entry Shares of such holder shall forthwith be canceled. As soon as practicable after the Effective Time (and in no event later than five (5) Business Days after the Effective Time), the Surviving Corporation shall cause the Paying Agent to mail to each Person that was, immediately prior to the Effective Time, a holder of record of Book-Entry Shares not held through The Depository Trust Company (A) a Letter of Transmittal and (B) instructions for returning such Letter of Transmittal in exchange for the Merger Consideration, the forms of which Letter of Transmittal and instructions shall be subject to the reasonable approval of the Company prior to the Effective Time. Upon delivery of such Letter of Transmittal, in accordance with the terms of such Letter of Transmittal, duly executed and in proper form, the holder of such Book-Entry Shares immediately prior to the Effective Time shall be entitled to receive in exchange therefor the Merger Consideration, for each such Book-Entry Share (subject to any required Tax withholdings as provided in</w:t>
      </w:r>
    </w:p>
    <w:p>
      <w:pPr>
        <w:spacing w:after="0" w:line="11" w:lineRule="exact"/>
        <w:rPr>
          <w:rFonts w:ascii="Arial" w:cs="Arial" w:eastAsia="Arial" w:hAnsi="Arial"/>
          <w:sz w:val="16"/>
          <w:szCs w:val="16"/>
          <w:color w:val="auto"/>
        </w:rPr>
      </w:pPr>
    </w:p>
    <w:p>
      <w:pPr>
        <w:ind w:right="120"/>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Section 2.8(d)</w:t>
      </w:r>
      <w:r>
        <w:rPr>
          <w:rFonts w:ascii="Arial" w:cs="Arial" w:eastAsia="Arial" w:hAnsi="Arial"/>
          <w:sz w:val="16"/>
          <w:szCs w:val="16"/>
          <w:color w:val="auto"/>
        </w:rPr>
        <w:t>), and such Book-Entry Shares so surrendered shall forthwith be canceled. Payment of the Merger Consideration with respect to Book-Entry Shares shall only be made to the Person in whose name such Book-Entry Shares are registered immediately prior to the Effective Time. No interest will be paid or accrued on any amount payable upon due surrender of Book-Entry Shares. Until paid or surrendered as contemplated hereby, each Book-Entry Share shall be deemed at any time after the Effective Time to represent only the right to receive the Merger Consideration as contemplated by this Agreement, except for Book-Entry Shares representing Dissenting Shares, which shall be deemed to represent the right to receive payment in accordance with and to the extent provided by Section 262 of the DGCL, or Canceled Shares.</w:t>
      </w:r>
    </w:p>
    <w:p>
      <w:pPr>
        <w:spacing w:after="0" w:line="96" w:lineRule="exact"/>
        <w:rPr>
          <w:rFonts w:ascii="Arial" w:cs="Arial" w:eastAsia="Arial" w:hAnsi="Arial"/>
          <w:sz w:val="16"/>
          <w:szCs w:val="16"/>
          <w:color w:val="auto"/>
        </w:rPr>
      </w:pPr>
    </w:p>
    <w:p>
      <w:pPr>
        <w:ind w:left="5420" w:hanging="111"/>
        <w:spacing w:after="0"/>
        <w:tabs>
          <w:tab w:leader="none" w:pos="5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80"/>
          </w:cols>
          <w:pgMar w:left="440" w:top="490" w:right="479" w:bottom="1440" w:gutter="0" w:footer="0" w:header="0"/>
        </w:sectPr>
      </w:pPr>
    </w:p>
    <w:bookmarkStart w:id="36" w:name="page37"/>
    <w:bookmarkEnd w:id="36"/>
    <w:p>
      <w:pPr>
        <w:ind w:right="40" w:firstLine="987"/>
        <w:spacing w:after="0" w:line="254" w:lineRule="auto"/>
        <w:tabs>
          <w:tab w:leader="none" w:pos="124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Withholding Rights</w:t>
      </w:r>
      <w:r>
        <w:rPr>
          <w:rFonts w:ascii="Arial" w:cs="Arial" w:eastAsia="Arial" w:hAnsi="Arial"/>
          <w:sz w:val="18"/>
          <w:szCs w:val="18"/>
          <w:color w:val="auto"/>
        </w:rPr>
        <w:t>. Notwithstanding any provision contained herein to the contrary, each of the Paying Agent, Parent, the Company, Merger Sub and the Surviving Corporation shall be entitled to deduct or withhold from the consideration otherwise payable to any Person pursuant to this Agreement such amounts as it reasonably concludes it is required to deduct or withhold under applicable Law with respect to the making of such payment. If the Paying Agent, Parent, the Company, Merger Sub or the Surviving Corporation, as the case may be, so deducts or withholds amounts and pays over such amounts to the applicable Governmental Authority, such amounts shall be treated for all purposes of this Agreement as having been paid to the Person in respect of which the Paying Agent, Parent, the Company, Merger Sub or the Surviving Corporation, as the case may be, made such deduction or withholding.</w:t>
      </w:r>
    </w:p>
    <w:p>
      <w:pPr>
        <w:spacing w:after="0" w:line="86" w:lineRule="exact"/>
        <w:rPr>
          <w:rFonts w:ascii="Arial" w:cs="Arial" w:eastAsia="Arial" w:hAnsi="Arial"/>
          <w:sz w:val="18"/>
          <w:szCs w:val="18"/>
          <w:color w:val="auto"/>
        </w:rPr>
      </w:pPr>
    </w:p>
    <w:p>
      <w:pPr>
        <w:ind w:firstLine="987"/>
        <w:spacing w:after="0" w:line="263" w:lineRule="auto"/>
        <w:tabs>
          <w:tab w:leader="none" w:pos="12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to the contrary set forth in this Agreement, none of the Paying Agent, Parent, Merger Sub, the Surviving Corporation or any Person shall be liable to a holder of Shares as of immediately prior to the Effective Time for any amount properly paid to a public official pursuant to any applicable abandoned property, escheat or similar Law.</w:t>
      </w:r>
    </w:p>
    <w:p>
      <w:pPr>
        <w:spacing w:after="0" w:line="75" w:lineRule="exact"/>
        <w:rPr>
          <w:rFonts w:ascii="Arial" w:cs="Arial" w:eastAsia="Arial" w:hAnsi="Arial"/>
          <w:sz w:val="18"/>
          <w:szCs w:val="18"/>
          <w:color w:val="auto"/>
        </w:rPr>
      </w:pPr>
    </w:p>
    <w:p>
      <w:pPr>
        <w:ind w:right="180" w:firstLine="987"/>
        <w:spacing w:after="0" w:line="272" w:lineRule="auto"/>
        <w:tabs>
          <w:tab w:leader="none" w:pos="121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Distribution of Exchange Fund to Parent</w:t>
      </w:r>
      <w:r>
        <w:rPr>
          <w:rFonts w:ascii="Arial" w:cs="Arial" w:eastAsia="Arial" w:hAnsi="Arial"/>
          <w:sz w:val="17"/>
          <w:szCs w:val="17"/>
          <w:color w:val="auto"/>
        </w:rPr>
        <w:t xml:space="preserve">. Any portion of the Exchange Fund (including any interest or other amounts earned with respect thereto) that remains undistributed to the Company Stockholders on the date that is twelve (12) months after the Effective Time shall be delivered to Parent upon demand, and any Company Stockholders who have not theretofore surrendered their Certificates that represented Shares or Book-Entry Shares that were issued and outstanding immediately prior to the Effective Time for exchange pursuant to the provisions of this </w:t>
      </w:r>
      <w:r>
        <w:rPr>
          <w:rFonts w:ascii="Arial" w:cs="Arial" w:eastAsia="Arial" w:hAnsi="Arial"/>
          <w:sz w:val="17"/>
          <w:szCs w:val="17"/>
          <w:u w:val="single" w:color="auto"/>
          <w:color w:val="auto"/>
        </w:rPr>
        <w:t>Section 2.8(f)</w:t>
      </w:r>
      <w:r>
        <w:rPr>
          <w:rFonts w:ascii="Arial" w:cs="Arial" w:eastAsia="Arial" w:hAnsi="Arial"/>
          <w:sz w:val="17"/>
          <w:szCs w:val="17"/>
          <w:color w:val="auto"/>
        </w:rPr>
        <w:t xml:space="preserve"> shall thereafter look for payment of the Merger Consideration payable in respect of the Shares formerly represented by such Certificates or such Book-Entry Shares solely to Parent or the Surviving Corporation, as general creditors thereof, for any claim to the applicable Merger Consideration to which such Company Stockholders may be entitled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69"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No Further Ownership Rights in Shares</w:t>
      </w:r>
      <w:r>
        <w:rPr>
          <w:rFonts w:ascii="Arial" w:cs="Arial" w:eastAsia="Arial" w:hAnsi="Arial"/>
          <w:sz w:val="16"/>
          <w:szCs w:val="16"/>
          <w:color w:val="auto"/>
        </w:rPr>
        <w:t xml:space="preserve">. At the Effective Time, the stock transfer books of the Company shall be closed with respect to the Shares outstanding prior to the Effective Time, and thereafter there shall be no further recording or registration of transfers of Shares on the records of the Company. From and after the Effective Time, the holders of the issued and outstanding Shares represented by Certificates and Book-Entry Shares outstanding immediately prior to the Effective Time shall cease to have any rights with respect to such Shares, other than the right to receive the Merger Consideration payable therefor upon the surrender thereof in accordance with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except for Certificates representing, and Book-Entry Shares that constitute, Dissenting Shares, which shall be deemed to represent the right to receive payment in accordance with and to the extent provided by Section 262 of the DGCL, or Canceled Shares. The Merger Consideration paid to Company Stockholders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deemed to have been paid in full satisfaction of all rights pertaining to the Shares held by such Company Stockholders immediately prior to the Effective Time, except for Certificates representing, and Book-Entry Shares that constitute, Dissenting Shares, which shall represent the right to receive payment in accordance with and to the extent provided by Section 262 of the DGCL. Notwithstanding the foregoing, if, after the Effective Time, Certificates or any other valid evidence of ownership of Shares that have not previously been surrendered are presented to the Surviving Corporation for any reason, they shall be canceled and exchanged for the applicable Merger Consideration as provided in this Agreement.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00"/>
          </w:cols>
          <w:pgMar w:left="440" w:top="490" w:right="459" w:bottom="1440" w:gutter="0" w:footer="0" w:header="0"/>
        </w:sectPr>
      </w:pPr>
    </w:p>
    <w:bookmarkStart w:id="37" w:name="page38"/>
    <w:bookmarkEnd w:id="37"/>
    <w:p>
      <w:pPr>
        <w:ind w:left="4"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2.10 </w:t>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xml:space="preserve">. In the event that any Certificates shall have been lost, stolen or destroyed, the Paying Agent shall issue in exchange for such lost, stolen or destroyed Certificates, upon the making of an affidavit, in customary form reasonably acceptable to Parent, of that fact by the holder thereof, the Merger Consideration payable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Paying Agent may, in its discretion and as a condition precedent to the payment of such Merger Consideration, require the owner(s) of such lost, stolen or destroyed Certificates to deliver a bond in a customary and reasonable sum as it may reasonably direct as indemnity against any claim that may be made against Parent, Merger Sub, the Surviving Corporation or the Paying Agent with respect to the Certificates alleged to have been lost, stolen or destroyed.</w:t>
      </w:r>
    </w:p>
    <w:p>
      <w:pPr>
        <w:spacing w:after="0" w:line="37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Except (x) as disclosed in the letter delivered by the Company to Parent on the date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or</w:t>
      </w:r>
    </w:p>
    <w:p>
      <w:pPr>
        <w:spacing w:after="0" w:line="35" w:lineRule="exact"/>
        <w:rPr>
          <w:sz w:val="20"/>
          <w:szCs w:val="20"/>
          <w:color w:val="auto"/>
        </w:rPr>
      </w:pPr>
    </w:p>
    <w:p>
      <w:pPr>
        <w:ind w:left="4" w:right="40" w:hanging="4"/>
        <w:spacing w:after="0" w:line="252" w:lineRule="auto"/>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as disclosed in any Company SEC Reports filed with or furnished to the SEC on or after January 1, 2022 and publicly available prior to the date hereof (excluding any disclosure under the heading “Risk Factors” or “Forward-Looking Statements and Market Data” and other disclosures, in each case, to the extent predictive, cautionary or forward-looking in nature but, for the purpose of clarification, including and giving effect to any factual or historical statements included in any such statements), it being understood that any matter disclosed in such filings shall not be deemed disclosed for the purposes of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of this Agreement, the Company hereby represents and warrants to Parent and Merger Sub as follows:</w:t>
      </w:r>
    </w:p>
    <w:p>
      <w:pPr>
        <w:spacing w:after="0" w:line="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270" w:lineRule="auto"/>
        <w:tabs>
          <w:tab w:leader="none" w:pos="123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is duly organized and validly existing and in good standing under the Laws of the State of Delaware. The Company has all corporate power and authority to own, lease and operate its properties and conduct its business as currently conducted, except for such failures to have such power that would not, individually or in the aggregate, reasonably be expected to have a material adverse effect on its ability to perform its obligations under this Agreement or to consummate the transactions contemplated by this Agreement or to have a Company Material Adverse Effect. The Company is duly qualified and in good standing as a foreign corporation or other entity authorized to do business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material adverse effect on its ability to perform its obligations under this Agreement or to consummate the transactions contemplated by this Agreement or to have a Company Material Adverse Effect.</w:t>
      </w:r>
    </w:p>
    <w:p>
      <w:pPr>
        <w:spacing w:after="0" w:line="113" w:lineRule="exact"/>
        <w:rPr>
          <w:rFonts w:ascii="Arial" w:cs="Arial" w:eastAsia="Arial" w:hAnsi="Arial"/>
          <w:sz w:val="17"/>
          <w:szCs w:val="17"/>
          <w:color w:val="auto"/>
        </w:rPr>
      </w:pPr>
    </w:p>
    <w:p>
      <w:pPr>
        <w:ind w:left="5424" w:hanging="111"/>
        <w:spacing w:after="0"/>
        <w:tabs>
          <w:tab w:leader="none" w:pos="54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04"/>
          </w:cols>
          <w:pgMar w:left="436" w:top="490" w:right="459" w:bottom="1440" w:gutter="0" w:footer="0" w:header="0"/>
        </w:sectPr>
      </w:pPr>
    </w:p>
    <w:bookmarkStart w:id="38" w:name="page39"/>
    <w:bookmarkEnd w:id="38"/>
    <w:p>
      <w:pPr>
        <w:ind w:left="4" w:right="40" w:firstLine="987"/>
        <w:spacing w:after="0" w:line="257" w:lineRule="auto"/>
        <w:tabs>
          <w:tab w:leader="none" w:pos="1247"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certificate of incorporation and bylaws of the Company filed as exhibits to the Company SEC Documents are true, correct and complete copies as of the date hereof. The Company is in compliance with the provisions of the certificate of incorporation and bylaws of the Company, except for such failures to be in compliance that would not, individually or in the aggregate, reasonably be expected to have a material adverse effect on its ability to perform its obligations under this Agreement or to consummate the transactions contemplated by this Agreement or to have a Company Material Adverse Effect.</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90" w:lineRule="auto"/>
        <w:tabs>
          <w:tab w:leader="none" w:pos="1237"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650,000,000 Shares, consisting of 500,000,000 shares of Class A Common Stock and 150,000,000 shares of Class B Common Stock, and 100,000,000 shares of Company Preferred Stock. At the close of business on July 25, 2023 (the “</w:t>
      </w:r>
      <w:r>
        <w:rPr>
          <w:rFonts w:ascii="Arial" w:cs="Arial" w:eastAsia="Arial" w:hAnsi="Arial"/>
          <w:sz w:val="16"/>
          <w:szCs w:val="16"/>
          <w:u w:val="single" w:color="auto"/>
          <w:color w:val="auto"/>
        </w:rPr>
        <w:t>Capitalization Date</w:t>
      </w:r>
      <w:r>
        <w:rPr>
          <w:rFonts w:ascii="Arial" w:cs="Arial" w:eastAsia="Arial" w:hAnsi="Arial"/>
          <w:sz w:val="16"/>
          <w:szCs w:val="16"/>
          <w:color w:val="auto"/>
        </w:rPr>
        <w:t>”), (i) 33,344,460 shares of Class A Common Stock were issued and outstanding, (ii) 4,515,246 shares of Class B Common Stock were issued and outstanding, (iii) no shares of Company Preferred Stock were issued and outstanding, and (iv) no shares of Class A Common Stock were held by the Company in its treasury. From the Capitalization Date to the execution of this Agreement, the Company has not issued any Shares or other Company Securities except pursuant to the exercise of the purchase rights under the Company ESPP, the exercise of Company Options, or the settlement of Company RSU Awards outstanding as of the Capitalization Date in accordance with their terms. All of the outstanding Shares have been duly authorized and validly issued and are fully paid and nonassessable and are free of preemptive rights.</w:t>
      </w:r>
    </w:p>
    <w:p>
      <w:pPr>
        <w:spacing w:after="0" w:line="57" w:lineRule="exact"/>
        <w:rPr>
          <w:rFonts w:ascii="Arial" w:cs="Arial" w:eastAsia="Arial" w:hAnsi="Arial"/>
          <w:sz w:val="16"/>
          <w:szCs w:val="16"/>
          <w:color w:val="auto"/>
        </w:rPr>
      </w:pPr>
    </w:p>
    <w:p>
      <w:pPr>
        <w:ind w:left="4" w:right="40" w:firstLine="987"/>
        <w:spacing w:after="0" w:line="290" w:lineRule="auto"/>
        <w:tabs>
          <w:tab w:leader="none" w:pos="12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As of the close of business on the Capitalization Date, (i) 6,956,455 Shares were subject to issuance pursuant to outstanding Company Options (assuming satisfaction of any applicable performance conditions), (ii) 1,118,092 Shares were subject to issuance pursuant to outstanding Company RSU Awards (assuming satisfaction of any applicable performance conditions), (iii) 1,758,359 Shares were reserved for future issuance under the Company Stock Plan, and (iv) 477,532 Shares were reserved for future issuance under the Company ESPP. Each Company Stock Award has been granted in compliance in all material respects with all applicable securities Laws or exemptions therefrom and all requirements set forth in the Company Stock Plan or the Company ESPP, as applicable, and applicable award agreements. The exercise price of each Company Option is not less than the fair market value (within the meaning of Section 409A of the Code) of a Share on the date of grant of such Company Option and all such Company Options are exempt from Section 409A of the Code. Each Company Stock Award may by its terms be treated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this Agreement.</w:t>
      </w:r>
    </w:p>
    <w:p>
      <w:pPr>
        <w:spacing w:after="0" w:line="57" w:lineRule="exact"/>
        <w:rPr>
          <w:rFonts w:ascii="Arial" w:cs="Arial" w:eastAsia="Arial" w:hAnsi="Arial"/>
          <w:sz w:val="16"/>
          <w:szCs w:val="16"/>
          <w:color w:val="auto"/>
        </w:rPr>
      </w:pPr>
    </w:p>
    <w:p>
      <w:pPr>
        <w:ind w:left="4" w:right="40" w:firstLine="987"/>
        <w:spacing w:after="0" w:line="285" w:lineRule="auto"/>
        <w:tabs>
          <w:tab w:leader="none" w:pos="12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Except for the Company Stock Awards and as set forth in this </w:t>
      </w:r>
      <w:r>
        <w:rPr>
          <w:rFonts w:ascii="Arial" w:cs="Arial" w:eastAsia="Arial" w:hAnsi="Arial"/>
          <w:sz w:val="16"/>
          <w:szCs w:val="16"/>
          <w:u w:val="single" w:color="auto"/>
          <w:color w:val="auto"/>
        </w:rPr>
        <w:t>Section 3.2</w:t>
      </w:r>
      <w:r>
        <w:rPr>
          <w:rFonts w:ascii="Arial" w:cs="Arial" w:eastAsia="Arial" w:hAnsi="Arial"/>
          <w:sz w:val="16"/>
          <w:szCs w:val="16"/>
          <w:color w:val="auto"/>
        </w:rPr>
        <w:t>, as of the close of business on the Capitalization Date, there are no outstanding (i) shares of capital stock in the Company, (ii) securities of the Company convertible into or exchangeable for shares of capital stock or voting securities or ownership interests in the Company, (iii) warrants, calls, options, subscriptions, commitments, Contracts or other rights to acquire from the Company, or other obligations of the Company to issue, any capital stock or other voting securities of, or ownership interests in, or any securities convertible into, or exchangeable or exercisable for, any capital stock or other voting securities of, or ownership interests in, the Company, or</w:t>
      </w:r>
    </w:p>
    <w:p>
      <w:pPr>
        <w:spacing w:after="0" w:line="1" w:lineRule="exact"/>
        <w:rPr>
          <w:rFonts w:ascii="Arial" w:cs="Arial" w:eastAsia="Arial" w:hAnsi="Arial"/>
          <w:sz w:val="16"/>
          <w:szCs w:val="16"/>
          <w:color w:val="auto"/>
        </w:rPr>
      </w:pPr>
    </w:p>
    <w:p>
      <w:pPr>
        <w:ind w:left="4" w:hanging="4"/>
        <w:spacing w:after="0" w:line="253" w:lineRule="auto"/>
        <w:tabs>
          <w:tab w:leader="none" w:pos="3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restricted shares, restricted stock units,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the Company or any obligation of the Company to issue any of the foregoing (the items in each of clauses (i), (ii), (iii) and (iv) “</w:t>
      </w:r>
      <w:r>
        <w:rPr>
          <w:rFonts w:ascii="Arial" w:cs="Arial" w:eastAsia="Arial" w:hAnsi="Arial"/>
          <w:sz w:val="18"/>
          <w:szCs w:val="18"/>
          <w:u w:val="single" w:color="auto"/>
          <w:color w:val="auto"/>
        </w:rPr>
        <w:t>Company Securities</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2"/>
          <w:numId w:val="35"/>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04"/>
          </w:cols>
          <w:pgMar w:left="436" w:top="490" w:right="459" w:bottom="1440" w:gutter="0" w:footer="0" w:header="0"/>
        </w:sectPr>
      </w:pPr>
    </w:p>
    <w:bookmarkStart w:id="39" w:name="page40"/>
    <w:bookmarkEnd w:id="39"/>
    <w:p>
      <w:pPr>
        <w:ind w:left="4" w:right="120" w:firstLine="987"/>
        <w:spacing w:after="0" w:line="279" w:lineRule="auto"/>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 of the close of business on the Capitalization Date, (i) there were no outstanding obligations requiring the Company to purchase, redeem or otherwise acquire any Company Securities, (ii) there were no voting trusts or other agreements or understandings to which the Company is a party with respect to the voting of capital stock of the Company, and (iii) all outstanding securities of the Company have been offered and issued in compliance in all material respects with all applicable securities Laws, including the Securities Act and “blue sky” Laws.</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79"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Section 3.3(a) of the Company Disclosure Letter identifies each Subsidiary of the Company and indicates its jurisdiction of organization and the percentage of the outstanding equity or ownership interest of each such Subsidiary owned by the Company and each of the other Subsidiaries of the Company. Except for the capital stock or other voting securities of, or ownership interests in, its Subsidiaries, the Company does not own, directly or indirectly, any capital stock or other voting securities of, or ownership interests in, any Person.</w:t>
      </w:r>
    </w:p>
    <w:p>
      <w:pPr>
        <w:spacing w:after="0" w:line="63" w:lineRule="exact"/>
        <w:rPr>
          <w:rFonts w:ascii="Arial" w:cs="Arial" w:eastAsia="Arial" w:hAnsi="Arial"/>
          <w:sz w:val="17"/>
          <w:szCs w:val="17"/>
          <w:color w:val="auto"/>
        </w:rPr>
      </w:pPr>
    </w:p>
    <w:p>
      <w:pPr>
        <w:ind w:left="4" w:right="200" w:firstLine="987"/>
        <w:spacing w:after="0" w:line="272" w:lineRule="auto"/>
        <w:tabs>
          <w:tab w:leader="none" w:pos="12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Each Subsidiary of the Company is duly organized and validly existing and (where applicable) in good standing under the laws of its jurisdiction of organization and has all organizational powers required to own, lease and operate its properties and conduct its business as currently conducted, except for such failures to have such power that would not, individually or in the aggregate, reasonably be expected to have a Company Material Adverse Effect. Each such Subsidiary is duly qualified and in good standing as a foreign entity to do business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Company Material Adverse Effect.</w:t>
      </w:r>
    </w:p>
    <w:p>
      <w:pPr>
        <w:spacing w:after="0" w:line="69" w:lineRule="exact"/>
        <w:rPr>
          <w:rFonts w:ascii="Arial" w:cs="Arial" w:eastAsia="Arial" w:hAnsi="Arial"/>
          <w:sz w:val="17"/>
          <w:szCs w:val="17"/>
          <w:color w:val="auto"/>
        </w:rPr>
      </w:pPr>
    </w:p>
    <w:p>
      <w:pPr>
        <w:ind w:left="4" w:firstLine="987"/>
        <w:spacing w:after="0" w:line="284" w:lineRule="auto"/>
        <w:tabs>
          <w:tab w:leader="none" w:pos="12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of the outstanding capital stock or other voting securities of, or ownership interests in, each Subsidiary of the Company have been duly authorized and validly issued and are fully paid and non-assessable, and is owned by the Company, directly or indirectly, and are free of preemptive rights. There are no issued, reserved for issuance or outstanding (i) securities of the Company or any of its Subsidiaries convertible into, or exchangeable or exercisable for, shares of capital stock or other voting securities of, or ownership interests in, any Subsidiary of the Company, (ii) warrants, calls, options, subscriptions, commitments, Contracts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w:t>
      </w:r>
    </w:p>
    <w:p>
      <w:pPr>
        <w:spacing w:after="0" w:line="2" w:lineRule="exact"/>
        <w:rPr>
          <w:rFonts w:ascii="Arial" w:cs="Arial" w:eastAsia="Arial" w:hAnsi="Arial"/>
          <w:sz w:val="16"/>
          <w:szCs w:val="16"/>
          <w:color w:val="auto"/>
        </w:rPr>
      </w:pPr>
    </w:p>
    <w:p>
      <w:pPr>
        <w:ind w:left="4" w:hanging="4"/>
        <w:spacing w:after="0" w:line="292" w:lineRule="auto"/>
        <w:tabs>
          <w:tab w:leader="none" w:pos="319"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restricted shares, restricted stock units,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or any obligation of the Company or its Subsidiaries to issue any of the foregoing (the items in clauses (i) through (iii) being referred to collectively as the “</w:t>
      </w:r>
      <w:r>
        <w:rPr>
          <w:rFonts w:ascii="Arial" w:cs="Arial" w:eastAsia="Arial" w:hAnsi="Arial"/>
          <w:sz w:val="16"/>
          <w:szCs w:val="16"/>
          <w:u w:val="single" w:color="auto"/>
          <w:color w:val="auto"/>
        </w:rPr>
        <w:t>Company Subsidiary Securities</w:t>
      </w:r>
      <w:r>
        <w:rPr>
          <w:rFonts w:ascii="Arial" w:cs="Arial" w:eastAsia="Arial" w:hAnsi="Arial"/>
          <w:sz w:val="16"/>
          <w:szCs w:val="16"/>
          <w:color w:val="auto"/>
        </w:rPr>
        <w:t>”). There are no outstanding obligations of the Company or any of its Subsidiaries to repurchase, redeem or otherwise acquire any of the Company Subsidiary Securities.</w:t>
      </w:r>
    </w:p>
    <w:p>
      <w:pPr>
        <w:spacing w:after="0" w:line="94" w:lineRule="exact"/>
        <w:rPr>
          <w:rFonts w:ascii="Arial" w:cs="Arial" w:eastAsia="Arial" w:hAnsi="Arial"/>
          <w:sz w:val="16"/>
          <w:szCs w:val="16"/>
          <w:color w:val="auto"/>
        </w:rPr>
      </w:pPr>
    </w:p>
    <w:p>
      <w:pPr>
        <w:ind w:left="5424" w:hanging="111"/>
        <w:spacing w:after="0"/>
        <w:tabs>
          <w:tab w:leader="none" w:pos="5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04"/>
          </w:cols>
          <w:pgMar w:left="436" w:top="490" w:right="459" w:bottom="1440" w:gutter="0" w:footer="0" w:header="0"/>
        </w:sectPr>
      </w:pPr>
    </w:p>
    <w:bookmarkStart w:id="40" w:name="page41"/>
    <w:bookmarkEnd w:id="40"/>
    <w:p>
      <w:pPr>
        <w:ind w:left="4"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3.4 </w:t>
      </w:r>
      <w:r>
        <w:rPr>
          <w:rFonts w:ascii="Arial" w:cs="Arial" w:eastAsia="Arial" w:hAnsi="Arial"/>
          <w:sz w:val="17"/>
          <w:szCs w:val="17"/>
          <w:u w:val="single" w:color="auto"/>
          <w:color w:val="auto"/>
        </w:rPr>
        <w:t>Corporate Power; Enforceability</w:t>
      </w:r>
      <w:r>
        <w:rPr>
          <w:rFonts w:ascii="Arial" w:cs="Arial" w:eastAsia="Arial" w:hAnsi="Arial"/>
          <w:sz w:val="17"/>
          <w:szCs w:val="17"/>
          <w:color w:val="auto"/>
        </w:rPr>
        <w:t xml:space="preserve">. The Company has all requisite corporate power and authority to execute and deliver this Agreement, to perform its covenants and obligations hereunder and, assuming the accuracy of the representation set forth in the first sentence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with respect to the Merger, subject to obtaining the Stockholder Approval, to consummate the transactions contemplated hereby. The execution and delivery by the Company of this Agreement, the performance by the Company of its covenants and obligations hereunder and, assuming the accuracy of the representation set forth in the first sentence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with respect to the Merger, subject to obtaining the Stockholder Approval, the consummation by the Company of the transactions contemplated hereby have been duly and validly authorized by all necessary corporate action on the part of the Company, and, except for the filing of the Certificate of Merger with the Secretary of State of the State of Delaware, no additional corporate proceedings or actions on the part of the Company are necessary to authorize the execution and delivery by the Company of this Agreement, the performance by the Company of its covenants and obligations hereunder or the consummation of the transactions contemplated hereby. Assuming the accuracy of the representation set forth in the first sentence of </w:t>
      </w:r>
      <w:r>
        <w:rPr>
          <w:rFonts w:ascii="Arial" w:cs="Arial" w:eastAsia="Arial" w:hAnsi="Arial"/>
          <w:sz w:val="17"/>
          <w:szCs w:val="17"/>
          <w:u w:val="single" w:color="auto"/>
          <w:color w:val="auto"/>
        </w:rPr>
        <w:t>Section 4.6</w:t>
      </w:r>
      <w:r>
        <w:rPr>
          <w:rFonts w:ascii="Arial" w:cs="Arial" w:eastAsia="Arial" w:hAnsi="Arial"/>
          <w:sz w:val="17"/>
          <w:szCs w:val="17"/>
          <w:color w:val="auto"/>
        </w:rPr>
        <w:t>, this Agreement has been duly and validly executed and delivered by the Company and, assuming the due authorization, execution and delivery by Parent and Merger Sub, constitutes a legal, valid and binding obligation of the Company, enforceable against the Company in accordance with its terms, except that such enforceability (a) may be limited by applicable bankruptcy, insolvency, reorganization, moratorium and other similar Laws affecting or relating to creditors’ rights generally, and (b) is subject to general principles of equity (collectively, the “</w:t>
      </w:r>
      <w:r>
        <w:rPr>
          <w:rFonts w:ascii="Arial" w:cs="Arial" w:eastAsia="Arial" w:hAnsi="Arial"/>
          <w:sz w:val="17"/>
          <w:szCs w:val="17"/>
          <w:u w:val="single" w:color="auto"/>
          <w:color w:val="auto"/>
        </w:rPr>
        <w:t>Enforceability Exceptions</w:t>
      </w:r>
      <w:r>
        <w:rPr>
          <w:rFonts w:ascii="Arial" w:cs="Arial" w:eastAsia="Arial" w:hAnsi="Arial"/>
          <w:sz w:val="17"/>
          <w:szCs w:val="17"/>
          <w:color w:val="auto"/>
        </w:rPr>
        <w:t>”).</w:t>
      </w:r>
    </w:p>
    <w:p>
      <w:pPr>
        <w:spacing w:after="0" w:line="76"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Company Board Approval</w:t>
      </w:r>
      <w:r>
        <w:rPr>
          <w:rFonts w:ascii="Arial" w:cs="Arial" w:eastAsia="Arial" w:hAnsi="Arial"/>
          <w:sz w:val="16"/>
          <w:szCs w:val="16"/>
          <w:color w:val="auto"/>
        </w:rPr>
        <w:t>. The Company Board, at a meeting duly called and held at which all of the directors of the Company were present, duly and unanimously (a) determined that this Agreement and the transactions contemplated hereby, including the Merger, are advisable, fair to and in the best interests of the Company and its stockholders, and declared it advisable for the Company to enter into this Agreement, (b) approved and declared advisable the execution and delivery by the Company of this Agreement, the performance by the Company of its covenants and agreements contained herein and the consummation of the Merger and the other transactions contemplated by this Agreement upon the terms and subject to the conditions contained herein, (c) directed that the adoption of this Agreement be submitted to a vote at a meeting of the Company Stockholders, and</w:t>
      </w:r>
    </w:p>
    <w:p>
      <w:pPr>
        <w:spacing w:after="0" w:line="4" w:lineRule="exact"/>
        <w:rPr>
          <w:sz w:val="20"/>
          <w:szCs w:val="20"/>
          <w:color w:val="auto"/>
        </w:rPr>
      </w:pPr>
    </w:p>
    <w:p>
      <w:pPr>
        <w:ind w:left="4" w:right="600" w:hanging="4"/>
        <w:spacing w:after="0" w:line="255"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resolved, subject to the terms and conditions set forth in this Agreement, to recommend that this Agreement be adopted by the Company Stockholders (the matters described in clauses (a) through (d), the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xml:space="preserve">”), which resolutions, except to the extent expressly permitted by </w:t>
      </w:r>
      <w:r>
        <w:rPr>
          <w:rFonts w:ascii="Arial" w:cs="Arial" w:eastAsia="Arial" w:hAnsi="Arial"/>
          <w:sz w:val="18"/>
          <w:szCs w:val="18"/>
          <w:u w:val="single" w:color="auto"/>
          <w:color w:val="auto"/>
        </w:rPr>
        <w:t>Section 5.3</w:t>
      </w:r>
      <w:r>
        <w:rPr>
          <w:rFonts w:ascii="Arial" w:cs="Arial" w:eastAsia="Arial" w:hAnsi="Arial"/>
          <w:sz w:val="18"/>
          <w:szCs w:val="18"/>
          <w:color w:val="auto"/>
        </w:rPr>
        <w:t>, have not been rescinded, modified or withdrawn in any way.</w:t>
      </w:r>
    </w:p>
    <w:p>
      <w:pPr>
        <w:spacing w:after="0" w:line="82"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xml:space="preserve">. Assuming the accuracy of the representation set forth in the first sentence of </w:t>
      </w:r>
      <w:r>
        <w:rPr>
          <w:rFonts w:ascii="Arial" w:cs="Arial" w:eastAsia="Arial" w:hAnsi="Arial"/>
          <w:sz w:val="18"/>
          <w:szCs w:val="18"/>
          <w:u w:val="single" w:color="auto"/>
          <w:color w:val="auto"/>
        </w:rPr>
        <w:t>Section 4.6</w:t>
      </w:r>
      <w:r>
        <w:rPr>
          <w:rFonts w:ascii="Arial" w:cs="Arial" w:eastAsia="Arial" w:hAnsi="Arial"/>
          <w:sz w:val="18"/>
          <w:szCs w:val="18"/>
          <w:color w:val="auto"/>
        </w:rPr>
        <w:t>, the affirmative vote of the holders of a majority of the voting power of all Shares entitled to vote thereon (the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is the only vote of the holders of any class or series of the Company’s capital stock necessary under applicable Law and the Company’s certificate of incorporation and bylaws to adopt this Agreement and approve the Merger.</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964"/>
          </w:cols>
          <w:pgMar w:left="436" w:top="490" w:right="499" w:bottom="1440" w:gutter="0" w:footer="0" w:header="0"/>
        </w:sectPr>
      </w:pPr>
    </w:p>
    <w:bookmarkStart w:id="41" w:name="page42"/>
    <w:bookmarkEnd w:id="41"/>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3.7 </w:t>
      </w:r>
      <w:r>
        <w:rPr>
          <w:rFonts w:ascii="Arial" w:cs="Arial" w:eastAsia="Arial" w:hAnsi="Arial"/>
          <w:sz w:val="16"/>
          <w:szCs w:val="16"/>
          <w:u w:val="single" w:color="auto"/>
          <w:color w:val="auto"/>
        </w:rPr>
        <w:t>Consents and Approvals; No Violation</w:t>
      </w:r>
      <w:r>
        <w:rPr>
          <w:rFonts w:ascii="Arial" w:cs="Arial" w:eastAsia="Arial" w:hAnsi="Arial"/>
          <w:sz w:val="16"/>
          <w:szCs w:val="16"/>
          <w:color w:val="auto"/>
        </w:rPr>
        <w:t xml:space="preserve">. Assuming the accuracy of the representation set forth in the first sentence of </w:t>
      </w:r>
      <w:r>
        <w:rPr>
          <w:rFonts w:ascii="Arial" w:cs="Arial" w:eastAsia="Arial" w:hAnsi="Arial"/>
          <w:sz w:val="16"/>
          <w:szCs w:val="16"/>
          <w:u w:val="single" w:color="auto"/>
          <w:color w:val="auto"/>
        </w:rPr>
        <w:t>Section 4.6</w:t>
      </w:r>
      <w:r>
        <w:rPr>
          <w:rFonts w:ascii="Arial" w:cs="Arial" w:eastAsia="Arial" w:hAnsi="Arial"/>
          <w:sz w:val="16"/>
          <w:szCs w:val="16"/>
          <w:color w:val="auto"/>
        </w:rPr>
        <w:t>, neither the execution and delivery of this Agreement by the Company, the performance by the Company of its covenants and obligations hereunder nor the consummation of the transactions contemplated hereby will (a) violate or conflict with or result in any breach of any provision of the certificate of incorporation or bylaws of the Company, (b) require any Permit of, or filing with or notification to, any Governmental Authority except (i) as may be required under the HSR Act or any applicable foreign antitrust or competition Laws (“</w:t>
      </w:r>
      <w:r>
        <w:rPr>
          <w:rFonts w:ascii="Arial" w:cs="Arial" w:eastAsia="Arial" w:hAnsi="Arial"/>
          <w:sz w:val="16"/>
          <w:szCs w:val="16"/>
          <w:u w:val="single" w:color="auto"/>
          <w:color w:val="auto"/>
        </w:rPr>
        <w:t>Foreign Antitrust Laws</w:t>
      </w:r>
      <w:r>
        <w:rPr>
          <w:rFonts w:ascii="Arial" w:cs="Arial" w:eastAsia="Arial" w:hAnsi="Arial"/>
          <w:sz w:val="16"/>
          <w:szCs w:val="16"/>
          <w:color w:val="auto"/>
        </w:rPr>
        <w:t>”), (ii) the applicable requirements of any federal or state securities Laws, including compliance with the Exchange Act and the rules and regulations promulgated thereunder, (iii) the filing and recordation of appropriate merger documents as required by the DGCL, including the filing of the Certificate of Merger with the Secretary of State of the State of Delaware, or (iv) the applicable requirements of NASDAQ, (c) violate, conflict with, or result in a breach of any provisions of, or require any Consent or result in a default (or give rise to any right of termination, cancellation, modification or acceleration or any event that, with the giving of notice, the passage of time or otherwise, would constitute a default or give rise to any such right) under any of the terms, conditions or provisions of any Material Contract, (d) result in (or, with the giving of notice, the passage of time or otherwise, would result in) the creation or imposition of any Lien on any asset of the Company (other than Permitted Liens or a Lien created by Parent or Merger Sub) or (e) violate any Law or Order applicable to the Company or by which any of its assets are bound (assuming receipt of the Stockholder Approval), except, in the case of clauses (b) through (e), inclusive, as have not and would not, individually or in the aggregate, reasonably be expected to have a material adverse effect on its ability to perform its obligations under this Agreement or to consummate the transactions contemplated by this Agreement or to have a Company Material Adverse Effect.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Reports; Financial Statements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86" w:lineRule="auto"/>
        <w:tabs>
          <w:tab w:leader="none" w:pos="12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Since January 1, 2022, the Company has timely filed or furnished all reports, schedules, forms, statements and other documents required to be filed or furnished by it with the SEC (as amended or supplemented since the time of filing, the “</w:t>
      </w:r>
      <w:r>
        <w:rPr>
          <w:rFonts w:ascii="Arial" w:cs="Arial" w:eastAsia="Arial" w:hAnsi="Arial"/>
          <w:sz w:val="16"/>
          <w:szCs w:val="16"/>
          <w:u w:val="single" w:color="auto"/>
          <w:color w:val="auto"/>
        </w:rPr>
        <w:t>Company SEC Reports</w:t>
      </w:r>
      <w:r>
        <w:rPr>
          <w:rFonts w:ascii="Arial" w:cs="Arial" w:eastAsia="Arial" w:hAnsi="Arial"/>
          <w:sz w:val="16"/>
          <w:szCs w:val="16"/>
          <w:color w:val="auto"/>
        </w:rPr>
        <w:t xml:space="preserve">”), all of which have complied as of their respective filing dates or, if amended, supplemented or superseded by a subsequent filing, as of the date of the last such amendment, supplement or superseding filing, in all material respects with all applicable requirements of the Securities Act, the Exchange Act and the Sarbanes-Oxley Act. Since January 1, 2022, no executive officer of the Company has failed in any respect to make the certifications required of him or her under Sections 302 or 906 of the Sarbanes-Oxley Act with respect to any Company SEC Report. As of their respective dates (to the extent that information contained in such Company SEC Report has been amended or supplemented by a later filed Company SEC Report prior to the date of this Agreement, as of the date of such amendment or supplement) none of the Company SEC Reports since January 1, 2022 contained any untrue statement of a material fact or omitted to state a material fact required to be stated therein or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As of the date of this Agreement, there are no outstanding or unresolved comments in comment letters received from the SEC staff with respect to the Company SEC Reports.</w:t>
      </w:r>
    </w:p>
    <w:p>
      <w:pPr>
        <w:spacing w:after="0" w:line="106" w:lineRule="exact"/>
        <w:rPr>
          <w:rFonts w:ascii="Arial" w:cs="Arial" w:eastAsia="Arial" w:hAnsi="Arial"/>
          <w:sz w:val="16"/>
          <w:szCs w:val="16"/>
          <w:color w:val="auto"/>
        </w:rPr>
      </w:pPr>
    </w:p>
    <w:p>
      <w:pPr>
        <w:ind w:left="5420" w:hanging="111"/>
        <w:spacing w:after="0"/>
        <w:tabs>
          <w:tab w:leader="none" w:pos="5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60"/>
          </w:cols>
          <w:pgMar w:left="440" w:top="490" w:right="499" w:bottom="1440" w:gutter="0" w:footer="0" w:header="0"/>
        </w:sectPr>
      </w:pPr>
    </w:p>
    <w:bookmarkStart w:id="42" w:name="page43"/>
    <w:bookmarkEnd w:id="42"/>
    <w:p>
      <w:pPr>
        <w:ind w:left="-987" w:right="60" w:firstLine="987"/>
        <w:spacing w:after="0" w:line="270" w:lineRule="auto"/>
        <w:tabs>
          <w:tab w:leader="none" w:pos="256"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audited and unaudited consolidated financial statements, including the related notes and schedules thereto, of the Company included (or incorporated by reference) in the Company SEC Reports (i) complied as to form in all material respects with the applicable accounting requirements and the applicable published rules and regulations of the SEC with respect thereto in effect at the time of such filing, (ii) have been prepared in accordance with GAAP (except as may be described in the notes to such financial statements or, in the case of unaudited interim financial statements, as may be permitted by the SEC on Form 10-Q or any successor form under the Exchange Act) applied on a consistent basis throughout the periods involved, and (iii) fairly present in all material respects the consolidated financial position of the Company and its consolidated Subsidiaries as of their respective dates, and the consolidated income, stockholders equity, results of operations and changes in consolidated financial position or cash flows for the periods presented therein, in each case, in conformity with GAAP (subject, in the case of the unaudited financial statements, to the absence of footnotes and normal year-end audit adjustments).</w:t>
      </w:r>
    </w:p>
    <w:p>
      <w:pPr>
        <w:spacing w:after="0" w:line="72" w:lineRule="exact"/>
        <w:rPr>
          <w:rFonts w:ascii="Arial" w:cs="Arial" w:eastAsia="Arial" w:hAnsi="Arial"/>
          <w:sz w:val="17"/>
          <w:szCs w:val="17"/>
          <w:color w:val="auto"/>
        </w:rPr>
      </w:pPr>
    </w:p>
    <w:p>
      <w:pPr>
        <w:ind w:left="-987" w:firstLine="987"/>
        <w:spacing w:after="0" w:line="287" w:lineRule="auto"/>
        <w:tabs>
          <w:tab w:leader="none" w:pos="2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and its Subsidiaries maintain, and at all times since January 1, 2022, have maintained, a system of internal control over financial reporting (as defined in Rule 13a-15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conformity with GAAP and that receipts and expenditures are being made only in accordance with authorizations of management and the Company Board, and (iii) provide reasonable assurance regarding prevention or timely detection of unauthorized acquisition, use or disposition of the assets of the Company or its Subsidiaries that could have a material effect on the financial statements. The Company’s management has completed an assessment of the effectiveness of the Company’s and its Subsidiaries’ system of internal control over financial reporting in compliance with the requirements of Section 404 of the Sarbanes-Oxley Act for the fiscal year ended December 31, 2022, and, except as set forth in the Company SEC Reports filed prior to the date of this Agreement, that assessment concluded that those controls were effective.</w:t>
      </w:r>
    </w:p>
    <w:p>
      <w:pPr>
        <w:spacing w:after="0" w:line="63" w:lineRule="exact"/>
        <w:rPr>
          <w:rFonts w:ascii="Arial" w:cs="Arial" w:eastAsia="Arial" w:hAnsi="Arial"/>
          <w:sz w:val="16"/>
          <w:szCs w:val="16"/>
          <w:color w:val="auto"/>
        </w:rPr>
      </w:pPr>
    </w:p>
    <w:p>
      <w:pPr>
        <w:ind w:left="-987" w:right="240" w:firstLine="987"/>
        <w:spacing w:after="0" w:line="293" w:lineRule="auto"/>
        <w:tabs>
          <w:tab w:leader="none" w:pos="2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and its Subsidiaries maintain and since January 1, 2022, have maintained “disclosure controls and procedures” as defined in and required by Rule 13a-15 or 15d-15 under the Exchange Act that are reasonably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the principal executive officer of the Company and the principal financial officer of the Company to make the certifications required under the Exchange Act with respect to such reports.</w:t>
      </w:r>
    </w:p>
    <w:p>
      <w:pPr>
        <w:spacing w:after="0" w:line="96" w:lineRule="exact"/>
        <w:rPr>
          <w:rFonts w:ascii="Arial" w:cs="Arial" w:eastAsia="Arial" w:hAnsi="Arial"/>
          <w:sz w:val="16"/>
          <w:szCs w:val="16"/>
          <w:color w:val="auto"/>
        </w:rPr>
      </w:pPr>
    </w:p>
    <w:p>
      <w:pPr>
        <w:ind w:left="4433" w:hanging="111"/>
        <w:spacing w:after="0"/>
        <w:tabs>
          <w:tab w:leader="none" w:pos="4433" w:val="left"/>
        </w:tabs>
        <w:numPr>
          <w:ilvl w:val="1"/>
          <w:numId w:val="41"/>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033"/>
          </w:cols>
          <w:pgMar w:left="1427" w:top="490" w:right="439" w:bottom="1440" w:gutter="0" w:footer="0" w:header="0"/>
        </w:sectPr>
      </w:pPr>
    </w:p>
    <w:bookmarkStart w:id="43" w:name="page44"/>
    <w:bookmarkEnd w:id="43"/>
    <w:p>
      <w:pPr>
        <w:ind w:right="60" w:firstLine="987"/>
        <w:spacing w:after="0" w:line="271" w:lineRule="auto"/>
        <w:tabs>
          <w:tab w:leader="none" w:pos="1236"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Except for matters resolved prior to the date hereof, since January 1, 2022 (i) none of the Company or any of its Subsidiaries or any of their respective directors or officers, nor, to the Knowledge of the Company, any of their respective employees, auditors, accountants or other Representatives, has received or otherwise had or obtained knowledge of any written complaint, allegation, assertion or claim regarding the accounting or auditing practices, procedures, methodologies or methods of the Company, any of its Subsidiaries or their respective internal accounting controls, including any written complaint, allegation, assertion or claim that the Company or any of its Subsidiaries has engaged in improper accounting or auditing practices, except as would not, individually or in the aggregate, reasonably be expected to be material to the preparation or accuracy of the Company’s financial statements and (ii) neither the Company nor any of its Subsidiaries has had any “material weakness” or “significant deficiency” that has not been resolved to the satisfaction of the Company’s auditors.</w:t>
      </w:r>
    </w:p>
    <w:p>
      <w:pPr>
        <w:spacing w:after="0" w:line="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Other than as would not, individually or in the aggregate, reasonably be expected to have a Company Material Adverse Effect, the Company and its Subsidiaries do not have any Liabilities, except for (a) liabilities disclosed on the Company’s audited balance sheet as of December 31, 2022, including the notes thereto, including in the Company’s Annual Report on Form 10-K for the period ended December 31, 2022, (b) for liabilities incurred in the ordinary course of business since January 1, 2023, (c) for performance obligations on the part of the Company or any of its Subsidiaries pursuant to the terms of any Material Contract (other than liabilities or obligations due to breaches thereunder), and (d) for liabilities arising out of or in connection with this Agreement and the transactions contemplated hereby.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Since March 31, 2023 through the date of this Agreement, the Company has not suffered any Company Material Adverse Effect.</w:t>
      </w:r>
    </w:p>
    <w:p>
      <w:pPr>
        <w:spacing w:after="0" w:line="128" w:lineRule="exact"/>
        <w:rPr>
          <w:rFonts w:ascii="Arial" w:cs="Arial" w:eastAsia="Arial" w:hAnsi="Arial"/>
          <w:sz w:val="17"/>
          <w:szCs w:val="17"/>
          <w:color w:val="auto"/>
        </w:rPr>
      </w:pPr>
    </w:p>
    <w:p>
      <w:pPr>
        <w:ind w:right="40" w:firstLine="987"/>
        <w:spacing w:after="0" w:line="293" w:lineRule="auto"/>
        <w:tabs>
          <w:tab w:leader="none" w:pos="124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Since March 31, 2023 through the date of this Agreement, (i) the Company and its Subsidiaries have conducted their respective businesses in the ordinary course of business in all material respects and in a manner consistent with past practice in all material respects, except for the negotiation, execution, delivery and performance of this Agreement and (ii) none of the Company or any of its Subsidiaries has taken or omitted to take any action which, if taken or omitted to be taken after the date of this Agreement and prior to the Closing Date without the prior written consent of Parent, would constitute a breach of </w:t>
      </w:r>
      <w:r>
        <w:rPr>
          <w:rFonts w:ascii="Arial" w:cs="Arial" w:eastAsia="Arial" w:hAnsi="Arial"/>
          <w:sz w:val="16"/>
          <w:szCs w:val="16"/>
          <w:u w:val="single" w:color="auto"/>
          <w:color w:val="auto"/>
        </w:rPr>
        <w:t>Section 5.1(y)(i)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5.1(y)(vi)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5.1(y)(x)</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5.1(y)(xiv)(E)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5.1(y)(xv)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5.1(y)(xvii)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5.1(y)(xviii)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5.1(y)(xx)</w:t>
      </w:r>
      <w:r>
        <w:rPr>
          <w:rFonts w:ascii="Arial" w:cs="Arial" w:eastAsia="Arial" w:hAnsi="Arial"/>
          <w:sz w:val="16"/>
          <w:szCs w:val="16"/>
          <w:color w:val="auto"/>
        </w:rPr>
        <w:t>.</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Proxy Statement, when filed with the SEC, at the time of any amendment of or supplement thereto, at the time of any publication, distribution or dissemination thereof, at the time of the Proxy Statement is first mailed to Company Stockholders and at the time of the Stockholders Meeting, will comply as to form in all material respects with the applicable requirements of the Exchange Act and all other applicable Laws and will not contain any untrue</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60"/>
          </w:cols>
          <w:pgMar w:left="440" w:top="490" w:right="499" w:bottom="1440" w:gutter="0" w:footer="0" w:header="0"/>
        </w:sectPr>
      </w:pPr>
    </w:p>
    <w:bookmarkStart w:id="44" w:name="page45"/>
    <w:bookmarkEnd w:id="44"/>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representation or warranty is made by the Company with respect to information supplied by or on behalf of Parent or Merger Sub or any of their Representatives.</w:t>
      </w:r>
    </w:p>
    <w:p>
      <w:pPr>
        <w:spacing w:after="0" w:line="76" w:lineRule="exact"/>
        <w:rPr>
          <w:sz w:val="20"/>
          <w:szCs w:val="20"/>
          <w:color w:val="auto"/>
        </w:rPr>
      </w:pPr>
    </w:p>
    <w:p>
      <w:pPr>
        <w:ind w:left="4" w:right="400" w:firstLine="987"/>
        <w:spacing w:after="0" w:line="259" w:lineRule="auto"/>
        <w:tabs>
          <w:tab w:leader="none" w:pos="1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 of the information provided or to be provided in writing by or on behalf of the Company or any of its Representatives for inclusion or incorporation by reference in the Proxy Statement will contain any untrue statement of a material fact or omit to state any material fact required to be stated therein or necessary in order to make the statements therein, in the light of the circumstances under which they are made, not misleading.</w:t>
      </w:r>
    </w:p>
    <w:p>
      <w:pPr>
        <w:spacing w:after="0" w:line="79"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Brokers; Certain Expenses</w:t>
      </w:r>
      <w:r>
        <w:rPr>
          <w:rFonts w:ascii="Arial" w:cs="Arial" w:eastAsia="Arial" w:hAnsi="Arial"/>
          <w:sz w:val="18"/>
          <w:szCs w:val="18"/>
          <w:color w:val="auto"/>
        </w:rPr>
        <w:t xml:space="preserve">. Except for the advisor set forth on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of the Company Disclosure Letter (the “</w:t>
      </w:r>
      <w:r>
        <w:rPr>
          <w:rFonts w:ascii="Arial" w:cs="Arial" w:eastAsia="Arial" w:hAnsi="Arial"/>
          <w:sz w:val="18"/>
          <w:szCs w:val="18"/>
          <w:u w:val="single" w:color="auto"/>
          <w:color w:val="auto"/>
        </w:rPr>
        <w:t>Company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Advisor</w:t>
      </w:r>
      <w:r>
        <w:rPr>
          <w:rFonts w:ascii="Arial" w:cs="Arial" w:eastAsia="Arial" w:hAnsi="Arial"/>
          <w:sz w:val="18"/>
          <w:szCs w:val="18"/>
          <w:color w:val="auto"/>
        </w:rPr>
        <w:t>”), whose fees and expenses shall be paid by the Company, no broker, finder, investment banker, or financial advisor is or would be entitled to receive any brokerage, finder’s, financial advisor’s, transaction or other fee or commission in connection with this Agreement or the transactions contemplated hereby based upon agreements made by or on behalf of the Company, its Subsidiaries or any of their respective officers, directors or employees.</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Employee Benefit Matters/Employees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3" w:lineRule="auto"/>
        <w:tabs>
          <w:tab w:leader="none" w:pos="124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Company Disclosure Letter sets forth a complete list as of the date of this Agreement of each material (i) “employee benefit plan” as that term is defined in Section 3(3) of ERISA, (ii) employment, pension, retirement, profit sharing, deferred compensation, stock option, change in control, retention, equity or equity-based compensation, stock purchase, employee stock ownership, severance pay, vacation, bonus, incentive or other compensatory plans, programs, policies or agreements and (iii) medical, vision, dental or other health plans, life insurance plans, or fringe benefit plans, in each case, sponsored, maintained or contributed to by the Company or any of its Subsidiaries or under which the Company or any of its Subsidiaries has any obligation or Liability, excluding (x) any plan or program that is sponsored solely by a Governmental Authority to which the Company or any of its Affiliates contributes pursuant to applicable Law and (y) any Multiemployer Plan (collectively, the “</w:t>
      </w:r>
      <w:r>
        <w:rPr>
          <w:rFonts w:ascii="Arial" w:cs="Arial" w:eastAsia="Arial" w:hAnsi="Arial"/>
          <w:sz w:val="16"/>
          <w:szCs w:val="16"/>
          <w:u w:val="single" w:color="auto"/>
          <w:color w:val="auto"/>
        </w:rPr>
        <w:t>Plans</w:t>
      </w:r>
      <w:r>
        <w:rPr>
          <w:rFonts w:ascii="Arial" w:cs="Arial" w:eastAsia="Arial" w:hAnsi="Arial"/>
          <w:sz w:val="16"/>
          <w:szCs w:val="16"/>
          <w:color w:val="auto"/>
        </w:rPr>
        <w:t xml:space="preserve">”), other than (1) any Plan that is an employment offer letter or employment agreement or individual independent contractor that is terminable upon no more than ninety (90) days’ notice without further Liability (or such other period provided by applicable Law) and does not provide any retention, change in control or severance payments or benefits or (2) any Plan that is an award agreement with respect to the Company Securities described in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that does not materially deviate from the forms of award agreements that have been made available to Parent and Merger Sub. With respect to the Plans listed on </w:t>
      </w: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Company Disclosure Letter, to the extent applicable, true, correct and complete copies of the following have been made available to Parent and Merger Sub by the Company: (A) the written Plan document, if applicable, including amendments thereto; (B) the most recent annual report on Form 5500 filed with respect to each Plan for which a Form 5500 filing is required by applicable Law;</w:t>
      </w:r>
    </w:p>
    <w:p>
      <w:pPr>
        <w:spacing w:after="0" w:line="1" w:lineRule="exact"/>
        <w:rPr>
          <w:rFonts w:ascii="Arial" w:cs="Arial" w:eastAsia="Arial" w:hAnsi="Arial"/>
          <w:sz w:val="16"/>
          <w:szCs w:val="16"/>
          <w:color w:val="auto"/>
        </w:rPr>
      </w:pPr>
    </w:p>
    <w:p>
      <w:pPr>
        <w:ind w:left="4" w:right="420" w:hanging="4"/>
        <w:spacing w:after="0" w:line="255" w:lineRule="auto"/>
        <w:tabs>
          <w:tab w:leader="none" w:pos="2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most recent summary plan description for each Plan for which a summary plan description is required by applicable Law and all related summaries of material modifications; and (D) the most recent IRS determination, notification, or opinion letter, if any, received with respect to any applicable Plan.</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2"/>
          <w:numId w:val="47"/>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984"/>
          </w:cols>
          <w:pgMar w:left="436" w:top="490" w:right="479" w:bottom="1440" w:gutter="0" w:footer="0" w:header="0"/>
        </w:sectPr>
      </w:pPr>
    </w:p>
    <w:bookmarkStart w:id="45" w:name="page46"/>
    <w:bookmarkEnd w:id="45"/>
    <w:p>
      <w:pPr>
        <w:ind w:left="-987" w:right="40" w:firstLine="987"/>
        <w:spacing w:after="0" w:line="255" w:lineRule="auto"/>
        <w:tabs>
          <w:tab w:leader="none" w:pos="259"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Except as would not, individually or in the aggregate, reasonably be expected to have a Company Material Adverse Effect, (i) each Plan that is intended to be qualified under Section 401(a) of the Code either has received a favorable determination letter from the IRS or may rely upon a favorable prototype opinion letter from the IRS as to its qualified status, (ii) each Plan and any related trust complies and has been maintained and administered in compliance with ERISA, the Code and other applicable Laws and (iii) other than routine claims for benefits, there are and have been no Legal Proceedings, governmental audits or investigations that are pending against or involving any Plan or asserting any rights to or claims for benefits under any Plan.</w:t>
      </w:r>
    </w:p>
    <w:p>
      <w:pPr>
        <w:spacing w:after="0" w:line="84" w:lineRule="exact"/>
        <w:rPr>
          <w:rFonts w:ascii="Arial" w:cs="Arial" w:eastAsia="Arial" w:hAnsi="Arial"/>
          <w:sz w:val="18"/>
          <w:szCs w:val="18"/>
          <w:color w:val="auto"/>
        </w:rPr>
      </w:pPr>
    </w:p>
    <w:p>
      <w:pPr>
        <w:ind w:left="-987" w:right="20" w:firstLine="987"/>
        <w:spacing w:after="0" w:line="286" w:lineRule="auto"/>
        <w:tabs>
          <w:tab w:leader="none" w:pos="2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Plan is a Multiemployer Plan or other pension plan subject to Title IV of ERISA or Section 412 of the Code. None of the Company, any of its Subsidiaries or an ERISA Affiliate has, during the past six (6) years, sponsored, maintained or contributed to, or has any actual or contingent liability under, any Plan that is a Multiemployer Plan or a plan subject to Title IV of ERISA or Section 412 of the Code.</w:t>
      </w:r>
    </w:p>
    <w:p>
      <w:pPr>
        <w:spacing w:after="0" w:line="57" w:lineRule="exact"/>
        <w:rPr>
          <w:rFonts w:ascii="Arial" w:cs="Arial" w:eastAsia="Arial" w:hAnsi="Arial"/>
          <w:sz w:val="17"/>
          <w:szCs w:val="17"/>
          <w:color w:val="auto"/>
        </w:rPr>
      </w:pPr>
    </w:p>
    <w:p>
      <w:pPr>
        <w:ind w:left="-987" w:right="240" w:firstLine="987"/>
        <w:spacing w:after="0" w:line="286" w:lineRule="auto"/>
        <w:tabs>
          <w:tab w:leader="none" w:pos="259"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Plan provides for post-retirement or other post-employment welfare benefits other than (i) statutory liability for providing group health care continuation coverage as required by Section 4980B of the Code or any similar state Law (“</w:t>
      </w:r>
      <w:r>
        <w:rPr>
          <w:rFonts w:ascii="Arial" w:cs="Arial" w:eastAsia="Arial" w:hAnsi="Arial"/>
          <w:sz w:val="17"/>
          <w:szCs w:val="17"/>
          <w:u w:val="single" w:color="auto"/>
          <w:color w:val="auto"/>
        </w:rPr>
        <w:t>COBRA</w:t>
      </w:r>
      <w:r>
        <w:rPr>
          <w:rFonts w:ascii="Arial" w:cs="Arial" w:eastAsia="Arial" w:hAnsi="Arial"/>
          <w:sz w:val="17"/>
          <w:szCs w:val="17"/>
          <w:color w:val="auto"/>
        </w:rPr>
        <w:t>”) or ERISA or any other applicable Law or (ii) coverage through the end of the calendar month in which a termination of employment occurs.</w:t>
      </w:r>
    </w:p>
    <w:p>
      <w:pPr>
        <w:spacing w:after="0" w:line="57" w:lineRule="exact"/>
        <w:rPr>
          <w:rFonts w:ascii="Arial" w:cs="Arial" w:eastAsia="Arial" w:hAnsi="Arial"/>
          <w:sz w:val="17"/>
          <w:szCs w:val="17"/>
          <w:color w:val="auto"/>
        </w:rPr>
      </w:pPr>
    </w:p>
    <w:p>
      <w:pPr>
        <w:ind w:left="-987" w:right="100" w:firstLine="987"/>
        <w:spacing w:after="0" w:line="291"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3.13(e)</w:t>
      </w:r>
      <w:r>
        <w:rPr>
          <w:rFonts w:ascii="Arial" w:cs="Arial" w:eastAsia="Arial" w:hAnsi="Arial"/>
          <w:sz w:val="16"/>
          <w:szCs w:val="16"/>
          <w:color w:val="auto"/>
        </w:rPr>
        <w:t xml:space="preserve"> of the Company Disclosure Letter, neither the execution by the Company of this Agreement nor the consummation of the transactions contemplated hereby will (either alone or upon occurrence of any additional or subsequent events): (i) entitle any current or former employee, consultant or director of the Company or any of its Subsidiaries to any payment of compensation or benefits; (ii) increase the amount of compensation or benefits due to any such employee, consultant or director; or (iii) accelerate the vesting, funding or time of payment of any compensation, equity award or other benefit to any such employee, consultant or director; or (iv) result in any payment that would reasonably be expected to be considered an “excess parachute payment” within the meaning of Section 280G of the Code. No person is entitled to any gross-up or other payment from the Company or any of its Subsidiaries in respect of any Tax imposed under Section 4999 or 409A of the Code.</w:t>
      </w:r>
    </w:p>
    <w:p>
      <w:pPr>
        <w:spacing w:after="0" w:line="58" w:lineRule="exact"/>
        <w:rPr>
          <w:rFonts w:ascii="Arial" w:cs="Arial" w:eastAsia="Arial" w:hAnsi="Arial"/>
          <w:sz w:val="16"/>
          <w:szCs w:val="16"/>
          <w:color w:val="auto"/>
        </w:rPr>
      </w:pPr>
    </w:p>
    <w:p>
      <w:pPr>
        <w:ind w:left="-987" w:firstLine="987"/>
        <w:spacing w:after="0" w:line="273" w:lineRule="auto"/>
        <w:tabs>
          <w:tab w:leader="none" w:pos="229"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as of the date hereof, (i) neither the Company nor any of its Subsidiaries is, or has been since January 1, 2022, the subject of any Legal Proceeding alleging that the Company or such Subsidiary has engaged in any unfair labor practice under any Law and (ii) there is no pending labor strike, dispute, walkout, work stoppage, slowdown or lockout with respect to employees of the Company or any of its Subsidiaries. As of the date hereof, neither the Company nor any of its Subsidiaries is a party to any collective bargaining agreement, and there are no labor unions, works councils or similar labor organizations representing any employee of the Company or any of its Subsidiaries.</w:t>
      </w:r>
    </w:p>
    <w:p>
      <w:pPr>
        <w:spacing w:after="0" w:line="110" w:lineRule="exact"/>
        <w:rPr>
          <w:rFonts w:ascii="Arial" w:cs="Arial" w:eastAsia="Arial" w:hAnsi="Arial"/>
          <w:sz w:val="17"/>
          <w:szCs w:val="17"/>
          <w:color w:val="auto"/>
        </w:rPr>
      </w:pPr>
    </w:p>
    <w:p>
      <w:pPr>
        <w:ind w:left="4433" w:hanging="111"/>
        <w:spacing w:after="0"/>
        <w:tabs>
          <w:tab w:leader="none" w:pos="4433" w:val="left"/>
        </w:tabs>
        <w:numPr>
          <w:ilvl w:val="1"/>
          <w:numId w:val="48"/>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9993"/>
          </w:cols>
          <w:pgMar w:left="1427" w:top="490" w:right="479" w:bottom="1440" w:gutter="0" w:footer="0" w:header="0"/>
        </w:sectPr>
      </w:pPr>
    </w:p>
    <w:bookmarkStart w:id="46" w:name="page47"/>
    <w:bookmarkEnd w:id="46"/>
    <w:p>
      <w:pPr>
        <w:ind w:right="260" w:firstLine="987"/>
        <w:spacing w:after="0" w:line="279" w:lineRule="auto"/>
        <w:tabs>
          <w:tab w:leader="none" w:pos="1246" w:val="left"/>
        </w:tabs>
        <w:numPr>
          <w:ilvl w:val="0"/>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Except as would not, individually or in the aggregate, reasonably be expected to have a Company Material Adverse Effect, the Company and its Subsidiaries are in compliance with all applicable Laws relating to employment, including Laws relating to discrimination, hours of work and the payment of wages or overtime wages. Since January 1, 2022, none of the Company or any of its Subsidiaries has effectuated a “mass layoff” or “plant closing” (as defined by the Worker Adjustment and Retraining Notification Act of 1988).</w:t>
      </w:r>
    </w:p>
    <w:p>
      <w:pPr>
        <w:spacing w:after="0" w:line="63" w:lineRule="exact"/>
        <w:rPr>
          <w:rFonts w:ascii="Arial" w:cs="Arial" w:eastAsia="Arial" w:hAnsi="Arial"/>
          <w:sz w:val="17"/>
          <w:szCs w:val="17"/>
          <w:color w:val="auto"/>
        </w:rPr>
      </w:pPr>
    </w:p>
    <w:p>
      <w:pPr>
        <w:ind w:right="500" w:firstLine="987"/>
        <w:spacing w:after="0" w:line="277"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Since January 1, 2022, there have been no material allegations of sexual harassment by or against any current of former director, officer or employee of the Company or any of its Subsidiaries.</w:t>
      </w:r>
    </w:p>
    <w:p>
      <w:pPr>
        <w:spacing w:after="0" w:line="62" w:lineRule="exact"/>
        <w:rPr>
          <w:rFonts w:ascii="Arial" w:cs="Arial" w:eastAsia="Arial" w:hAnsi="Arial"/>
          <w:sz w:val="18"/>
          <w:szCs w:val="18"/>
          <w:color w:val="auto"/>
        </w:rPr>
      </w:pPr>
    </w:p>
    <w:p>
      <w:pPr>
        <w:ind w:right="220" w:firstLine="987"/>
        <w:spacing w:after="0" w:line="308" w:lineRule="auto"/>
        <w:tabs>
          <w:tab w:leader="none" w:pos="1206"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any requirement to provide notice to, or to enter into any consultation procedure with, any labor union or works council in connection with the execution of this Agreement or the transactions contemplated hereby.</w:t>
      </w:r>
    </w:p>
    <w:p>
      <w:pPr>
        <w:spacing w:after="0" w:line="38"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Legal Proceeding pending or, to the Knowledge of the Company, threatened against the Company or any of its Subsidiaries or any current former officer or director of the Company or any of its Subsidiaries, in such individual’s capacity as such, that, individually or in the aggregate, would reasonably be expected to have a Company Material Adverse Effect. Neither the Company nor any of its Subsidiaries is subject to any outstanding Order that, individually or in the aggregate, would reasonably be expected to have a Company Material Adverse Effect.</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w:t>
      </w:r>
    </w:p>
    <w:p>
      <w:pPr>
        <w:spacing w:after="0" w:line="117" w:lineRule="exact"/>
        <w:rPr>
          <w:rFonts w:ascii="Arial" w:cs="Arial" w:eastAsia="Arial" w:hAnsi="Arial"/>
          <w:sz w:val="18"/>
          <w:szCs w:val="18"/>
          <w:color w:val="auto"/>
        </w:rPr>
      </w:pPr>
    </w:p>
    <w:p>
      <w:pPr>
        <w:ind w:firstLine="1428"/>
        <w:spacing w:after="0" w:line="255" w:lineRule="auto"/>
        <w:tabs>
          <w:tab w:leader="none" w:pos="16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and its Subsidiaries have timely filed all Tax Returns required to be filed by them under applicable Law (taking into account any extensions of time within which to file such Tax Returns), and all such Tax Returns are complete and accurate in all material respects. The Company and its Subsidiaries have paid all Taxes due and owing (A) that are reflected on such Tax Returns or (B) for which they are otherwise liable (including as a transferee or successor, or by contract or pursuant to Treasury Regulations Section 1.1502-6 (or any similar provision of state, local or foreign Tax Law)). Neither the Company nor any of its Subsidiaries is liable for the Taxes of any other Person (including as described in clause (B) of the preceding sentence).</w:t>
      </w:r>
    </w:p>
    <w:p>
      <w:pPr>
        <w:spacing w:after="0" w:line="84" w:lineRule="exact"/>
        <w:rPr>
          <w:rFonts w:ascii="Arial" w:cs="Arial" w:eastAsia="Arial" w:hAnsi="Arial"/>
          <w:sz w:val="18"/>
          <w:szCs w:val="18"/>
          <w:color w:val="auto"/>
        </w:rPr>
      </w:pPr>
    </w:p>
    <w:p>
      <w:pPr>
        <w:ind w:firstLine="1428"/>
        <w:spacing w:after="0" w:line="301" w:lineRule="auto"/>
        <w:tabs>
          <w:tab w:leader="none" w:pos="1694"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the Knowledge of the Company, there are no pending or threatened audits, examinations, assessments or other proceedings by or before any Governmental Authority in respect of Taxes of the Company or its Subsidiaries, and the Company and its Subsidiaries have not received written notice of any such audits, examinations, assessments or other proceedings. No deficiency for any Tax has been asserted or assessed by a taxing authority in writing against the Company or any of its Subsidiaries, which deficiency has not been paid, settled or withdrawn.</w:t>
      </w:r>
    </w:p>
    <w:p>
      <w:pPr>
        <w:spacing w:after="0" w:line="49" w:lineRule="exact"/>
        <w:rPr>
          <w:rFonts w:ascii="Arial" w:cs="Arial" w:eastAsia="Arial" w:hAnsi="Arial"/>
          <w:sz w:val="16"/>
          <w:szCs w:val="16"/>
          <w:color w:val="auto"/>
        </w:rPr>
      </w:pPr>
    </w:p>
    <w:p>
      <w:pPr>
        <w:ind w:right="40" w:firstLine="1428"/>
        <w:spacing w:after="0" w:line="259" w:lineRule="auto"/>
        <w:tabs>
          <w:tab w:leader="none" w:pos="17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and its Subsidiaries have withheld and paid over to the applicable Governmental Authorities all Taxes required to have been withheld and paid over by them in connection with amounts paid or owing to any employee, independent contractor, creditor or stockholder. To the extent that the Company or any of its Subsidiaries has applied any reduced or zero rate of withholding, it holds complete, accurate and contemporaneous documentation supporting such rate.</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00"/>
          </w:cols>
          <w:pgMar w:left="440" w:top="490" w:right="459" w:bottom="1440" w:gutter="0" w:footer="0" w:header="0"/>
        </w:sectPr>
      </w:pPr>
    </w:p>
    <w:bookmarkStart w:id="47" w:name="page48"/>
    <w:bookmarkEnd w:id="47"/>
    <w:p>
      <w:pPr>
        <w:jc w:val="both"/>
        <w:ind w:right="100" w:firstLine="987"/>
        <w:spacing w:after="0" w:line="263"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None of the Company and its Subsidiaries has constituted either a “distributing corporation” or a “controlled corporation” (within the meaning of Section 355(a)(1)(A) of the Code) in a distribution of stock intended to qualify for Tax-free treatment under Section 355 of the Code within the past two (2) years.</w:t>
      </w:r>
    </w:p>
    <w:p>
      <w:pPr>
        <w:spacing w:after="0" w:line="75" w:lineRule="exact"/>
        <w:rPr>
          <w:rFonts w:ascii="Arial" w:cs="Arial" w:eastAsia="Arial" w:hAnsi="Arial"/>
          <w:sz w:val="18"/>
          <w:szCs w:val="18"/>
          <w:color w:val="auto"/>
        </w:rPr>
      </w:pPr>
    </w:p>
    <w:p>
      <w:pPr>
        <w:ind w:right="620" w:firstLine="987"/>
        <w:spacing w:after="0" w:line="277" w:lineRule="auto"/>
        <w:tabs>
          <w:tab w:leader="none" w:pos="12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and its Subsidiaries have not participated in any “listed transaction” within the meaning of Treasury Regulations Section 1.6011-4(b)(2) (or any similar provision of state, local or foreign Law).</w:t>
      </w:r>
    </w:p>
    <w:p>
      <w:pPr>
        <w:spacing w:after="0" w:line="62" w:lineRule="exact"/>
        <w:rPr>
          <w:rFonts w:ascii="Arial" w:cs="Arial" w:eastAsia="Arial" w:hAnsi="Arial"/>
          <w:sz w:val="18"/>
          <w:szCs w:val="18"/>
          <w:color w:val="auto"/>
        </w:rPr>
      </w:pPr>
    </w:p>
    <w:p>
      <w:pPr>
        <w:ind w:right="280" w:firstLine="987"/>
        <w:spacing w:after="0" w:line="308" w:lineRule="auto"/>
        <w:tabs>
          <w:tab w:leader="none" w:pos="1246" w:val="left"/>
        </w:tabs>
        <w:numPr>
          <w:ilvl w:val="0"/>
          <w:numId w:val="51"/>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received any material written rulings or determinations from a taxing authority that would reasonably be expected to be relevant to any open or future taxable year of the Company or any of its Subsidiaries.</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material Liens for Taxes exist with respect to any assets or properties of the Company or its Subsidiaries, except for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Liens.</w:t>
      </w:r>
    </w:p>
    <w:p>
      <w:pPr>
        <w:spacing w:after="0" w:line="102" w:lineRule="exact"/>
        <w:rPr>
          <w:rFonts w:ascii="Arial" w:cs="Arial" w:eastAsia="Arial" w:hAnsi="Arial"/>
          <w:sz w:val="17"/>
          <w:szCs w:val="17"/>
          <w:color w:val="auto"/>
        </w:rPr>
      </w:pPr>
    </w:p>
    <w:p>
      <w:pPr>
        <w:ind w:firstLine="987"/>
        <w:spacing w:after="0" w:line="275" w:lineRule="auto"/>
        <w:tabs>
          <w:tab w:leader="none" w:pos="12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Parent and Merger Sub agree and acknowledge that this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3.8</w:t>
      </w:r>
      <w:r>
        <w:rPr>
          <w:rFonts w:ascii="Arial" w:cs="Arial" w:eastAsia="Arial" w:hAnsi="Arial"/>
          <w:sz w:val="17"/>
          <w:szCs w:val="17"/>
          <w:color w:val="auto"/>
        </w:rPr>
        <w:t xml:space="preserve">, </w:t>
      </w:r>
      <w:r>
        <w:rPr>
          <w:rFonts w:ascii="Arial" w:cs="Arial" w:eastAsia="Arial" w:hAnsi="Arial"/>
          <w:sz w:val="17"/>
          <w:szCs w:val="17"/>
          <w:u w:val="single" w:color="auto"/>
          <w:color w:val="auto"/>
        </w:rPr>
        <w:t>3.9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3.13</w:t>
      </w:r>
      <w:r>
        <w:rPr>
          <w:rFonts w:ascii="Arial" w:cs="Arial" w:eastAsia="Arial" w:hAnsi="Arial"/>
          <w:sz w:val="17"/>
          <w:szCs w:val="17"/>
          <w:color w:val="auto"/>
        </w:rPr>
        <w:t xml:space="preserve"> constitute all of the representations and warranties with respect to Taxes, and no other representation or warranty in this Agreement shall be construed to apply to any matter relating to Taxes. Notwithstanding anything to the contrary in this Agreement, Parent and Merger Sub agree and acknowledge that the Company does not make any representation or warranty with respect to the existence, amount or usability of any Tax attributes of the Company or its Subsidiaries, including net operating losses, capital loss carryforwards, Tax credit carryforwards, asset bases and depreciation periods.</w:t>
      </w:r>
    </w:p>
    <w:p>
      <w:pPr>
        <w:spacing w:after="0" w:line="68"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Compliance with Law; Permits</w:t>
      </w:r>
      <w:r>
        <w:rPr>
          <w:rFonts w:ascii="Arial" w:cs="Arial" w:eastAsia="Arial" w:hAnsi="Arial"/>
          <w:sz w:val="17"/>
          <w:szCs w:val="17"/>
          <w:color w:val="auto"/>
        </w:rPr>
        <w:t>. Except in each case as would not, individually or in the aggregate, reasonably be expected to have a Company Material Adverse Effect, (a) the Company and each of its Subsidiaries is not, and since January 1, 2022, has not been, in conflict with, in default with respect to or in violation of any Laws applicable to the Company or such Subsidiary or by which any property or asset of the Company or such Subsidiary is bound or affected and, since January 1, 2022 through the date hereof, the Company and its Subsidiaries have not been given written notice of, or been charged with, any unresolved violation of any Law; (b) the Company and each of its Subsidiaries has all Permits required to conduct its businesses as currently conducted and such Permits are valid and in full force and effect; (c) the Company and each of its Subsidiaries has not since January 1, 2022 received any written notice from any Governmental Authority threatening to revoke or suspend any such Permit; and (d) the Company and each of its Subsidiaries is in compliance with the terms of such Permits.</w:t>
      </w:r>
    </w:p>
    <w:p>
      <w:pPr>
        <w:spacing w:after="0" w:line="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would not, individually or in the aggregate, reasonably be expected to have a Company Material Adverse Effect:</w:t>
      </w:r>
    </w:p>
    <w:p>
      <w:pPr>
        <w:spacing w:after="0" w:line="62" w:lineRule="exact"/>
        <w:rPr>
          <w:sz w:val="20"/>
          <w:szCs w:val="20"/>
          <w:color w:val="auto"/>
        </w:rPr>
      </w:pPr>
    </w:p>
    <w:p>
      <w:pPr>
        <w:ind w:right="640" w:firstLine="987"/>
        <w:spacing w:after="0" w:line="277"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and each of its Subsidiaries is, and at all times since January 1, 2022, has been, in compliance with all applicable Environmental Laws;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0"/>
          </w:cols>
          <w:pgMar w:left="440" w:top="490" w:right="459" w:bottom="1440" w:gutter="0" w:footer="0" w:header="0"/>
        </w:sectPr>
      </w:pPr>
    </w:p>
    <w:bookmarkStart w:id="48" w:name="page49"/>
    <w:bookmarkEnd w:id="48"/>
    <w:p>
      <w:pPr>
        <w:ind w:left="-440" w:right="180" w:firstLine="987"/>
        <w:spacing w:after="0" w:line="277" w:lineRule="auto"/>
        <w:tabs>
          <w:tab w:leader="none" w:pos="806"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and each of its Subsidiaries has obtained all Permits required under Environmental Laws for the conduct of its business and is, and at all times since January 1, 2022, has been, in compliance with the terms and conditions of such Permits;</w:t>
      </w:r>
    </w:p>
    <w:p>
      <w:pPr>
        <w:spacing w:after="0" w:line="62" w:lineRule="exact"/>
        <w:rPr>
          <w:rFonts w:ascii="Arial" w:cs="Arial" w:eastAsia="Arial" w:hAnsi="Arial"/>
          <w:sz w:val="18"/>
          <w:szCs w:val="18"/>
          <w:color w:val="auto"/>
        </w:rPr>
      </w:pPr>
    </w:p>
    <w:p>
      <w:pPr>
        <w:ind w:left="-440" w:right="280" w:firstLine="987"/>
        <w:spacing w:after="0" w:line="263" w:lineRule="auto"/>
        <w:tabs>
          <w:tab w:leader="none" w:pos="7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no Legal Proceeding or Order relating to or arising under Environmental Laws that is pending or, to the Knowledge of the Company, threatened against or affecting the Company or any of its Subsidiaries or any real property currently operated or leased by the Company or any of its Subsidiaries that remains open or unresolved;</w:t>
      </w:r>
    </w:p>
    <w:p>
      <w:pPr>
        <w:spacing w:after="0" w:line="75" w:lineRule="exact"/>
        <w:rPr>
          <w:rFonts w:ascii="Arial" w:cs="Arial" w:eastAsia="Arial" w:hAnsi="Arial"/>
          <w:sz w:val="18"/>
          <w:szCs w:val="18"/>
          <w:color w:val="auto"/>
        </w:rPr>
      </w:pPr>
    </w:p>
    <w:p>
      <w:pPr>
        <w:ind w:left="-440" w:firstLine="987"/>
        <w:spacing w:after="0" w:line="308" w:lineRule="auto"/>
        <w:tabs>
          <w:tab w:leader="none" w:pos="80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and its Subsidiaries have not since January 1, 2022 received any written notice of or entered into or assumed (by Contract or operation of Law or otherwise), any Liability for the Company or any of its Subsidiaries relating to or arising under Environmental Laws;</w:t>
      </w:r>
    </w:p>
    <w:p>
      <w:pPr>
        <w:spacing w:after="0" w:line="38" w:lineRule="exact"/>
        <w:rPr>
          <w:rFonts w:ascii="Arial" w:cs="Arial" w:eastAsia="Arial" w:hAnsi="Arial"/>
          <w:sz w:val="17"/>
          <w:szCs w:val="17"/>
          <w:color w:val="auto"/>
        </w:rPr>
      </w:pPr>
    </w:p>
    <w:p>
      <w:pPr>
        <w:ind w:left="-440" w:right="40" w:firstLine="987"/>
        <w:spacing w:after="0" w:line="308" w:lineRule="auto"/>
        <w:tabs>
          <w:tab w:leader="none" w:pos="7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none of the Company or any of its Subsidiaries has received any written notice of potential responsibility, or is otherwise subject to any liability or obligation, under Environmental Laws with respect to any Release of Hazardous Substances at any third party location; and</w:t>
      </w:r>
    </w:p>
    <w:p>
      <w:pPr>
        <w:spacing w:after="0" w:line="38" w:lineRule="exact"/>
        <w:rPr>
          <w:rFonts w:ascii="Arial" w:cs="Arial" w:eastAsia="Arial" w:hAnsi="Arial"/>
          <w:sz w:val="17"/>
          <w:szCs w:val="17"/>
          <w:color w:val="auto"/>
        </w:rPr>
      </w:pPr>
    </w:p>
    <w:p>
      <w:pPr>
        <w:ind w:left="-440" w:right="80" w:firstLine="987"/>
        <w:spacing w:after="0" w:line="263" w:lineRule="auto"/>
        <w:tabs>
          <w:tab w:leader="none" w:pos="7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have been no Releases of Hazardous Substances on properties currently (or, to the Knowledge of the Company, formerly) owned, operated or leased by the Company or any of its Subsidiaries that would reasonably be expected to form the basis of any Legal Proceeding or Order relating to or arising under Environmental Laws involving the Company or any of its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440" w:right="380" w:firstLine="987"/>
        <w:spacing w:after="0" w:line="257" w:lineRule="auto"/>
        <w:tabs>
          <w:tab w:leader="none" w:pos="79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Section 3.18(a)</w:t>
      </w:r>
      <w:r>
        <w:rPr>
          <w:rFonts w:ascii="Arial" w:cs="Arial" w:eastAsia="Arial" w:hAnsi="Arial"/>
          <w:sz w:val="18"/>
          <w:szCs w:val="18"/>
          <w:color w:val="auto"/>
        </w:rPr>
        <w:t xml:space="preserve"> of the Company Disclosure Letter sets forth a true, correct and complete list, as of the date hereof, of all material Company Registered Intellectual Property Rights, together with the name of the current owner(s), the applicable jurisdictions and the application or registration numbers. Except as otherwise indicated, the Company or one of its Subsidiaries is the exclusive owner, a co-owner, or a licensee of all material Company Registered Intellectual Property Rights set forth in </w:t>
      </w:r>
      <w:r>
        <w:rPr>
          <w:rFonts w:ascii="Arial" w:cs="Arial" w:eastAsia="Arial" w:hAnsi="Arial"/>
          <w:sz w:val="18"/>
          <w:szCs w:val="18"/>
          <w:u w:val="single" w:color="auto"/>
          <w:color w:val="auto"/>
        </w:rPr>
        <w:t>Section 3.18(a)</w:t>
      </w:r>
      <w:r>
        <w:rPr>
          <w:rFonts w:ascii="Arial" w:cs="Arial" w:eastAsia="Arial" w:hAnsi="Arial"/>
          <w:sz w:val="18"/>
          <w:szCs w:val="18"/>
          <w:color w:val="auto"/>
        </w:rPr>
        <w:t xml:space="preserve"> of the Company Disclosure Letter, free and clear of any Liens other than Permitted Liens.</w:t>
      </w:r>
    </w:p>
    <w:p>
      <w:pPr>
        <w:spacing w:after="0" w:line="79" w:lineRule="exact"/>
        <w:rPr>
          <w:rFonts w:ascii="Arial" w:cs="Arial" w:eastAsia="Arial" w:hAnsi="Arial"/>
          <w:sz w:val="18"/>
          <w:szCs w:val="18"/>
          <w:color w:val="auto"/>
        </w:rPr>
      </w:pPr>
    </w:p>
    <w:p>
      <w:pPr>
        <w:ind w:left="-440" w:right="220" w:firstLine="987"/>
        <w:spacing w:after="0" w:line="301" w:lineRule="auto"/>
        <w:tabs>
          <w:tab w:leader="none" w:pos="806"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have a Company Material Adverse Effect, each Person who is or was an employee or contractor of the Company or its Subsidiaries and who is or was involved in the creation or development of any material Intellectual Property owned (or purported to be owned) by the Company or any of its Subsidiaries has executed a valid agreement containing a presently effective assignment to the Company or its Subsidiaries of such employee’s or contractor’s rights to such material Intellectual Property.</w:t>
      </w:r>
    </w:p>
    <w:p>
      <w:pPr>
        <w:spacing w:after="0" w:line="49" w:lineRule="exact"/>
        <w:rPr>
          <w:rFonts w:ascii="Arial" w:cs="Arial" w:eastAsia="Arial" w:hAnsi="Arial"/>
          <w:sz w:val="16"/>
          <w:szCs w:val="16"/>
          <w:color w:val="auto"/>
        </w:rPr>
      </w:pPr>
    </w:p>
    <w:p>
      <w:pPr>
        <w:ind w:left="-440" w:right="300" w:firstLine="987"/>
        <w:spacing w:after="0" w:line="273" w:lineRule="auto"/>
        <w:tabs>
          <w:tab w:leader="none" w:pos="7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the Knowledge of the Company, all material Company Registered Intellectual Property Rights that have been issued or that have completed registration are valid and enforceable. Except as would not, individually or in the aggregate, reasonably be expected to have a Company Material Adverse Effect, since January 1, 2022, neither the Company nor any of its Subsidiaries has received written notice from any third party challenging the validity, enforceability or ownership of any Company Intellectual Property Rights, nor is the Company or any of its Subsidiaries currently a party to any proceeding relating to any such challenge, except for office actions and other ex parte proceedings in the ordinary course of prosecuting or maintaining the Company Registered Intellectual Property Rights.</w:t>
      </w:r>
    </w:p>
    <w:p>
      <w:pPr>
        <w:spacing w:after="0" w:line="110" w:lineRule="exact"/>
        <w:rPr>
          <w:rFonts w:ascii="Arial" w:cs="Arial" w:eastAsia="Arial" w:hAnsi="Arial"/>
          <w:sz w:val="17"/>
          <w:szCs w:val="17"/>
          <w:color w:val="auto"/>
        </w:rPr>
      </w:pPr>
    </w:p>
    <w:p>
      <w:pPr>
        <w:ind w:left="4980" w:hanging="111"/>
        <w:spacing w:after="0"/>
        <w:tabs>
          <w:tab w:leader="none" w:pos="4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580"/>
          </w:cols>
          <w:pgMar w:left="880" w:top="490" w:right="439" w:bottom="1440" w:gutter="0" w:footer="0" w:header="0"/>
        </w:sectPr>
      </w:pPr>
    </w:p>
    <w:bookmarkStart w:id="49" w:name="page50"/>
    <w:bookmarkEnd w:id="49"/>
    <w:p>
      <w:pPr>
        <w:ind w:left="-987" w:firstLine="987"/>
        <w:spacing w:after="0" w:line="291"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Except as would not, individually or in the aggregate, reasonably be expected to have a Company Material Adverse Effect, since the date that is six (6) years prior to the date hereof, neither the Company nor any of its Subsidiaries has received any written notice from any third party, and, to the Knowledge of Company, there is no other assertion or threat from any third party, that the operation of the business of Company or any of its Subsidiaries as is currently conducted, or the Company Products, infringe or misappropriate the Intellectual Property Rights of any third party. Except as would not, individually or in the aggregate, reasonably be expected to have a Company Material Adverse Effect, neither the Company, its Subsidiaries nor any of the Company Products has infringed upon or misappropriated (or will infringe upon or misappropriate, upon the commercialization or use of any Company Products as such Company Products currently exist), the valid and enforceable Intellectual Property Rights of any third party.</w:t>
      </w:r>
    </w:p>
    <w:p>
      <w:pPr>
        <w:spacing w:after="0" w:line="58" w:lineRule="exact"/>
        <w:rPr>
          <w:rFonts w:ascii="Arial" w:cs="Arial" w:eastAsia="Arial" w:hAnsi="Arial"/>
          <w:sz w:val="16"/>
          <w:szCs w:val="16"/>
          <w:color w:val="auto"/>
        </w:rPr>
      </w:pPr>
    </w:p>
    <w:p>
      <w:pPr>
        <w:ind w:left="-987" w:right="20" w:firstLine="987"/>
        <w:spacing w:after="0" w:line="272" w:lineRule="auto"/>
        <w:tabs>
          <w:tab w:leader="none" w:pos="249"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(i) the Company and its Subsidiaries have taken reasonable security or other measures to maintain the confidentiality of the Trade Secrets included in the Company Intellectual Property Rights and Trade Secrets included in Intellectual Property Rights licensed to the Company, including reasonable measures against unauthorized disclosure, (ii) to the Knowledge of the Company, such Trade Secrets included in the Company Intellectual Property Rights have not been disclosed to any Person except pursuant to written non-disclosure agreements and (iii) to the Knowledge of the Company, such Trade Secrets included in the Intellectual Property Rights licensed to the Company have not been disclosed by the Company or any of its Subsidiaries to any Person except pursuant to written non-disclosure agreements.</w:t>
      </w:r>
    </w:p>
    <w:p>
      <w:pPr>
        <w:spacing w:after="0" w:line="69" w:lineRule="exact"/>
        <w:rPr>
          <w:rFonts w:ascii="Arial" w:cs="Arial" w:eastAsia="Arial" w:hAnsi="Arial"/>
          <w:sz w:val="17"/>
          <w:szCs w:val="17"/>
          <w:color w:val="auto"/>
        </w:rPr>
      </w:pPr>
    </w:p>
    <w:p>
      <w:pPr>
        <w:ind w:left="-987" w:firstLine="987"/>
        <w:spacing w:after="0" w:line="311" w:lineRule="auto"/>
        <w:tabs>
          <w:tab w:leader="none" w:pos="229"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None of the material Company Intellectual Property Rights and, to the Knowledge of the Company, any material Intellectual Property Rights licensed to the Company are subject to any pending or outstanding Order or other disposition of dispute that adversely and materially restricts the use, transfer, registration or licensing of any such material Company Intellectual Property Rights by the Company or any of its Subsidiaries.</w:t>
      </w:r>
    </w:p>
    <w:p>
      <w:pPr>
        <w:spacing w:after="0" w:line="40" w:lineRule="exact"/>
        <w:rPr>
          <w:rFonts w:ascii="Arial" w:cs="Arial" w:eastAsia="Arial" w:hAnsi="Arial"/>
          <w:sz w:val="16"/>
          <w:szCs w:val="16"/>
          <w:color w:val="auto"/>
        </w:rPr>
      </w:pPr>
    </w:p>
    <w:p>
      <w:pPr>
        <w:ind w:left="-987" w:right="120" w:firstLine="987"/>
        <w:spacing w:after="0" w:line="257" w:lineRule="auto"/>
        <w:tabs>
          <w:tab w:leader="none" w:pos="25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Knowledge of the Company, no third party is currently infringing or misappropriating any material Company Intellectual Property Rights. Except as would not, individually or in the aggregate, reasonably be expected to have a Company Material Adverse Effect, neither the Company nor any of its Subsidiaries is currently a party to any proceeding (i) challenging the validity, enforceability or ownership of any third party Intellectual Property Rights or (ii) asserting that the operation of the business of any third party, or any third party products or services, infringes or misappropriates any Company Intellectual Property Rights.</w:t>
      </w:r>
    </w:p>
    <w:p>
      <w:pPr>
        <w:spacing w:after="0" w:line="79" w:lineRule="exact"/>
        <w:rPr>
          <w:rFonts w:ascii="Arial" w:cs="Arial" w:eastAsia="Arial" w:hAnsi="Arial"/>
          <w:sz w:val="18"/>
          <w:szCs w:val="18"/>
          <w:color w:val="auto"/>
        </w:rPr>
      </w:pPr>
    </w:p>
    <w:p>
      <w:pPr>
        <w:jc w:val="both"/>
        <w:ind w:left="-987" w:right="180" w:firstLine="987"/>
        <w:spacing w:after="0" w:line="301" w:lineRule="auto"/>
        <w:tabs>
          <w:tab w:leader="none" w:pos="2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as stated in patents and patent applications of the Company Registered Intellectual Property Rights that a particular invention was made with government support awarded by a federal agency, and except as would not, individually or in the aggregate, reasonably be expected to have a Company Material Adverse Effect, (i) no funding, facilities or personnel of any Governmental Authority was used in the development of any Company Intellectual Property and (ii) none of the Company Intellectual Property Rights covers a ”subject invention” under the Bayh-Dole Act.</w:t>
      </w:r>
    </w:p>
    <w:p>
      <w:pPr>
        <w:spacing w:after="0" w:line="89" w:lineRule="exact"/>
        <w:rPr>
          <w:rFonts w:ascii="Arial" w:cs="Arial" w:eastAsia="Arial" w:hAnsi="Arial"/>
          <w:sz w:val="16"/>
          <w:szCs w:val="16"/>
          <w:color w:val="auto"/>
        </w:rPr>
      </w:pPr>
    </w:p>
    <w:p>
      <w:pPr>
        <w:ind w:left="4433" w:hanging="111"/>
        <w:spacing w:after="0"/>
        <w:tabs>
          <w:tab w:leader="none" w:pos="4433" w:val="left"/>
        </w:tabs>
        <w:numPr>
          <w:ilvl w:val="1"/>
          <w:numId w:val="55"/>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9993"/>
          </w:cols>
          <w:pgMar w:left="1427" w:top="490" w:right="479" w:bottom="1440" w:gutter="0" w:footer="0" w:header="0"/>
        </w:sectPr>
      </w:pPr>
    </w:p>
    <w:bookmarkStart w:id="50" w:name="page51"/>
    <w:bookmarkEnd w:id="50"/>
    <w:p>
      <w:pPr>
        <w:ind w:left="4" w:firstLine="1428"/>
        <w:spacing w:after="0" w:line="291" w:lineRule="auto"/>
        <w:tabs>
          <w:tab w:leader="none" w:pos="1648"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and its Subsidiaries use reasonable best efforts designed to protect, preserve and maintain the secrecy and confidentiality of all Company Software and, to the Knowledge of the Company, there has been no misappropriation or unauthorized disclosure or use of any confidential Company Software, wherein such unauthorized disclosure or use is attributable to the Company or any of its Subsidiaries, since the date that is three (3) years prior to the date hereof. Without limiting the generality of the foregoing, except as would not, individually or in the aggregate, reasonably be expected to have a Company Material Adverse Effect, the Company and its Subsidiaries are in possession of the source code and object code for, and documentation applicable to, the current version, and all prior versions still commercially supported by the Company and its Subsidiaries, of Company Owned Software included in the Company Products or the websites maintained by the Company and its Subsidiaries.</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Data Privacy and Security</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83" w:lineRule="auto"/>
        <w:tabs>
          <w:tab w:leader="none" w:pos="12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Since January 1, 2022, the IT Systems have not suffered any material failures and the Company and its Subsidiaries have implemented commercially reasonable administrative and technical safeguards designed to protect the integrity, security and confidentiality of confidential information stored in the IT Systems. Since January 1, 2022, to the Knowledge of the Company, there have been no actual or alleged unauthorized intrusions or breaches of the security of the IT Systems, including any breach resulting in the payment of ransom to a malicious party. Except as would not, individually or in the aggregate, reasonably be expected to have a Company Material Adverse Effect, the Company Owned Software and, to the Knowledge of the Company, any other Company Software and the IT Systems, as applicable, (i) operate and perform in accordance with their documentation and functional specifications and as otherwise required by the Company and its Subsidiaries in connection with the conduct of their businesses, (ii) operate and perform as is necessary to conduct the businesses of the Company and its Subsidiaries in substantially the same manner in which they are currently being conducted, and are sufficient for the current needs of the business and operations of the Company and its Subsidiaries,</w:t>
      </w:r>
    </w:p>
    <w:p>
      <w:pPr>
        <w:spacing w:after="0" w:line="5" w:lineRule="exact"/>
        <w:rPr>
          <w:rFonts w:ascii="Arial" w:cs="Arial" w:eastAsia="Arial" w:hAnsi="Arial"/>
          <w:sz w:val="16"/>
          <w:szCs w:val="16"/>
          <w:color w:val="auto"/>
        </w:rPr>
      </w:pPr>
    </w:p>
    <w:p>
      <w:pPr>
        <w:ind w:left="324" w:hanging="324"/>
        <w:spacing w:after="0"/>
        <w:tabs>
          <w:tab w:leader="none" w:pos="324" w:val="left"/>
        </w:tabs>
        <w:numPr>
          <w:ilvl w:val="0"/>
          <w:numId w:val="58"/>
        </w:numPr>
        <w:rPr>
          <w:rFonts w:ascii="Arial" w:cs="Arial" w:eastAsia="Arial" w:hAnsi="Arial"/>
          <w:sz w:val="16"/>
          <w:szCs w:val="16"/>
          <w:color w:val="auto"/>
        </w:rPr>
      </w:pPr>
      <w:r>
        <w:rPr>
          <w:rFonts w:ascii="Arial" w:cs="Arial" w:eastAsia="Arial" w:hAnsi="Arial"/>
          <w:sz w:val="16"/>
          <w:szCs w:val="16"/>
          <w:color w:val="auto"/>
        </w:rPr>
        <w:t>since January 1, 2022, have not malfunctioned or failed in a manner that has had an adverse impact on the Company or any of its Subsidiaries and</w:t>
      </w:r>
    </w:p>
    <w:p>
      <w:pPr>
        <w:spacing w:after="0" w:line="32" w:lineRule="exact"/>
        <w:rPr>
          <w:rFonts w:ascii="Arial" w:cs="Arial" w:eastAsia="Arial" w:hAnsi="Arial"/>
          <w:sz w:val="16"/>
          <w:szCs w:val="16"/>
          <w:color w:val="auto"/>
        </w:rPr>
      </w:pPr>
    </w:p>
    <w:p>
      <w:pPr>
        <w:ind w:left="4" w:right="200" w:hanging="4"/>
        <w:spacing w:after="0" w:line="290" w:lineRule="auto"/>
        <w:tabs>
          <w:tab w:leader="none" w:pos="30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Knowledge of the Company, are free from material bugs and other defects, including (A) any virus, “trojan horse,” worm or other Software routines or information technology assets designed to permit unauthorized access or to disable, erase or otherwise harm such Company Owned Software, the IT Systems or data, (B) back door, time bomb, drop dead device or other Software routine designed to disable a computer program automatically with the passage of time or under the positive control of a person other than the user of the program, or (C) other malicious code that is intended to disrupt or disable such Company Owned Software or IT Systems. The Company and its Subsidiaries have implemented commercially reasonable backup and disaster recovery technology processes, as well as a commercially reasonable business continuity plan.</w:t>
      </w:r>
    </w:p>
    <w:p>
      <w:pPr>
        <w:spacing w:after="0" w:line="55" w:lineRule="exact"/>
        <w:rPr>
          <w:rFonts w:ascii="Arial" w:cs="Arial" w:eastAsia="Arial" w:hAnsi="Arial"/>
          <w:sz w:val="16"/>
          <w:szCs w:val="16"/>
          <w:color w:val="auto"/>
        </w:rPr>
      </w:pPr>
    </w:p>
    <w:p>
      <w:pPr>
        <w:ind w:left="4" w:right="340" w:firstLine="987"/>
        <w:spacing w:after="0" w:line="263" w:lineRule="auto"/>
        <w:tabs>
          <w:tab w:leader="none" w:pos="12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Since January 1, 2022, the Company and each of its Subsidiaries (i) is and has been in compliance with applicable Data Protection Requirements, except for any noncompliance that would not, individually or in the aggregate, reasonably be expected to have a Company Material Adverse Effect, (ii) has used reasonable best efforts to protect the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2"/>
          <w:numId w:val="58"/>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984"/>
          </w:cols>
          <w:pgMar w:left="436" w:top="490" w:right="479" w:bottom="1440" w:gutter="0" w:footer="0" w:header="0"/>
        </w:sectPr>
      </w:pPr>
    </w:p>
    <w:bookmarkStart w:id="51" w:name="page52"/>
    <w:bookmarkEnd w:id="5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confidentiality, integrity, availability and security of Personal Information that the Company and its Subsidiaries (or any Person acting on behalf of the Company or its Subsidiaries) collect, store, use or maintain for the conduct of their businesses and to prevent unauthorized use, disclosure, loss, modification, processing, transmission or destruction of or access to such Personal Information by any other Person, and (iii) has not been legally required to provide any notices to any Person in connection with a disclosure of Personal Information or non-public information, nor has the Company or any of its Subsidiaries provided any such notice. Except as would not, individually or in the aggregate, reasonably be expected to have a Company Material Adverse Effect, since January 1, 2022, there have been no violations or outages of, or, to the Knowledge of the Company, access to, breaches or unauthorized uses of Personal Information maintained by the Company or any of its Subsidiaries that would require notification of individuals, law enforcement or any Governmental Authority under any Data Protection Law that is applicable to the Company or its Subsidiaries. Since January 1, 2022 until the date hereof, neither the Company nor any of its Subsidiaries has received written communication or claim from any Governmental Authority that alleges that the Company or any of its Subsidiaries is not in compliance with any Data Protection Laws, and no such claim is pending, except as would not reasonably be expected to be material to the Company and its Subsidiaries, taken as a whole. To the Knowledge of the Company, Personal Information collected, stored and processed by the Company and its Subsidiaries can be used after the Closing Date in the manner substantially the same as currently used by the Company and its Subsidiaries and there are no material contractual restrictions with respect to such Personal Information that would restrict Parent’s or its Affiliates’ right to retain, use and disclose such Personal Information for its own purposes in compliance with the Data Protection Requirements after the Closing Date.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1220" w:hanging="233"/>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and its Subsidiaries do not own, and have never owned, any real property.</w:t>
      </w:r>
    </w:p>
    <w:p>
      <w:pPr>
        <w:spacing w:after="0" w:line="117" w:lineRule="exact"/>
        <w:rPr>
          <w:rFonts w:ascii="Arial" w:cs="Arial" w:eastAsia="Arial" w:hAnsi="Arial"/>
          <w:sz w:val="18"/>
          <w:szCs w:val="18"/>
          <w:color w:val="auto"/>
        </w:rPr>
      </w:pPr>
    </w:p>
    <w:p>
      <w:pPr>
        <w:ind w:right="60" w:firstLine="987"/>
        <w:spacing w:after="0" w:line="286" w:lineRule="auto"/>
        <w:tabs>
          <w:tab w:leader="none" w:pos="12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(i) each material lease, sublease, license, occupancy agreement and other agreement under which the Company or any of its Subsidiaries uses or occupies or has the right to use or occupy, now or in the future, any real property (the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is valid and binding on the Company or its Subsidiary that is party thereto and, to the Knowledge of the Company, each other party thereto, and is in full force and effect, subject to the Enforceability Exceptions, (ii) all rent and other sums and charges payable by the Company or its Subsidiary party thereto as the tenant, subtenant or licensee thereunder are current, (iii) no termination event or condition or uncured default of a material nature on the part of the Company or its Subsidiary party thereto or, to the Knowledge of the Company, the landlord thereunder, exists under any Real Property Lease, (iv) the Company and each of its Subsidiaries has a good and valid leasehold, subleasehold or license interest in each parcel of real property leased, subleased or licensed by it, free and clear of all Liens, except Permitted Liens, (v) neither the Company nor any of its Subsidiaries party thereto has received written notice of any pending, and to the Knowledge of the Company, there is no threatened, condemnation with respect to any property leased pursuant to any of the Real Property Leases neither the Company nor any of its Subsidiaries party thereto has subleased, licensed or granted to any third party a right to use or occupy all or any portion of any property subject to the Real Property Leases; and (vi) neither the Company nor any of its Subsidiaries party thereto has collaterally assigned or granted any security interest in any Real Property Lease (other than Permitted Liens).</w:t>
      </w:r>
    </w:p>
    <w:p>
      <w:pPr>
        <w:spacing w:after="0" w:line="106" w:lineRule="exact"/>
        <w:rPr>
          <w:rFonts w:ascii="Arial" w:cs="Arial" w:eastAsia="Arial" w:hAnsi="Arial"/>
          <w:sz w:val="16"/>
          <w:szCs w:val="16"/>
          <w:color w:val="auto"/>
        </w:rPr>
      </w:pPr>
    </w:p>
    <w:p>
      <w:pPr>
        <w:ind w:left="5420" w:hanging="111"/>
        <w:spacing w:after="0"/>
        <w:tabs>
          <w:tab w:leader="none" w:pos="5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490"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3.21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left="-440" w:firstLine="987"/>
        <w:spacing w:after="0" w:line="257" w:lineRule="auto"/>
        <w:tabs>
          <w:tab w:leader="none" w:pos="79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Section 3.21(a)</w:t>
      </w:r>
      <w:r>
        <w:rPr>
          <w:rFonts w:ascii="Arial" w:cs="Arial" w:eastAsia="Arial" w:hAnsi="Arial"/>
          <w:sz w:val="18"/>
          <w:szCs w:val="18"/>
          <w:color w:val="auto"/>
        </w:rPr>
        <w:t xml:space="preserve"> of the Company Disclosure Letter sets forth a true, correct and complete list, as of the date hereof, and the Company has made available to Parent and Merger Sub (or Parent’s outside counsel) true, correct and complete (subject to any necessary redactions) copies of, each Contract (other than Plans), which is in effect as of the date hereof (or pursuant to which the Company or any of its Subsidiaries has any continuing material obligations thereunder) and under which the Company or any of its Subsidiaries is a party or by which the Company, any of its Subsidiaries or any of their respective properties or assets is bound that:</w:t>
      </w:r>
    </w:p>
    <w:p>
      <w:pPr>
        <w:spacing w:after="0" w:line="79" w:lineRule="exact"/>
        <w:rPr>
          <w:rFonts w:ascii="Arial" w:cs="Arial" w:eastAsia="Arial" w:hAnsi="Arial"/>
          <w:sz w:val="18"/>
          <w:szCs w:val="18"/>
          <w:color w:val="auto"/>
        </w:rPr>
      </w:pPr>
    </w:p>
    <w:p>
      <w:pPr>
        <w:ind w:left="-440" w:right="140" w:firstLine="1428"/>
        <w:spacing w:after="0" w:line="277" w:lineRule="auto"/>
        <w:tabs>
          <w:tab w:leader="none" w:pos="12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would be required to be filed by the Company as a “material contract” pursuant to Item 601(b)(10) of Regulation S-K under the Securities Act or disclosed by the Company on a Current Report on Form 8-K;</w:t>
      </w:r>
    </w:p>
    <w:p>
      <w:pPr>
        <w:spacing w:after="0" w:line="62" w:lineRule="exact"/>
        <w:rPr>
          <w:rFonts w:ascii="Arial" w:cs="Arial" w:eastAsia="Arial" w:hAnsi="Arial"/>
          <w:sz w:val="18"/>
          <w:szCs w:val="18"/>
          <w:color w:val="auto"/>
        </w:rPr>
      </w:pPr>
    </w:p>
    <w:p>
      <w:pPr>
        <w:ind w:left="-440" w:right="140" w:firstLine="1428"/>
        <w:spacing w:after="0" w:line="279" w:lineRule="auto"/>
        <w:tabs>
          <w:tab w:leader="none" w:pos="1257"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involves, by its terms, aggregate payments, or contingent obligations that upon satisfaction of certain conditions precedent will result in aggregate payments, by the Company or any of its Subsidiaries, or aggregate payments payable to the Company or any of its Subsidiaries, under such Contract, of more than $5,000,000 in the most recent fiscal year or in any fiscal year thereafter (including by means of milestone or royalty payments), other than Contracts made in the ordinary course of business consistent with past practice;</w:t>
      </w:r>
    </w:p>
    <w:p>
      <w:pPr>
        <w:spacing w:after="0" w:line="63" w:lineRule="exact"/>
        <w:rPr>
          <w:rFonts w:ascii="Arial" w:cs="Arial" w:eastAsia="Arial" w:hAnsi="Arial"/>
          <w:sz w:val="17"/>
          <w:szCs w:val="17"/>
          <w:color w:val="auto"/>
        </w:rPr>
      </w:pPr>
    </w:p>
    <w:p>
      <w:pPr>
        <w:ind w:left="-440" w:right="520" w:firstLine="1428"/>
        <w:spacing w:after="0" w:line="277" w:lineRule="auto"/>
        <w:tabs>
          <w:tab w:leader="none" w:pos="13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contains covenants that limit in any material respect the freedom of the Company or any of its Subsidiaries to compete or engage in any line of business or in any geographic area;</w:t>
      </w:r>
    </w:p>
    <w:p>
      <w:pPr>
        <w:spacing w:after="0" w:line="62" w:lineRule="exact"/>
        <w:rPr>
          <w:rFonts w:ascii="Arial" w:cs="Arial" w:eastAsia="Arial" w:hAnsi="Arial"/>
          <w:sz w:val="18"/>
          <w:szCs w:val="18"/>
          <w:color w:val="auto"/>
        </w:rPr>
      </w:pPr>
    </w:p>
    <w:p>
      <w:pPr>
        <w:ind w:left="-440" w:right="360" w:firstLine="1428"/>
        <w:spacing w:after="0" w:line="277" w:lineRule="auto"/>
        <w:tabs>
          <w:tab w:leader="none" w:pos="1297"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provides for or governs the formation, creation, operation, management or control of any partnership or joint venture that is material to the business of the Company and its Subsidiaries, taken as a whole;</w:t>
      </w:r>
    </w:p>
    <w:p>
      <w:pPr>
        <w:spacing w:after="0" w:line="62" w:lineRule="exact"/>
        <w:rPr>
          <w:rFonts w:ascii="Arial" w:cs="Arial" w:eastAsia="Arial" w:hAnsi="Arial"/>
          <w:sz w:val="18"/>
          <w:szCs w:val="18"/>
          <w:color w:val="auto"/>
        </w:rPr>
      </w:pPr>
    </w:p>
    <w:p>
      <w:pPr>
        <w:ind w:left="-440" w:right="80" w:firstLine="1428"/>
        <w:spacing w:after="0" w:line="277" w:lineRule="auto"/>
        <w:tabs>
          <w:tab w:leader="none" w:pos="12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provides for (A) the use or license by the Company or any of its Subsidiaries of any material Intellectual Property Rights owned by a third party, other than Incidental Contracts, or (B) the joint development of products or technology with a third party;</w:t>
      </w:r>
    </w:p>
    <w:p>
      <w:pPr>
        <w:spacing w:after="0" w:line="62" w:lineRule="exact"/>
        <w:rPr>
          <w:rFonts w:ascii="Arial" w:cs="Arial" w:eastAsia="Arial" w:hAnsi="Arial"/>
          <w:sz w:val="18"/>
          <w:szCs w:val="18"/>
          <w:color w:val="auto"/>
        </w:rPr>
      </w:pPr>
    </w:p>
    <w:p>
      <w:pPr>
        <w:ind w:left="-440" w:right="40" w:firstLine="1428"/>
        <w:spacing w:after="0" w:line="277" w:lineRule="auto"/>
        <w:tabs>
          <w:tab w:leader="none" w:pos="1297"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provides for the license by the Company or any of its Subsidiaries of any of its material Intellectual Property Rights to any third party, other than Incidental Contracts;</w:t>
      </w:r>
    </w:p>
    <w:p>
      <w:pPr>
        <w:spacing w:after="0" w:line="62" w:lineRule="exact"/>
        <w:rPr>
          <w:rFonts w:ascii="Arial" w:cs="Arial" w:eastAsia="Arial" w:hAnsi="Arial"/>
          <w:sz w:val="18"/>
          <w:szCs w:val="18"/>
          <w:color w:val="auto"/>
        </w:rPr>
      </w:pPr>
    </w:p>
    <w:p>
      <w:pPr>
        <w:ind w:left="-440" w:right="140" w:firstLine="1428"/>
        <w:spacing w:after="0" w:line="263" w:lineRule="auto"/>
        <w:tabs>
          <w:tab w:leader="none" w:pos="13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involves the acquisition or disposition, directly or indirectly (by merger or otherwise), of a business or capital stock or other equity interest of another Person that has continuing contingent consideration payment obligations by the Company or any of its Subsidiaries in excess of $1,000,000 in the aggregate in respect of such agreement;</w:t>
      </w:r>
    </w:p>
    <w:p>
      <w:pPr>
        <w:spacing w:after="0" w:line="75" w:lineRule="exact"/>
        <w:rPr>
          <w:rFonts w:ascii="Arial" w:cs="Arial" w:eastAsia="Arial" w:hAnsi="Arial"/>
          <w:sz w:val="18"/>
          <w:szCs w:val="18"/>
          <w:color w:val="auto"/>
        </w:rPr>
      </w:pPr>
    </w:p>
    <w:p>
      <w:pPr>
        <w:ind w:left="-440" w:right="640" w:firstLine="1428"/>
        <w:spacing w:after="0" w:line="308" w:lineRule="auto"/>
        <w:tabs>
          <w:tab w:leader="none" w:pos="1397" w:val="left"/>
        </w:tabs>
        <w:numPr>
          <w:ilvl w:val="1"/>
          <w:numId w:val="60"/>
        </w:numPr>
        <w:rPr>
          <w:rFonts w:ascii="Arial" w:cs="Arial" w:eastAsia="Arial" w:hAnsi="Arial"/>
          <w:sz w:val="17"/>
          <w:szCs w:val="17"/>
          <w:color w:val="auto"/>
        </w:rPr>
      </w:pPr>
      <w:r>
        <w:rPr>
          <w:rFonts w:ascii="Arial" w:cs="Arial" w:eastAsia="Arial" w:hAnsi="Arial"/>
          <w:sz w:val="17"/>
          <w:szCs w:val="17"/>
          <w:color w:val="auto"/>
        </w:rPr>
        <w:t>constitutes a material manufacturing, supply, distribution or marketing agreement that provides for minimum payment obligations by the Company or any of its Subsidiaries of at least $5,000,000 in any prospective twelve (12) month period;</w:t>
      </w:r>
    </w:p>
    <w:p>
      <w:pPr>
        <w:spacing w:after="0" w:line="78" w:lineRule="exact"/>
        <w:rPr>
          <w:rFonts w:ascii="Arial" w:cs="Arial" w:eastAsia="Arial" w:hAnsi="Arial"/>
          <w:sz w:val="17"/>
          <w:szCs w:val="17"/>
          <w:color w:val="auto"/>
        </w:rPr>
      </w:pPr>
    </w:p>
    <w:p>
      <w:pPr>
        <w:ind w:left="4980" w:hanging="111"/>
        <w:spacing w:after="0"/>
        <w:tabs>
          <w:tab w:leader="none" w:pos="49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540"/>
          </w:cols>
          <w:pgMar w:left="880" w:top="490" w:right="479" w:bottom="1440" w:gutter="0" w:footer="0" w:header="0"/>
        </w:sectPr>
      </w:pPr>
    </w:p>
    <w:bookmarkStart w:id="53" w:name="page54"/>
    <w:bookmarkEnd w:id="53"/>
    <w:p>
      <w:pPr>
        <w:ind w:left="1740" w:hanging="312"/>
        <w:spacing w:after="0"/>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is a Real Property Lease with annual rent payments of $100,000 or more;</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any Governmental Authority;</w:t>
      </w:r>
    </w:p>
    <w:p>
      <w:pPr>
        <w:spacing w:after="0" w:line="117" w:lineRule="exact"/>
        <w:rPr>
          <w:rFonts w:ascii="Arial" w:cs="Arial" w:eastAsia="Arial" w:hAnsi="Arial"/>
          <w:sz w:val="18"/>
          <w:szCs w:val="18"/>
          <w:color w:val="auto"/>
        </w:rPr>
      </w:pPr>
    </w:p>
    <w:p>
      <w:pPr>
        <w:jc w:val="both"/>
        <w:ind w:right="80" w:firstLine="1428"/>
        <w:spacing w:after="0" w:line="311" w:lineRule="auto"/>
        <w:tabs>
          <w:tab w:leader="none" w:pos="1737" w:val="left"/>
        </w:tabs>
        <w:numPr>
          <w:ilvl w:val="0"/>
          <w:numId w:val="61"/>
        </w:numPr>
        <w:rPr>
          <w:rFonts w:ascii="Arial" w:cs="Arial" w:eastAsia="Arial" w:hAnsi="Arial"/>
          <w:sz w:val="16"/>
          <w:szCs w:val="16"/>
          <w:color w:val="auto"/>
        </w:rPr>
      </w:pPr>
      <w:r>
        <w:rPr>
          <w:rFonts w:ascii="Arial" w:cs="Arial" w:eastAsia="Arial" w:hAnsi="Arial"/>
          <w:sz w:val="16"/>
          <w:szCs w:val="16"/>
          <w:color w:val="auto"/>
        </w:rPr>
        <w:t>with any Affiliate, director, executive officer (as such term is defined in the Exchange Act), holder of 5% or more of Shares, or to the Knowledge of the Company, any of their Affiliates (other than the Company or any of its Subsidiaries) or immediate family members (other than offer letters that can be terminated at will without severance obligations and contracts pursuant to Company Stock Awards);</w:t>
      </w:r>
    </w:p>
    <w:p>
      <w:pPr>
        <w:spacing w:after="0" w:line="40" w:lineRule="exact"/>
        <w:rPr>
          <w:rFonts w:ascii="Arial" w:cs="Arial" w:eastAsia="Arial" w:hAnsi="Arial"/>
          <w:sz w:val="16"/>
          <w:szCs w:val="16"/>
          <w:color w:val="auto"/>
        </w:rPr>
      </w:pPr>
    </w:p>
    <w:p>
      <w:pPr>
        <w:ind w:left="1780" w:hanging="352"/>
        <w:spacing w:after="0"/>
        <w:tabs>
          <w:tab w:leader="none" w:pos="1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relates to indebtedness for borrowed money (other than Intercompany Indebtedness) having an outstanding principal amount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excess of $5,000,000;</w:t>
      </w:r>
    </w:p>
    <w:p>
      <w:pPr>
        <w:spacing w:after="0" w:line="102" w:lineRule="exact"/>
        <w:rPr>
          <w:rFonts w:ascii="Arial" w:cs="Arial" w:eastAsia="Arial" w:hAnsi="Arial"/>
          <w:sz w:val="16"/>
          <w:szCs w:val="16"/>
          <w:color w:val="auto"/>
        </w:rPr>
      </w:pPr>
    </w:p>
    <w:p>
      <w:pPr>
        <w:ind w:right="220" w:firstLine="1428"/>
        <w:spacing w:after="0" w:line="277" w:lineRule="auto"/>
        <w:tabs>
          <w:tab w:leader="none" w:pos="18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provides for indemnification or guarantee of the obligations of any other Person outside the ordinary course of business that would be material to the Company; and</w:t>
      </w:r>
    </w:p>
    <w:p>
      <w:pPr>
        <w:spacing w:after="0" w:line="62" w:lineRule="exact"/>
        <w:rPr>
          <w:rFonts w:ascii="Arial" w:cs="Arial" w:eastAsia="Arial" w:hAnsi="Arial"/>
          <w:sz w:val="18"/>
          <w:szCs w:val="18"/>
          <w:color w:val="auto"/>
        </w:rPr>
      </w:pPr>
    </w:p>
    <w:p>
      <w:pPr>
        <w:ind w:right="100" w:firstLine="1428"/>
        <w:spacing w:after="0" w:line="308" w:lineRule="auto"/>
        <w:tabs>
          <w:tab w:leader="none" w:pos="1827"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involves the settlement of any pending or threatened claim, action or proceeding which requires payment obligations after the date hereof, in excess of $2,500,000, or contains obligations or limitations on the conduct of the Company or any of its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Contract of the type described in clauses (i) through (xiv) above, other than a Plan, is referred to herein as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72" w:lineRule="auto"/>
        <w:tabs>
          <w:tab w:leader="none" w:pos="12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(i) each Material Contract is valid and binding on the Company or its Subsidiary party thereto and, to the Knowledge of the Company, each other party thereto, and is in full force and effect, subject to the Enforceability Exceptions, and (ii) the Company or its Subsidiary party thereto has complied with all obligations required to be performed or complied with by it under each Material Contract, (iii) there is no default under any Material Contract by the Company or its Subsidiary party thereto, or, to the Knowledge of the Company, by any other party thereto, and (iv) to the Company’s Knowledge, the Company or its Subsidiary party thereto has not received any written notice from any third party to any Material Contract that such party intends to terminate such Material Contract for any default or alleged default thereunder.</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2" w:lineRule="auto"/>
        <w:tabs>
          <w:tab w:leader="none" w:pos="12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(i) the Company and each of its Subsidiaries is, and since January 1, 2022, has been, in compliance with all Laws applicable to the Company and its Subsidiaries, or by which any property, business product or other asset of the Company or any of its Subsidiaries is bound or affected, including, but not limited to, the Health Care Laws, (ii) since January 1, 2022, neither the Company nor any of its Subsidiaries has received any written notification of any pending or, to the Knowledge of the Company, threatened, claim, suit, proceeding, hearing, enforcement, audit, investigation or arbitration from any Governmental Authority, including the FDA, alleging non-compliance by, or Liability of, the Company or any of its Subsidiaries under any Health Care Laws, and (iii) since January 1, 2022, neither the</w:t>
      </w:r>
    </w:p>
    <w:p>
      <w:pPr>
        <w:spacing w:after="0" w:line="109" w:lineRule="exact"/>
        <w:rPr>
          <w:rFonts w:ascii="Arial" w:cs="Arial" w:eastAsia="Arial" w:hAnsi="Arial"/>
          <w:sz w:val="17"/>
          <w:szCs w:val="17"/>
          <w:color w:val="auto"/>
        </w:rPr>
      </w:pPr>
    </w:p>
    <w:p>
      <w:pPr>
        <w:ind w:left="5420" w:hanging="111"/>
        <w:spacing w:after="0"/>
        <w:tabs>
          <w:tab w:leader="none" w:pos="5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960"/>
          </w:cols>
          <w:pgMar w:left="440" w:top="490" w:right="499" w:bottom="1440" w:gutter="0" w:footer="0" w:header="0"/>
        </w:sectPr>
      </w:pPr>
    </w:p>
    <w:bookmarkStart w:id="54" w:name="page55"/>
    <w:bookmarkEnd w:id="54"/>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Company, its Subsidiaries, nor to the Knowledge of the Company, any of their respective employees, officers, directors or third parties that the Company or any of its Subsidiaries has engaged to provide services, has been excluded, suspended or debarred from participation in any United States federal or state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63" w:lineRule="exact"/>
        <w:rPr>
          <w:sz w:val="20"/>
          <w:szCs w:val="20"/>
          <w:color w:val="auto"/>
        </w:rPr>
      </w:pPr>
    </w:p>
    <w:p>
      <w:pPr>
        <w:ind w:left="4" w:right="100" w:firstLine="987"/>
        <w:spacing w:after="0" w:line="263" w:lineRule="auto"/>
        <w:tabs>
          <w:tab w:leader="none" w:pos="125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its Subsidiaries hold such Permits of the FDA required for the conduct of their respective businesses as currently conducted (collectively, the “</w:t>
      </w:r>
      <w:r>
        <w:rPr>
          <w:rFonts w:ascii="Arial" w:cs="Arial" w:eastAsia="Arial" w:hAnsi="Arial"/>
          <w:sz w:val="18"/>
          <w:szCs w:val="18"/>
          <w:u w:val="single" w:color="auto"/>
          <w:color w:val="auto"/>
        </w:rPr>
        <w:t>FDA Permits</w:t>
      </w:r>
      <w:r>
        <w:rPr>
          <w:rFonts w:ascii="Arial" w:cs="Arial" w:eastAsia="Arial" w:hAnsi="Arial"/>
          <w:sz w:val="18"/>
          <w:szCs w:val="18"/>
          <w:color w:val="auto"/>
        </w:rPr>
        <w:t>”) and all such FDA Permits are in full force and effect.</w:t>
      </w:r>
    </w:p>
    <w:p>
      <w:pPr>
        <w:spacing w:after="0" w:line="75" w:lineRule="exact"/>
        <w:rPr>
          <w:rFonts w:ascii="Arial" w:cs="Arial" w:eastAsia="Arial" w:hAnsi="Arial"/>
          <w:sz w:val="18"/>
          <w:szCs w:val="18"/>
          <w:color w:val="auto"/>
        </w:rPr>
      </w:pPr>
    </w:p>
    <w:p>
      <w:pPr>
        <w:ind w:left="4" w:right="60" w:firstLine="987"/>
        <w:spacing w:after="0" w:line="257" w:lineRule="auto"/>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since January 1, 2022, (i) all correspondence, minutes, reports, documents, claims and notices required to be filed, maintained, or furnished to the FDA by the Company or any of its Subsidiaries have been so filed, maintained or furnished, and (ii) to the Knowledge of the Company, all such correspondence, minutes, reports, documents, claims and notices were complete and correct in all material respects on the date filed (or were corrected in or supplemented by a subsequent filing).</w:t>
      </w:r>
    </w:p>
    <w:p>
      <w:pPr>
        <w:spacing w:after="0" w:line="79" w:lineRule="exact"/>
        <w:rPr>
          <w:rFonts w:ascii="Arial" w:cs="Arial" w:eastAsia="Arial" w:hAnsi="Arial"/>
          <w:sz w:val="18"/>
          <w:szCs w:val="18"/>
          <w:color w:val="auto"/>
        </w:rPr>
      </w:pPr>
    </w:p>
    <w:p>
      <w:pPr>
        <w:ind w:left="4" w:firstLine="987"/>
        <w:spacing w:after="0" w:line="286" w:lineRule="auto"/>
        <w:tabs>
          <w:tab w:leader="none" w:pos="1247"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clinical and pre-clinical studies conducted or sponsored by or, to the Knowledge of the Company, on behalf of the Company or any of its Subsidiaries have been and, if still pending, are being conducted in all material respects in accordance with all applicable Health Care Laws, FDA Permits, Good Clinical Practices requirements (preclinical and clinical), Good Manufacturing Practices and pharmacovigilance.</w:t>
      </w:r>
    </w:p>
    <w:p>
      <w:pPr>
        <w:spacing w:after="0" w:line="57" w:lineRule="exact"/>
        <w:rPr>
          <w:rFonts w:ascii="Arial" w:cs="Arial" w:eastAsia="Arial" w:hAnsi="Arial"/>
          <w:sz w:val="17"/>
          <w:szCs w:val="17"/>
          <w:color w:val="auto"/>
        </w:rPr>
      </w:pPr>
    </w:p>
    <w:p>
      <w:pPr>
        <w:ind w:left="4" w:firstLine="987"/>
        <w:spacing w:after="0" w:line="284" w:lineRule="auto"/>
        <w:tabs>
          <w:tab w:leader="none" w:pos="1237"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has made available to Parent and Merger Sub true, correct and complete copies of (i) all material clinical data available as of the date of this Agreement with respect to all preclinical and clinical investigations sponsored by the Company and its Subsidiaries for omaveloxolone, (ii) since the date of FDA approval of omaveloxolone, all material correspondence of the Company and its Subsidiaries with, and research, pre-clinical, clinical and other applicable material reports filed with or submitted to, the FDA (and all summaries of such correspondence or reports to the extent available) with respect to all preclinical and clinical investigations sponsored by the Company and its Subsidiaries for omaveloxolone as of the date of this Agreement, (iii) the Marketing Authorization Application submitted to the EMA for the approval of omaveloxolone,</w:t>
      </w:r>
    </w:p>
    <w:p>
      <w:pPr>
        <w:spacing w:after="0" w:line="4" w:lineRule="exact"/>
        <w:rPr>
          <w:rFonts w:ascii="Arial" w:cs="Arial" w:eastAsia="Arial" w:hAnsi="Arial"/>
          <w:sz w:val="16"/>
          <w:szCs w:val="16"/>
          <w:color w:val="auto"/>
        </w:rPr>
      </w:pPr>
    </w:p>
    <w:p>
      <w:pPr>
        <w:ind w:left="4" w:right="280" w:hanging="4"/>
        <w:spacing w:after="0" w:line="255" w:lineRule="auto"/>
        <w:tabs>
          <w:tab w:leader="none" w:pos="3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material correspondence with respect to the Marketing Authorization Application submitted to the EMA (including with respect to a proposed pediatric trial for omaveloxolone) and (v) the 120 day list of questions from the EMA with respect to the Marketing Authorization Application for omaveloxolone and the Company’s draft proposed responses to such questions.</w:t>
      </w:r>
    </w:p>
    <w:p>
      <w:pPr>
        <w:spacing w:after="0" w:line="82" w:lineRule="exact"/>
        <w:rPr>
          <w:sz w:val="20"/>
          <w:szCs w:val="20"/>
          <w:color w:val="auto"/>
        </w:rPr>
      </w:pPr>
    </w:p>
    <w:p>
      <w:pPr>
        <w:ind w:left="4" w:right="420" w:firstLine="440"/>
        <w:spacing w:after="0" w:line="301"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has delivered or made available to Parent and Merger Sub true, correct and complete copies of all material insurance policies and all material self-insurance programs and arrangements relating to the business, assets and operations of the Company and its Subsidiaries. The Company and its Subsidiaries maintain insurance coverage in such amounts and covering such risks as are in accordance, in all material respects, with normal industry practice for companies of similar size and stage of development. With respect to each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04"/>
          </w:cols>
          <w:pgMar w:left="436" w:top="490" w:right="459" w:bottom="1440" w:gutter="0" w:footer="0" w:header="0"/>
        </w:sectPr>
      </w:pPr>
    </w:p>
    <w:bookmarkStart w:id="55" w:name="page56"/>
    <w:bookmarkEnd w:id="5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As of the date hereof, there are no material pending claims under any such policy as to which coverage has been questioned, denied or disputed by the underwriters thereof.</w:t>
      </w:r>
    </w:p>
    <w:p>
      <w:pPr>
        <w:spacing w:after="0" w:line="58" w:lineRule="exact"/>
        <w:rPr>
          <w:sz w:val="20"/>
          <w:szCs w:val="20"/>
          <w:color w:val="auto"/>
        </w:rPr>
      </w:pPr>
    </w:p>
    <w:p>
      <w:pPr>
        <w:ind w:right="140" w:firstLine="440"/>
        <w:spacing w:after="0" w:line="289"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Except as would not reasonably be expected, individually or in the aggregate, to be material to the Company taken as a whole, none of the Company, any of its Subsidiaries or any of its or their respective directors or officers or, to the Knowledge of the Company, any of its or their respective other employees, representatives or agents (in each case, acting in such capacity on behalf of the Company or any of its Subsidiaries within the meaning of the Foreign Corrupt Practices Act of 1977) has (i) used any funds (whether of the Company or otherwise) for unlawful contributions, gifts, entertainment or other unlawful expenses relating to political activity, (ii) made any unlawful payment to foreign or domestic government officials or employees or to foreign or domestic political parties or campaigns or (iii) violated any provision of any Anti-Corruption Laws or any rules or regulations promulgated thereunder, anti-money laundering laws or any rules or regulations promulgated thereunder or any applicable Law of similar effect. Since January 1, 2019, none of the Company or any of its Subsidiaries has received any written communication from a Governmental Authority, or have been subject to any Legal Proceeding, that alleges any of the foregoing.</w:t>
      </w:r>
    </w:p>
    <w:p>
      <w:pPr>
        <w:spacing w:after="0" w:line="58"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Opinion of Financial Advisor of the Company</w:t>
      </w:r>
      <w:r>
        <w:rPr>
          <w:rFonts w:ascii="Arial" w:cs="Arial" w:eastAsia="Arial" w:hAnsi="Arial"/>
          <w:sz w:val="17"/>
          <w:szCs w:val="17"/>
          <w:color w:val="auto"/>
        </w:rPr>
        <w:t>. The Company Board (or a committee thereof) has received an oral opinion (to be confirmed by delivery of a written opinion) from the Company Financial Advisor to the effect that, as of the date of such opinion, and based upon and subject to the various assumptions made, procedures followed, matters considered and limitations on the review undertaken in preparing such opinion as set forth therein, the consideration consisting of $172.50 per Share to be paid to the Company Stockholders taken in the aggregate (other than as set forth in such opinion) pursuant to this Agreement is fair, from a financial point of view, to such holders.</w:t>
      </w:r>
    </w:p>
    <w:p>
      <w:pPr>
        <w:spacing w:after="0" w:line="6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State Takeover Statutes Inapplicable</w:t>
      </w:r>
      <w:r>
        <w:rPr>
          <w:rFonts w:ascii="Arial" w:cs="Arial" w:eastAsia="Arial" w:hAnsi="Arial"/>
          <w:sz w:val="16"/>
          <w:szCs w:val="16"/>
          <w:color w:val="auto"/>
        </w:rPr>
        <w:t>. Assuming that the representations of Parent and Merger Sub set forth in this Agreement are true, accurate and complete, the Company Board (or a committee thereof) has taken all necessary actions so that the restrictions on business combinations set forth in Section 203 of the DGCL are not applicable to this Agreement and the transactions contemplated hereby, and to the Knowledge of the Company, no other state takeover statute or similar statute or regulation applies to or purports to apply to the Merger or the other transactions contemplated hereby.</w:t>
      </w:r>
    </w:p>
    <w:p>
      <w:pPr>
        <w:spacing w:after="0" w:line="4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current director, officer or Affiliate of the Company or any of its Subsidiaries has outstanding any indebtedness to the Company or any of its Subsidiaries, or is otherwise a party to, or directly or indirectly benefits from, any Contract, arrangement or understanding with the Company or any of its Subsidiaries (other than a Plan) of a type that would be required to be disclosed under Item 404 of Regulation S-K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000"/>
          </w:cols>
          <w:pgMar w:left="440" w:top="490" w:right="459" w:bottom="1440" w:gutter="0" w:footer="0" w:header="0"/>
        </w:sectPr>
      </w:pPr>
    </w:p>
    <w:bookmarkStart w:id="56" w:name="page57"/>
    <w:bookmarkEnd w:id="56"/>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3.28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neither the Company nor any Representative or other Person on behalf of the Company makes any express or implied representation or warranty with respect to them or any of their Affiliates or any of its or their respective business, assets, Liabilities, financial condition or results of operations or with respect to any other information provided to Parent or Merger Sub in connection with the transactions contemplated hereby. The Company acknowledges and agrees on behalf of itself and the Company Related Parties, that, except for the representations and warranties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 none of Parent Related Parties or any other Person makes, or has made, any representations or warranties relating to itself or its business, Parent, Merger Sub, or their respective business or any other matter in connection with the entry into this Agreement, the Merger and the other transactions contemplated hereby, and no Company Related Party is relying or has relied on any representation or warranty of any Parent Related Party or any other Person except for the representations and warranties of Parent and Merger Sub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(b) no Person has been authorized by any Parent Related Party to make any representation or warranty relating any Parent Related Party or and of their respective businesses or any other matter in connection with the entry into this Agreement, the Merger and the other transactions contemplated hereby, and if made, such representation or warranty must not be relied upon by any Company Related Party or any other Person as having been authorized by any Parent Related Party, and (c) any estimates, projections, predictions, data, financial information, memoranda, presentations or any other materials or information provided or addressed to any Company Related Party or any other Person are not and shall not be deemed to be or include representations or warranties of Parent or Merger Sub (and have not been relied upon by any Company Related Party or any other Person) except (and only to the extent that) an express representation or warranty is made by Parent or Merger Sub with respect to such materials or information in a representation or warranty of Parent or Merger Sub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Parent and Merger Sub hereby represent and warrant to the Company as follows:</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Each of Parent and Merger Sub is duly organized and validly existing and in good standing under the Laws of the jurisdiction of its organization, with all requisite power and authority to own its properties and conduct its business as currently conducted, except for such failures to be in good standing or have such power that would not, individually or in the aggregate, reasonably be expected to prevent, materially delay or materially impair the ability of Parent or Merger Sub to consummate the Merger or the other transactions contemplated hereby. All of the issued and outstanding capital stock of Merger Sub is owned by Parent. Both Parent and Merger Sub are in compliance with the provisions of their respective certificates of incorporation and bylaws (or other similar governing documents) except for such failure to be in compliance that would not, individually or in the aggregate, reasonably be expected to prevent, materially delay or materially impair the ability of Parent or Merger Sub to consummate the Merger or the other transactions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020"/>
          </w:cols>
          <w:pgMar w:left="440" w:top="490" w:right="439" w:bottom="1440" w:gutter="0" w:footer="0" w:header="0"/>
        </w:sectPr>
      </w:pPr>
    </w:p>
    <w:bookmarkStart w:id="57" w:name="page58"/>
    <w:bookmarkEnd w:id="57"/>
    <w:p>
      <w:pPr>
        <w:ind w:left="4" w:right="6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4.2 </w:t>
      </w:r>
      <w:r>
        <w:rPr>
          <w:rFonts w:ascii="Arial" w:cs="Arial" w:eastAsia="Arial" w:hAnsi="Arial"/>
          <w:sz w:val="16"/>
          <w:szCs w:val="16"/>
          <w:u w:val="single" w:color="auto"/>
          <w:color w:val="auto"/>
        </w:rPr>
        <w:t>Authority</w:t>
      </w:r>
      <w:r>
        <w:rPr>
          <w:rFonts w:ascii="Arial" w:cs="Arial" w:eastAsia="Arial" w:hAnsi="Arial"/>
          <w:sz w:val="16"/>
          <w:szCs w:val="16"/>
          <w:color w:val="auto"/>
        </w:rPr>
        <w:t>. Each of Parent and Merger Sub has the requisite corporate power and authority to execute and deliver this Agreement, to perform their respective covenants and obligations hereunder and to consummate the transactions contemplated hereby. The execution and delivery of this Agreement by Parent and Merger Sub and, subject to the adoption of this Agreement by the sole stockholder of Merger Sub (which adoption shall occur immediately after the execution and delivery of this Agreement), the performance by Parent and Merger Sub of their respective covenants and obligations hereunder and the consummation of the transactions contemplated hereby have been duly and validly authorized by all necessary corporate actions on the part of Parent and Merger Sub and no additional corporate proceedings or action on the part of Merger Sub, Parent or any of its Subsidiaries are necessary to authorize the execution and delivery by Parent and Merger Sub of this Agreement, the performance by Parent and Merger Sub of their respective covenants and obligations hereunder or the consummation by Parent and Merger Sub of the transactions contemplated hereby. This Agreement has been duly and validly executed and delivered by Parent and Merger Sub and, assuming the due authorization, execution and delivery by the Company, constitutes a legal, valid and binding agreement of each of Parent and Merger Sub, enforceable against each of Parent and Merger Sub in accordance with its terms, subject to the Enforceability Exceptions. As of the date of this Agreement, (a) the Board of Directors of Parent has approved this Agreement and the transactions contemplated hereby, including the Merger, and (b) the Board of Directors of Merger Sub has</w:t>
      </w:r>
    </w:p>
    <w:p>
      <w:pPr>
        <w:spacing w:after="0" w:line="3" w:lineRule="exact"/>
        <w:rPr>
          <w:sz w:val="20"/>
          <w:szCs w:val="20"/>
          <w:color w:val="auto"/>
        </w:rPr>
      </w:pPr>
    </w:p>
    <w:p>
      <w:pPr>
        <w:ind w:left="4" w:hanging="4"/>
        <w:spacing w:after="0" w:line="270" w:lineRule="auto"/>
        <w:tabs>
          <w:tab w:leader="none" w:pos="219"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determined that it is in the best interests of Merger Sub and its sole stockholder, and declared it advisable, to enter into this Agreement and consummate the transactions contemplated hereby, (ii) approved the execution and delivery by Merger Sub of this Agreement, the performance by Merger Sub of its covenants and agreements contained herein and the consummation of the Merger upon the terms and subject to the conditions contained herein and (iii) recommended that the sole stockholder of Merger Sub adopt this Agreement and approve the transactions contemplated hereby (including the Merger), in each case of clauses (a) and (b) above, at meetings duly called and held (or by unanimous written consent). No vote of Parent’s stockholders is necessary to approve this Agreement or any of the transactions contemplated hereby.</w:t>
      </w:r>
    </w:p>
    <w:p>
      <w:pPr>
        <w:spacing w:after="0" w:line="70"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Proxy Statement</w:t>
      </w:r>
      <w:r>
        <w:rPr>
          <w:rFonts w:ascii="Arial" w:cs="Arial" w:eastAsia="Arial" w:hAnsi="Arial"/>
          <w:sz w:val="18"/>
          <w:szCs w:val="18"/>
          <w:color w:val="auto"/>
        </w:rPr>
        <w:t>. None of the information provided or to be provided in writing by or on behalf of Parent or Merger Sub or any of their Representatives for inclusion or incorporation by reference in the Proxy Statement will contain any untrue statement of a material fact or omit to state any material fact required to be stated therein or necessary in order to make the statements therein, in the light of the circumstances under which they were made, not misleading.</w:t>
      </w:r>
    </w:p>
    <w:p>
      <w:pPr>
        <w:spacing w:after="0" w:line="79"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Consents and Approvals; No Violation</w:t>
      </w:r>
      <w:r>
        <w:rPr>
          <w:rFonts w:ascii="Arial" w:cs="Arial" w:eastAsia="Arial" w:hAnsi="Arial"/>
          <w:sz w:val="17"/>
          <w:szCs w:val="17"/>
          <w:color w:val="auto"/>
        </w:rPr>
        <w:t>. Except as would not, individually or in the aggregate, reasonably be expected to prevent, materially delay or materially impair the ability of Parent or Merger Sub to consummate the Merger or the other transactions contemplated hereby, the execution and delivery of this Agreement by Parent or Merger Sub, the performance by Parent and Merger Sub of their respective covenants and obligations hereunder and the consummation of the transactions contemplated hereby do not and will not, (a) violate or conflict with or result in any breach of any provision of the respective certificate of incorporation or bylaws (or other similar governing documents) of Parent or Merger Sub, (b) require any Permit of, or filing with or notification to, any Governmental Authority, except (i) as may be required under the HSR Act, (ii)</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004"/>
          </w:cols>
          <w:pgMar w:left="436" w:top="490" w:right="459" w:bottom="1440" w:gutter="0" w:footer="0" w:header="0"/>
        </w:sectPr>
      </w:pPr>
    </w:p>
    <w:bookmarkStart w:id="58" w:name="page59"/>
    <w:bookmarkEnd w:id="5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applicable requirements of any federal or state securities Laws, including compliance with the Exchange Act and the rules and regulations promulgated thereunder, (iii) the filing and recordation of appropriate merger documents as required by the DGCL, including the filing of the Certificate of Merger with the Secretary of State of the State of Delaware or (iv) the applicable requirements of NASDAQ, (c) violate, conflict with or result in a breach of any provision of, or require any notice or Consent or result in a default (or give rise to any right of termination, cancellation, modification or acceleration or any event that, with the giving of notice, the passage of time or otherwise, would constitute a default or give rise to any such right) under any of the terms, conditions or provisions of any Contract to which Parent or Merger Sub or any of their respective Subsidiaries is a party or by which Parent or any of its Subsidiaries or any of their respective assets may be bound, or (d) violate any Law or Order applicable to Parent or any of its Subsidiaries (including Merger Sub) or by which any of their respective assets are bound (assuming receipt of the Stockholder Approval).</w:t>
      </w:r>
    </w:p>
    <w:p>
      <w:pPr>
        <w:spacing w:after="0" w:line="5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hereof, there is no Legal Proceeding or governmental or administrative investigation or action pending or, to the Knowledge of Parent, threatened against or relating to Parent or any of its Subsidiaries that would reasonably be expected to prevent, materially delay or materially impair the ability of Parent or Merger Sub to consummate the Merger or the other transactions contemplated hereby. Neither Parent nor any of its Subsidiaries is subject to any outstanding Order that, individually or in the aggregate, would reasonably be expected to prevent, materially delay or materially impair the ability of Parent or Merger Sub to consummate the Merger or the other transactions contemplated hereby.</w:t>
      </w:r>
    </w:p>
    <w:p>
      <w:pPr>
        <w:spacing w:after="0" w:line="53"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Neither Parent nor any of its Affiliates (including Merger Sub), nor any “affiliate” or “associate” (as such terms are defined in Section 203 of the DGCL) thereof, is, or has been at any time during the period commencing three (3) years prior to the date hereof, an “interested stockholder” of the Company, as such term is defined in Section 203 of the DGCL. None of Parent, Merger Sub nor any of their Affiliates beneficially owns (as such term is used in Rule 13d-3 promulgated under the Exchange Act) any Shares or other securities of the Company or any options, warrants or other rights to acquire securities of, or any other economic interest (through derivative securities or otherwise) in, the Company, in each case, other than held through a pension or other employee benefit plan or investments through mutual funds or other similar investment vehicles.</w:t>
      </w:r>
    </w:p>
    <w:p>
      <w:pPr>
        <w:spacing w:after="0" w:line="56"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Sufficient Funds</w:t>
      </w:r>
      <w:r>
        <w:rPr>
          <w:rFonts w:ascii="Arial" w:cs="Arial" w:eastAsia="Arial" w:hAnsi="Arial"/>
          <w:sz w:val="17"/>
          <w:szCs w:val="17"/>
          <w:color w:val="auto"/>
        </w:rPr>
        <w:t>. Parent currently has, and at all times from and after the date hereof and through the Effective Time will have, available to it, and Merger Sub will have as of the Effective Time, sufficient funds for the satisfaction of all of Parent’s and Merger Sub’s obligations under this Agreement, including the payment of the aggregate Merger Consideration and the consideration in respect of the Company Options and the Company RSU Awards and to pay all related fees and expenses required to be paid by Parent or Merger Sub pursuant to the terms of this Agreement. Parent’s and Merger Sub’s obligations hereunder, including their obligations to consummate the Merger, are not subject to a condition regarding Parent’s or Merger Sub’s obtaining any financing to consummate the transactions contemplated by this Agreement.</w:t>
      </w:r>
    </w:p>
    <w:p>
      <w:pPr>
        <w:spacing w:after="0" w:line="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Other Operations</w:t>
      </w:r>
      <w:r>
        <w:rPr>
          <w:rFonts w:ascii="Arial" w:cs="Arial" w:eastAsia="Arial" w:hAnsi="Arial"/>
          <w:sz w:val="18"/>
          <w:szCs w:val="18"/>
          <w:color w:val="auto"/>
        </w:rPr>
        <w:t>. Merger Sub was formed solely for the purpose of effecting the Merger. Merger Sub has not and will not prior to the Effective Time engage in any activities other than those incidental to its formation or those contemplated by this Agreement and has, and will have as of immediately prior to the Effective Time, no liabilities other than those contemplated by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020"/>
          </w:cols>
          <w:pgMar w:left="440" w:top="490" w:right="439" w:bottom="1440" w:gutter="0" w:footer="0" w:header="0"/>
        </w:sectPr>
      </w:pPr>
    </w:p>
    <w:bookmarkStart w:id="59" w:name="page60"/>
    <w:bookmarkEnd w:id="59"/>
    <w:p>
      <w:pPr>
        <w:jc w:val="both"/>
        <w:ind w:left="4" w:right="4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4.9 </w:t>
      </w:r>
      <w:r>
        <w:rPr>
          <w:rFonts w:ascii="Arial" w:cs="Arial" w:eastAsia="Arial" w:hAnsi="Arial"/>
          <w:sz w:val="18"/>
          <w:szCs w:val="18"/>
          <w:u w:val="single" w:color="auto"/>
          <w:color w:val="auto"/>
        </w:rPr>
        <w:t>Brokers</w:t>
      </w:r>
      <w:r>
        <w:rPr>
          <w:rFonts w:ascii="Arial" w:cs="Arial" w:eastAsia="Arial" w:hAnsi="Arial"/>
          <w:sz w:val="18"/>
          <w:szCs w:val="18"/>
          <w:color w:val="auto"/>
        </w:rPr>
        <w:t>. The Company will not be responsible for any brokerage, finder’s, financial advisor’s or other fee or commission payable to any broker, finder or investment banker in connection with the transactions contemplated by this Agreement based upon arrangements made by and on behalf of Parent and Merger Sub.</w:t>
      </w:r>
    </w:p>
    <w:p>
      <w:pPr>
        <w:spacing w:after="0" w:line="76" w:lineRule="exact"/>
        <w:rPr>
          <w:sz w:val="20"/>
          <w:szCs w:val="20"/>
          <w:color w:val="auto"/>
        </w:rPr>
      </w:pPr>
    </w:p>
    <w:p>
      <w:pPr>
        <w:jc w:val="both"/>
        <w:ind w:left="4" w:right="200" w:firstLine="440"/>
        <w:spacing w:after="0" w:line="28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Neither Parent nor Merger Sub is entering into this Agreement with the intent to hinder, delay or defraud either present or future creditors. Immediately after giving effect to the transactions contemplated by this Agreement, the payment of the aggregate Merger Consideration and any other repayment or refinancing of debt that may be contemplated, and payment of all related fees and expenses, the Surviving Corporation will be Solvent. For purposes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the term “</w:t>
      </w:r>
      <w:r>
        <w:rPr>
          <w:rFonts w:ascii="Arial" w:cs="Arial" w:eastAsia="Arial" w:hAnsi="Arial"/>
          <w:sz w:val="16"/>
          <w:szCs w:val="16"/>
          <w:u w:val="single" w:color="auto"/>
          <w:color w:val="auto"/>
        </w:rPr>
        <w:t>Solvent</w:t>
      </w:r>
      <w:r>
        <w:rPr>
          <w:rFonts w:ascii="Arial" w:cs="Arial" w:eastAsia="Arial" w:hAnsi="Arial"/>
          <w:sz w:val="16"/>
          <w:szCs w:val="16"/>
          <w:color w:val="auto"/>
        </w:rPr>
        <w:t>” with respect to the Surviving Corporation means that, as of any date of determination:</w:t>
      </w:r>
    </w:p>
    <w:p>
      <w:pPr>
        <w:spacing w:after="0" w:line="1" w:lineRule="exact"/>
        <w:rPr>
          <w:sz w:val="20"/>
          <w:szCs w:val="20"/>
          <w:color w:val="auto"/>
        </w:rPr>
      </w:pPr>
    </w:p>
    <w:p>
      <w:pPr>
        <w:ind w:left="4" w:right="60" w:hanging="4"/>
        <w:spacing w:after="0" w:line="252" w:lineRule="auto"/>
        <w:tabs>
          <w:tab w:leader="none" w:pos="2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of the fair saleable value of the assets of the Surviving Corporation, taken as a whole, exceeds, as of such date, the amount of all Liabilities of the Surviving Corporation, taken as a whole, including contingent and other liabilities, as of such date; (b) the amount of the fair saleable value of the assets of the Surviving Corporation, taken as a whole, is greater than the amount that will be required to pay the probable Liabilities of the Surviving Corporation, taken as a whole (including contingent liabilities), as such debts and other Liabilities become absolute and matured; (c) the Surviving Corporation will not have, as of such date, an unreasonably small amount of capital for the operation of the business in which it is engaged or proposed to be engaged by Parent following such date; and (d) the Surviving Corporation will be able to pay its Liabilities, including contingent and other liabilities, as they mature.</w:t>
      </w:r>
    </w:p>
    <w:p>
      <w:pPr>
        <w:spacing w:after="0" w:line="8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Absence of Certain Arrangements</w:t>
      </w:r>
      <w:r>
        <w:rPr>
          <w:rFonts w:ascii="Arial" w:cs="Arial" w:eastAsia="Arial" w:hAnsi="Arial"/>
          <w:sz w:val="18"/>
          <w:szCs w:val="18"/>
          <w:color w:val="auto"/>
        </w:rPr>
        <w:t>. As of the date of this Agreement, other than this Agreement and the Support Agreements, neither Parent or Merger Sub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(i) this Agreement or the Merger or (ii) the Surviving Corporation or any of its businesses or operations (including as to continuing employment) from and after the Effective Time or (b) pursuant to which any (i) such holder of Shares would be entitled to receive consideration of a different amount or nature than the Merger Consideration in respect of such holder’s Shares or (ii) such stockholder, director, officer, employee or other Affiliate of the Company has agreed to provide, directly or indirectly, equity investment to Parent, Merger Sub or the Company to finance any portion of the Merger.</w:t>
      </w:r>
    </w:p>
    <w:p>
      <w:pPr>
        <w:spacing w:after="0" w:line="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neither Parent, Merger Sub nor any Representative or other Person on behalf of either makes any express or implied representation or warranty with respect to them or any of their Affiliates or any of its or their respective business, assets, Liabilities, financial condition or results of operations or with respect to any other information provided to the Company in connection with the transactions contemplated hereby. Parent and Merger Sub each acknowledges and agrees (in each case on behalf of Parent, Merger Sub, each of their respective Affiliates, each of the direct and indirect stockholders, partners, managers or other equity or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004"/>
          </w:cols>
          <w:pgMar w:left="436" w:top="490" w:right="45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security holders of Parent, Merger Sub or any of their respective Affiliates and any Representative of any of the foregoing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Related Parties</w:t>
      </w:r>
      <w:r>
        <w:rPr>
          <w:rFonts w:ascii="Arial" w:cs="Arial" w:eastAsia="Arial" w:hAnsi="Arial"/>
          <w:sz w:val="17"/>
          <w:szCs w:val="17"/>
          <w:color w:val="auto"/>
        </w:rPr>
        <w:t xml:space="preserve">”)), that, except for the representations and warranties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 none of the Company, any Affiliates thereof, any direct or indirect stockholder, partner, manager or other equity or security holder of the Company or any Affiliate thereof or any Representative of any of the foregoing (collectively, the “</w:t>
      </w:r>
      <w:r>
        <w:rPr>
          <w:rFonts w:ascii="Arial" w:cs="Arial" w:eastAsia="Arial" w:hAnsi="Arial"/>
          <w:sz w:val="17"/>
          <w:szCs w:val="17"/>
          <w:u w:val="single" w:color="auto"/>
          <w:color w:val="auto"/>
        </w:rPr>
        <w:t>Company Related Parties</w:t>
      </w:r>
      <w:r>
        <w:rPr>
          <w:rFonts w:ascii="Arial" w:cs="Arial" w:eastAsia="Arial" w:hAnsi="Arial"/>
          <w:sz w:val="17"/>
          <w:szCs w:val="17"/>
          <w:color w:val="auto"/>
        </w:rPr>
        <w:t xml:space="preserve">”) or any other Person makes, or has made, any representations or warranties relating to itself or its business, the Company or its business or any other matter in connection with the entry into this Agreement, the Merger and the other transactions contemplated hereby, and no Parent Related Party is relying or has relied on any representation or warranty of any Company Related Party or any other Person except for the representations and warranties of the Company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(b) no Person has been authorized by any Company Related Party to make any representation or warranty relating any Company Related Party or and of their respective businesses or any other matter in connection with the entry into this Agreement, the Merger and the other transactions contemplated hereby, and if made, such representation or warranty must not be relied upon by any Parent Related Party or any other Person as having been authorized by any Company Related Party, and (c) any estimates, projections, predictions, data, financial information, memoranda, presentations or any other materials or information provided or addressed to any Parent Related Party or any other Person are not and shall not be deemed to be or include representations or warranties of the Company (and have not been relied upon by any Parent Related Party or any other Person) except (and only to the extent that) an express representation or warranty is made by the Company with respect to such materials or information in a representation or warranty of the Company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COMPANY</w:t>
      </w:r>
    </w:p>
    <w:p>
      <w:pPr>
        <w:spacing w:after="0" w:line="103"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Conduct of Business of the Company</w:t>
      </w:r>
      <w:r>
        <w:rPr>
          <w:rFonts w:ascii="Arial" w:cs="Arial" w:eastAsia="Arial" w:hAnsi="Arial"/>
          <w:sz w:val="16"/>
          <w:szCs w:val="16"/>
          <w:color w:val="auto"/>
        </w:rPr>
        <w:t xml:space="preserve">. Except (a) as described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(b) as required by applicable Law (including any COVID-19 Measures or such reasonable actions after notice has been provided to Parent or Parent’s counsel as may be taken in response to acts of war or sanctions, including in connection with the current dispute involving the Russian Federation and Ukraine), (c) as consented to in writing by Parent (which consent shall not be unreasonably withheld, conditioned or delayed) or (d) as required or expressly provided for by this Agreement, during the period from the date of this Agreement and continuing until the earlier of the termination of this Agreement or the Effective Time, (x) the Company and each of its Subsidiaries will use its reasonable best efforts to conduct its operations in all material respects according to its ordinary and usual course of business consistent with past practice, and the Company and each of its Subsidiaries will use its reasonable best efforts to preserve intact its business organization and to preserve the present relationships with those Persons having significant business relationships with the Company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during any period of full or partial suspension of operations related to COVID-19 or any COVID-19 Measures, the Company and its Subsidiaries may, in connection with COVID-19 or any COVID-19 Measures, take such actions as are reasonably necessary (i) to protect the health and safety of the Company’s and its Subsidiaries’ employees and other individuals having business dealings with the Company or any of its Subsidiaries or (ii) to respond to third-party supply or service disruptions caused by COVID-19 or any COVID-19 Measures;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the Company or any of its Subsidiaries may take such reasonable actions after notice has been provided to Parent or Parent’s</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as may be taken in response to acts of war or sanctions, including in connection with the current dispute involving the Russian Federation and Ukraine, and (y) without limiting the generality of the foregoing, the Company will not, and will not permit any of its Subsidiaries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020"/>
          </w:cols>
          <w:pgMar w:left="440" w:top="490" w:right="439" w:bottom="1440" w:gutter="0" w:footer="0" w:header="0"/>
        </w:sectPr>
      </w:pPr>
    </w:p>
    <w:bookmarkStart w:id="61" w:name="page62"/>
    <w:bookmarkEnd w:id="61"/>
    <w:p>
      <w:pPr>
        <w:ind w:left="1644" w:hanging="212"/>
        <w:spacing w:after="0"/>
        <w:tabs>
          <w:tab w:leader="none" w:pos="1644"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adopt any amendments to its certificate of incorporation or bylaws or other similar organizational documents;</w:t>
      </w:r>
    </w:p>
    <w:p>
      <w:pPr>
        <w:spacing w:after="0" w:line="117" w:lineRule="exact"/>
        <w:rPr>
          <w:rFonts w:ascii="Arial" w:cs="Arial" w:eastAsia="Arial" w:hAnsi="Arial"/>
          <w:sz w:val="18"/>
          <w:szCs w:val="18"/>
          <w:color w:val="auto"/>
        </w:rPr>
      </w:pPr>
    </w:p>
    <w:p>
      <w:pPr>
        <w:ind w:left="1704" w:hanging="272"/>
        <w:spacing w:after="0"/>
        <w:tabs>
          <w:tab w:leader="none" w:pos="17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w:t>
      </w:r>
    </w:p>
    <w:p>
      <w:pPr>
        <w:spacing w:after="0" w:line="117" w:lineRule="exact"/>
        <w:rPr>
          <w:rFonts w:ascii="Arial" w:cs="Arial" w:eastAsia="Arial" w:hAnsi="Arial"/>
          <w:sz w:val="18"/>
          <w:szCs w:val="18"/>
          <w:color w:val="auto"/>
        </w:rPr>
      </w:pPr>
    </w:p>
    <w:p>
      <w:pPr>
        <w:ind w:left="4" w:right="320" w:firstLine="1428"/>
        <w:spacing w:after="0" w:line="311" w:lineRule="auto"/>
        <w:tabs>
          <w:tab w:leader="none" w:pos="1751" w:val="left"/>
        </w:tabs>
        <w:numPr>
          <w:ilvl w:val="1"/>
          <w:numId w:val="68"/>
        </w:numPr>
        <w:rPr>
          <w:rFonts w:ascii="Arial" w:cs="Arial" w:eastAsia="Arial" w:hAnsi="Arial"/>
          <w:sz w:val="16"/>
          <w:szCs w:val="16"/>
          <w:color w:val="auto"/>
        </w:rPr>
      </w:pPr>
      <w:r>
        <w:rPr>
          <w:rFonts w:ascii="Arial" w:cs="Arial" w:eastAsia="Arial" w:hAnsi="Arial"/>
          <w:sz w:val="16"/>
          <w:szCs w:val="16"/>
          <w:color w:val="auto"/>
        </w:rPr>
        <w:t>issue, sell, grant options or rights to purchase, pledge, or authorize or propose the issuance, sale, grant of options or rights to purchase or pledge, any Company Securities or Company Subsidiary Securities, other than Shares issuable with respect to the exercise, vesting, settlement of or purchases with respect to Company Stock Awards outstanding as of the date hereof or granted in compliance with this Agreement;</w:t>
      </w:r>
    </w:p>
    <w:p>
      <w:pPr>
        <w:spacing w:after="0" w:line="40" w:lineRule="exact"/>
        <w:rPr>
          <w:rFonts w:ascii="Arial" w:cs="Arial" w:eastAsia="Arial" w:hAnsi="Arial"/>
          <w:sz w:val="16"/>
          <w:szCs w:val="16"/>
          <w:color w:val="auto"/>
        </w:rPr>
      </w:pPr>
    </w:p>
    <w:p>
      <w:pPr>
        <w:ind w:left="4" w:right="300" w:firstLine="1428"/>
        <w:spacing w:after="0" w:line="259" w:lineRule="auto"/>
        <w:tabs>
          <w:tab w:leader="none" w:pos="174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acquire or redeem or offer to acquire or redeem, directly or indirectly, or amend any Company Securities or Company Subsidiary Securities, other than (A) as provided by the Company Stock Plan pursuant to its existing terms, or (B) the satisfaction of exercise price and/or Tax withholding obligations in connection with the purchase, vesting, exercise and/or settlement of any Company Stock Award pursuant to its existing terms;</w:t>
      </w:r>
    </w:p>
    <w:p>
      <w:pPr>
        <w:spacing w:after="0" w:line="78" w:lineRule="exact"/>
        <w:rPr>
          <w:rFonts w:ascii="Arial" w:cs="Arial" w:eastAsia="Arial" w:hAnsi="Arial"/>
          <w:sz w:val="18"/>
          <w:szCs w:val="18"/>
          <w:color w:val="auto"/>
        </w:rPr>
      </w:pPr>
    </w:p>
    <w:p>
      <w:pPr>
        <w:ind w:left="4" w:firstLine="1428"/>
        <w:spacing w:after="0" w:line="308" w:lineRule="auto"/>
        <w:tabs>
          <w:tab w:leader="none" w:pos="1691" w:val="left"/>
        </w:tabs>
        <w:numPr>
          <w:ilvl w:val="1"/>
          <w:numId w:val="68"/>
        </w:numPr>
        <w:rPr>
          <w:rFonts w:ascii="Arial" w:cs="Arial" w:eastAsia="Arial" w:hAnsi="Arial"/>
          <w:sz w:val="17"/>
          <w:szCs w:val="17"/>
          <w:color w:val="auto"/>
        </w:rPr>
      </w:pPr>
      <w:r>
        <w:rPr>
          <w:rFonts w:ascii="Arial" w:cs="Arial" w:eastAsia="Arial" w:hAnsi="Arial"/>
          <w:sz w:val="17"/>
          <w:szCs w:val="17"/>
          <w:color w:val="auto"/>
        </w:rPr>
        <w:t>split, combine or reclassify its capital stock or declare, set aside, make or pay any dividend or distribution (whether in cash, stock or property) on any shares of its capital stock, except for dividends or distributions by any of the Company’s wholly owned Subsidiaries;</w:t>
      </w:r>
    </w:p>
    <w:p>
      <w:pPr>
        <w:spacing w:after="0" w:line="38" w:lineRule="exact"/>
        <w:rPr>
          <w:rFonts w:ascii="Arial" w:cs="Arial" w:eastAsia="Arial" w:hAnsi="Arial"/>
          <w:sz w:val="17"/>
          <w:szCs w:val="17"/>
          <w:color w:val="auto"/>
        </w:rPr>
      </w:pPr>
    </w:p>
    <w:p>
      <w:pPr>
        <w:ind w:left="4" w:right="120" w:firstLine="1428"/>
        <w:spacing w:after="0" w:line="286" w:lineRule="auto"/>
        <w:tabs>
          <w:tab w:leader="none" w:pos="1741" w:val="left"/>
        </w:tabs>
        <w:numPr>
          <w:ilvl w:val="1"/>
          <w:numId w:val="68"/>
        </w:numPr>
        <w:rPr>
          <w:rFonts w:ascii="Arial" w:cs="Arial" w:eastAsia="Arial" w:hAnsi="Arial"/>
          <w:sz w:val="16"/>
          <w:szCs w:val="16"/>
          <w:color w:val="auto"/>
        </w:rPr>
      </w:pPr>
      <w:r>
        <w:rPr>
          <w:rFonts w:ascii="Arial" w:cs="Arial" w:eastAsia="Arial" w:hAnsi="Arial"/>
          <w:sz w:val="16"/>
          <w:szCs w:val="16"/>
          <w:color w:val="auto"/>
        </w:rPr>
        <w:t>(A) acquire, by means of a merger, consolidation, recapitalization or otherwise, any business, assets or securities (other than, in each case, capital expenditures in accordance with subclause (xiv) below and any acquisition of assets, including active pharmaceutical ingredients and other supplies, in the ordinary course of business consistent with past practice) for consideration in excess of $5,000,000, individually or in the aggregate, (B) sell, lease, or otherwise dispose of any assets with a fair market value in excess of $5,000,000, individually or in the aggregate, except</w:t>
      </w:r>
    </w:p>
    <w:p>
      <w:pPr>
        <w:spacing w:after="0" w:line="1" w:lineRule="exact"/>
        <w:rPr>
          <w:rFonts w:ascii="Arial" w:cs="Arial" w:eastAsia="Arial" w:hAnsi="Arial"/>
          <w:sz w:val="16"/>
          <w:szCs w:val="16"/>
          <w:color w:val="auto"/>
        </w:rPr>
      </w:pPr>
    </w:p>
    <w:p>
      <w:pPr>
        <w:ind w:left="4" w:right="140" w:hanging="4"/>
        <w:spacing w:after="0" w:line="253"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pursuant to Contracts or commitments existing as of the date of this Agreement, (2) sales of products or services in the ordinary course of business consistent with past practice, (3) Incidental Contracts, (4) non-exclusive licenses entered into in the ordinary course of business consistent with past practice, (5) dispositions of marketable securities in the ordinary course of business consistent with past practice, and (6) dispositions or abandonments of immaterial tangible assets in the ordinary course of business consistent with past practice, or (C) adopt a plan of complete or partial liquidation, dissolution, recapitalization or restructuring;</w:t>
      </w:r>
    </w:p>
    <w:p>
      <w:pPr>
        <w:spacing w:after="0" w:line="82" w:lineRule="exact"/>
        <w:rPr>
          <w:rFonts w:ascii="Arial" w:cs="Arial" w:eastAsia="Arial" w:hAnsi="Arial"/>
          <w:sz w:val="18"/>
          <w:szCs w:val="18"/>
          <w:color w:val="auto"/>
        </w:rPr>
      </w:pPr>
    </w:p>
    <w:p>
      <w:pPr>
        <w:ind w:left="4" w:right="20" w:firstLine="1428"/>
        <w:spacing w:after="0" w:line="257" w:lineRule="auto"/>
        <w:tabs>
          <w:tab w:leader="none" w:pos="17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sell, transfer, license, sublicense, assign, cancel, fail to renew, fail to defend, fail to maintain in the ordinary course of business, abandon or otherwise dispose of or grant any covenant-not-to-sue under any material Company Intellectual Property or any Company Product, except for (1) Incidental Contracts and (2) non-exclusive licenses entered into in the ordinary course of business to contract manufacturers or contract research organizations, or (B) disclose to any third party, other than under a confidentiality agreement or to representatives of Parent, any material Trade Secrets included in the Company Intellectual Property Rights;</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2"/>
          <w:numId w:val="69"/>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004"/>
          </w:cols>
          <w:pgMar w:left="436" w:top="490" w:right="459" w:bottom="1440" w:gutter="0" w:footer="0" w:header="0"/>
        </w:sectPr>
      </w:pPr>
    </w:p>
    <w:bookmarkStart w:id="62" w:name="page63"/>
    <w:bookmarkEnd w:id="62"/>
    <w:p>
      <w:pPr>
        <w:ind w:left="1844" w:hanging="412"/>
        <w:spacing w:after="0"/>
        <w:tabs>
          <w:tab w:leader="none" w:pos="1844"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incur, assume or otherwise become liable or responsible for any indebtedness for borrowed money;</w:t>
      </w:r>
    </w:p>
    <w:p>
      <w:pPr>
        <w:spacing w:after="0" w:line="117" w:lineRule="exact"/>
        <w:rPr>
          <w:rFonts w:ascii="Arial" w:cs="Arial" w:eastAsia="Arial" w:hAnsi="Arial"/>
          <w:sz w:val="18"/>
          <w:szCs w:val="18"/>
          <w:color w:val="auto"/>
        </w:rPr>
      </w:pPr>
    </w:p>
    <w:p>
      <w:pPr>
        <w:ind w:left="4" w:right="480" w:firstLine="1428"/>
        <w:spacing w:after="0" w:line="277" w:lineRule="auto"/>
        <w:tabs>
          <w:tab w:leader="none" w:pos="174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assume, guarantee, endorse or otherwise become liable or responsible (whether directly, contingently or otherwise) for the obligations of any other Person in an amount not to exceed $5,000,000 in the aggregate;</w:t>
      </w:r>
    </w:p>
    <w:p>
      <w:pPr>
        <w:spacing w:after="0" w:line="62" w:lineRule="exact"/>
        <w:rPr>
          <w:rFonts w:ascii="Arial" w:cs="Arial" w:eastAsia="Arial" w:hAnsi="Arial"/>
          <w:sz w:val="18"/>
          <w:szCs w:val="18"/>
          <w:color w:val="auto"/>
        </w:rPr>
      </w:pPr>
    </w:p>
    <w:p>
      <w:pPr>
        <w:ind w:left="4" w:right="100" w:firstLine="1428"/>
        <w:spacing w:after="0" w:line="257" w:lineRule="auto"/>
        <w:tabs>
          <w:tab w:leader="none" w:pos="1691"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make any loans, advances (other than for ordinary course business expenses or pursuant to the Company’s or any of its Subsidiaries’ governing documents or existing indemnification obligations) or capital contributions to, or investments in, any other Person in excess of $2,500,000, except for (A) advancement of expenses under any indemnification agreement or the governing documents of the Company or any of its Subsidiaries and (B) loans or advances among the Company and any of its wholly owned Subsidiaries and capital contributions to or investments in the Company’s wholly owned Subsidiaries;</w:t>
      </w:r>
    </w:p>
    <w:p>
      <w:pPr>
        <w:spacing w:after="0" w:line="79" w:lineRule="exact"/>
        <w:rPr>
          <w:rFonts w:ascii="Arial" w:cs="Arial" w:eastAsia="Arial" w:hAnsi="Arial"/>
          <w:sz w:val="18"/>
          <w:szCs w:val="18"/>
          <w:color w:val="auto"/>
        </w:rPr>
      </w:pPr>
    </w:p>
    <w:p>
      <w:pPr>
        <w:ind w:left="1744" w:hanging="312"/>
        <w:spacing w:after="0"/>
        <w:tabs>
          <w:tab w:leader="none" w:pos="17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form any Subsidiary, acquire any equity interest in any other Person or enter into any joint venture, partnership, collaboration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similar arrangement;</w:t>
      </w:r>
    </w:p>
    <w:p>
      <w:pPr>
        <w:spacing w:after="0" w:line="102" w:lineRule="exact"/>
        <w:rPr>
          <w:rFonts w:ascii="Arial" w:cs="Arial" w:eastAsia="Arial" w:hAnsi="Arial"/>
          <w:sz w:val="16"/>
          <w:szCs w:val="16"/>
          <w:color w:val="auto"/>
        </w:rPr>
      </w:pPr>
    </w:p>
    <w:p>
      <w:pPr>
        <w:ind w:left="4" w:right="480" w:firstLine="1428"/>
        <w:spacing w:after="0" w:line="277" w:lineRule="auto"/>
        <w:tabs>
          <w:tab w:leader="none" w:pos="1791"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change, in any material respect, any financial accounting methods, principles, practices, policies or procedures used by it, except as required by GAAP or applicable Law;</w:t>
      </w:r>
    </w:p>
    <w:p>
      <w:pPr>
        <w:spacing w:after="0" w:line="62" w:lineRule="exact"/>
        <w:rPr>
          <w:rFonts w:ascii="Arial" w:cs="Arial" w:eastAsia="Arial" w:hAnsi="Arial"/>
          <w:sz w:val="18"/>
          <w:szCs w:val="18"/>
          <w:color w:val="auto"/>
        </w:rPr>
      </w:pPr>
    </w:p>
    <w:p>
      <w:pPr>
        <w:jc w:val="both"/>
        <w:ind w:left="4" w:right="160" w:firstLine="1428"/>
        <w:spacing w:after="0" w:line="286" w:lineRule="auto"/>
        <w:tabs>
          <w:tab w:leader="none" w:pos="1841"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adopt, change or request to change any Tax accounting method or period with respect to material Taxes (other than in the ordinary course of business); (B) make, change or revoke any material Tax election (other than in the ordinary course of business); (C) amend or refile any material Tax Return; (D) consent to the extension or waiver of the statutory period of limitations applicable to any material Taxes (other than pursuant to an automatic extension of the due date for filing a Tax Return); (E) settle or compromise any material Tax proceeding or liability;</w:t>
      </w:r>
    </w:p>
    <w:p>
      <w:pPr>
        <w:spacing w:after="0" w:line="1" w:lineRule="exact"/>
        <w:rPr>
          <w:rFonts w:ascii="Arial" w:cs="Arial" w:eastAsia="Arial" w:hAnsi="Arial"/>
          <w:sz w:val="16"/>
          <w:szCs w:val="16"/>
          <w:color w:val="auto"/>
        </w:rPr>
      </w:pPr>
    </w:p>
    <w:p>
      <w:pPr>
        <w:ind w:left="4" w:hanging="4"/>
        <w:spacing w:after="0" w:line="255" w:lineRule="auto"/>
        <w:tabs>
          <w:tab w:leader="none" w:pos="2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surrender any claim to a material Tax refund; (G) request any Tax ruling; or (H) prepare or file any U.S. federal income or other material Tax Return in a manner that is inconsistent with the treatments set forth on Section 5.1(y)(xiii) of the Company Disclosure Letter or materially inconsistent with past practice;</w:t>
      </w:r>
    </w:p>
    <w:p>
      <w:pPr>
        <w:spacing w:after="0" w:line="81" w:lineRule="exact"/>
        <w:rPr>
          <w:rFonts w:ascii="Arial" w:cs="Arial" w:eastAsia="Arial" w:hAnsi="Arial"/>
          <w:sz w:val="18"/>
          <w:szCs w:val="18"/>
          <w:color w:val="auto"/>
        </w:rPr>
      </w:pPr>
    </w:p>
    <w:p>
      <w:pPr>
        <w:ind w:left="4" w:right="100" w:firstLine="1428"/>
        <w:spacing w:after="0" w:line="257" w:lineRule="auto"/>
        <w:tabs>
          <w:tab w:leader="none" w:pos="1831"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except as required by applicable Law or required by a Plan in effect on the date hereof pursuant to its existing terms, (A) enter into any Plan or Contract providing for, or pay any, new change in control, retention, severance or termination pay, (B) grant any Company Stock Awards, (C) grant any increases in, or accelerate the vesting, payment or funding of, compensation or benefits payable to any employee, consultant, officer or director, (D) adopt, enter into, materially amend or terminate any material Plan or (E) change any actuarial or other assumptions used to calculate funding obligations with respect to any Plan;</w:t>
      </w:r>
    </w:p>
    <w:p>
      <w:pPr>
        <w:spacing w:after="0" w:line="79" w:lineRule="exact"/>
        <w:rPr>
          <w:rFonts w:ascii="Arial" w:cs="Arial" w:eastAsia="Arial" w:hAnsi="Arial"/>
          <w:sz w:val="18"/>
          <w:szCs w:val="18"/>
          <w:color w:val="auto"/>
        </w:rPr>
      </w:pPr>
    </w:p>
    <w:p>
      <w:pPr>
        <w:ind w:left="4" w:right="160" w:firstLine="1428"/>
        <w:spacing w:after="0" w:line="277" w:lineRule="auto"/>
        <w:tabs>
          <w:tab w:leader="none" w:pos="1781" w:val="left"/>
        </w:tabs>
        <w:numPr>
          <w:ilvl w:val="1"/>
          <w:numId w:val="71"/>
        </w:numPr>
        <w:rPr>
          <w:rFonts w:ascii="Arial" w:cs="Arial" w:eastAsia="Arial" w:hAnsi="Arial"/>
          <w:sz w:val="18"/>
          <w:szCs w:val="18"/>
          <w:color w:val="auto"/>
        </w:rPr>
      </w:pPr>
      <w:r>
        <w:rPr>
          <w:rFonts w:ascii="Arial" w:cs="Arial" w:eastAsia="Arial" w:hAnsi="Arial"/>
          <w:sz w:val="18"/>
          <w:szCs w:val="18"/>
          <w:color w:val="auto"/>
        </w:rPr>
        <w:t>hire or terminate any employee with an annual salary in excess of $400,000, other than a termination for cause (as determined consistent with past practice);</w:t>
      </w:r>
    </w:p>
    <w:p>
      <w:pPr>
        <w:spacing w:after="0" w:line="62" w:lineRule="exact"/>
        <w:rPr>
          <w:rFonts w:ascii="Arial" w:cs="Arial" w:eastAsia="Arial" w:hAnsi="Arial"/>
          <w:sz w:val="18"/>
          <w:szCs w:val="18"/>
          <w:color w:val="auto"/>
        </w:rPr>
      </w:pPr>
    </w:p>
    <w:p>
      <w:pPr>
        <w:ind w:left="1824" w:hanging="392"/>
        <w:spacing w:after="0"/>
        <w:tabs>
          <w:tab w:leader="none" w:pos="1824"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enter into any collective bargaining or similar labor Contract;</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2"/>
          <w:numId w:val="71"/>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004"/>
          </w:cols>
          <w:pgMar w:left="436" w:top="490" w:right="459" w:bottom="1440" w:gutter="0" w:footer="0" w:header="0"/>
        </w:sectPr>
      </w:pPr>
    </w:p>
    <w:bookmarkStart w:id="63" w:name="page64"/>
    <w:bookmarkEnd w:id="63"/>
    <w:p>
      <w:pPr>
        <w:jc w:val="both"/>
        <w:ind w:left="4" w:right="340" w:firstLine="1428"/>
        <w:spacing w:after="0" w:line="311" w:lineRule="auto"/>
        <w:tabs>
          <w:tab w:leader="none" w:pos="1881"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make or authorize any material capital expenditure or incur any obligations, Liabilities or indebtedness in respect thereof, except for (A) those contemplated by the Capital Expenditure Budget for the relevant fiscal year and (B) any unbudgeted capital expenditure, not to exceed, in each of the fiscal years ending December 31, 2023 and December 31, 2024, an aggregate amount for such fiscal year of $5,000,000;</w:t>
      </w:r>
    </w:p>
    <w:p>
      <w:pPr>
        <w:spacing w:after="0" w:line="40" w:lineRule="exact"/>
        <w:rPr>
          <w:rFonts w:ascii="Arial" w:cs="Arial" w:eastAsia="Arial" w:hAnsi="Arial"/>
          <w:sz w:val="16"/>
          <w:szCs w:val="16"/>
          <w:color w:val="auto"/>
        </w:rPr>
      </w:pPr>
    </w:p>
    <w:p>
      <w:pPr>
        <w:ind w:left="4" w:right="20" w:firstLine="1428"/>
        <w:spacing w:after="0" w:line="308" w:lineRule="auto"/>
        <w:tabs>
          <w:tab w:leader="none" w:pos="1931"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settle any suit, action, claim, proceeding or investigation other than as contemplated by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or a settlement solely for monetary damages (net of insurance proceeds received) not in excess of $2,500,000 individually or $5,000,000 in the aggregate;</w:t>
      </w:r>
    </w:p>
    <w:p>
      <w:pPr>
        <w:spacing w:after="0" w:line="38" w:lineRule="exact"/>
        <w:rPr>
          <w:rFonts w:ascii="Arial" w:cs="Arial" w:eastAsia="Arial" w:hAnsi="Arial"/>
          <w:sz w:val="17"/>
          <w:szCs w:val="17"/>
          <w:color w:val="auto"/>
        </w:rPr>
      </w:pPr>
    </w:p>
    <w:p>
      <w:pPr>
        <w:ind w:left="4" w:firstLine="1428"/>
        <w:spacing w:after="0" w:line="287" w:lineRule="auto"/>
        <w:tabs>
          <w:tab w:leader="none" w:pos="1831"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except in the ordinary course of business consistent with past practice or in connection with any transaction to the extent specifically permitted by any other subclause of this </w:t>
      </w:r>
      <w:r>
        <w:rPr>
          <w:rFonts w:ascii="Arial" w:cs="Arial" w:eastAsia="Arial" w:hAnsi="Arial"/>
          <w:sz w:val="16"/>
          <w:szCs w:val="16"/>
          <w:u w:val="single" w:color="auto"/>
          <w:color w:val="auto"/>
        </w:rPr>
        <w:t>Section 5.1</w:t>
      </w:r>
      <w:r>
        <w:rPr>
          <w:rFonts w:ascii="Arial" w:cs="Arial" w:eastAsia="Arial" w:hAnsi="Arial"/>
          <w:sz w:val="16"/>
          <w:szCs w:val="16"/>
          <w:color w:val="auto"/>
        </w:rPr>
        <w:t>, (A) enter into any Contract that would, if entered into prior to the date hereof, be a Material Contract, except for any statement of work issued under an existing Material Contract, in each case not in excess of $2,500,000 individually; or</w:t>
      </w:r>
    </w:p>
    <w:p>
      <w:pPr>
        <w:spacing w:after="0" w:line="2" w:lineRule="exact"/>
        <w:rPr>
          <w:rFonts w:ascii="Arial" w:cs="Arial" w:eastAsia="Arial" w:hAnsi="Arial"/>
          <w:sz w:val="16"/>
          <w:szCs w:val="16"/>
          <w:color w:val="auto"/>
        </w:rPr>
      </w:pPr>
    </w:p>
    <w:p>
      <w:pPr>
        <w:ind w:left="4" w:right="280" w:hanging="4"/>
        <w:spacing w:after="0" w:line="260" w:lineRule="auto"/>
        <w:tabs>
          <w:tab w:leader="none" w:pos="2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materially modify, materially amend or terminate (other than expirations in accordance with its terms) any Material Contract or waive, release or assign any material rights or material claims thereunder;</w:t>
      </w:r>
    </w:p>
    <w:p>
      <w:pPr>
        <w:spacing w:after="0" w:line="77" w:lineRule="exact"/>
        <w:rPr>
          <w:rFonts w:ascii="Arial" w:cs="Arial" w:eastAsia="Arial" w:hAnsi="Arial"/>
          <w:sz w:val="18"/>
          <w:szCs w:val="18"/>
          <w:color w:val="auto"/>
        </w:rPr>
      </w:pPr>
    </w:p>
    <w:p>
      <w:pPr>
        <w:ind w:left="1784" w:hanging="352"/>
        <w:spacing w:after="0"/>
        <w:tabs>
          <w:tab w:leader="none" w:pos="17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subject to any Lien (other than Permitted Liens) any material right or other material asset or property;</w:t>
      </w:r>
    </w:p>
    <w:p>
      <w:pPr>
        <w:spacing w:after="0" w:line="117" w:lineRule="exact"/>
        <w:rPr>
          <w:rFonts w:ascii="Arial" w:cs="Arial" w:eastAsia="Arial" w:hAnsi="Arial"/>
          <w:sz w:val="18"/>
          <w:szCs w:val="18"/>
          <w:color w:val="auto"/>
        </w:rPr>
      </w:pPr>
    </w:p>
    <w:p>
      <w:pPr>
        <w:ind w:left="4" w:right="260" w:firstLine="1428"/>
        <w:spacing w:after="0" w:line="277" w:lineRule="auto"/>
        <w:tabs>
          <w:tab w:leader="none" w:pos="1831" w:val="left"/>
        </w:tabs>
        <w:numPr>
          <w:ilvl w:val="1"/>
          <w:numId w:val="73"/>
        </w:numPr>
        <w:rPr>
          <w:rFonts w:ascii="Arial" w:cs="Arial" w:eastAsia="Arial" w:hAnsi="Arial"/>
          <w:sz w:val="18"/>
          <w:szCs w:val="18"/>
          <w:color w:val="auto"/>
        </w:rPr>
      </w:pPr>
      <w:r>
        <w:rPr>
          <w:rFonts w:ascii="Arial" w:cs="Arial" w:eastAsia="Arial" w:hAnsi="Arial"/>
          <w:sz w:val="18"/>
          <w:szCs w:val="18"/>
          <w:color w:val="auto"/>
        </w:rPr>
        <w:t>enter into any Contract that by its terms would purport to bind Parent or its Affiliates (other than, following the Closing, the Company or any of its Subsidiaries);</w:t>
      </w:r>
    </w:p>
    <w:p>
      <w:pPr>
        <w:spacing w:after="0" w:line="62" w:lineRule="exact"/>
        <w:rPr>
          <w:rFonts w:ascii="Arial" w:cs="Arial" w:eastAsia="Arial" w:hAnsi="Arial"/>
          <w:sz w:val="18"/>
          <w:szCs w:val="18"/>
          <w:color w:val="auto"/>
        </w:rPr>
      </w:pPr>
    </w:p>
    <w:p>
      <w:pPr>
        <w:ind w:left="1884" w:hanging="452"/>
        <w:spacing w:after="0"/>
        <w:tabs>
          <w:tab w:leader="none" w:pos="18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exercise options under any collaboration agreements relating to “co-funding”, “co-commercialization” or similar</w:t>
      </w:r>
    </w:p>
    <w:p>
      <w:pPr>
        <w:spacing w:after="0" w:line="23" w:lineRule="exact"/>
        <w:rPr>
          <w:sz w:val="20"/>
          <w:szCs w:val="20"/>
          <w:color w:val="auto"/>
        </w:rPr>
      </w:pPr>
    </w:p>
    <w:p>
      <w:pPr>
        <w:ind w:left="4" w:right="440"/>
        <w:spacing w:after="0" w:line="260" w:lineRule="auto"/>
        <w:rPr>
          <w:sz w:val="20"/>
          <w:szCs w:val="20"/>
          <w:color w:val="auto"/>
        </w:rPr>
      </w:pPr>
      <w:r>
        <w:rPr>
          <w:rFonts w:ascii="Arial" w:cs="Arial" w:eastAsia="Arial" w:hAnsi="Arial"/>
          <w:sz w:val="18"/>
          <w:szCs w:val="18"/>
          <w:color w:val="auto"/>
        </w:rPr>
        <w:t>cost-and-profit participation rights (whether an exercise to “opt in” or “opt out” of such rights with respect to any Company Product to which such collaboration agreement exists; or</w:t>
      </w:r>
    </w:p>
    <w:p>
      <w:pPr>
        <w:spacing w:after="0" w:line="7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(xxiii) authorize, offer, agree or commit, in writing or otherwise, to take any of the foregoing actions.</w:t>
      </w:r>
    </w:p>
    <w:p>
      <w:pPr>
        <w:spacing w:after="0" w:line="117"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In furtherance and not in limitation of any other provision of this Agreement, to the extent permitted by applicable Law, the Company shall keep Parent informed on a reasonably current basis of any material developments (including the occurrence of any serious adverse event and any material governmental inquiries or investigations), discussions or negotiations relating to the Company Products between or with the FDA or the EMA.</w:t>
      </w:r>
    </w:p>
    <w:p>
      <w:pPr>
        <w:spacing w:after="0" w:line="41" w:lineRule="exact"/>
        <w:rPr>
          <w:sz w:val="20"/>
          <w:szCs w:val="20"/>
          <w:color w:val="auto"/>
        </w:rPr>
      </w:pPr>
    </w:p>
    <w:p>
      <w:pPr>
        <w:jc w:val="both"/>
        <w:ind w:left="4" w:right="200"/>
        <w:spacing w:after="0" w:line="259" w:lineRule="auto"/>
        <w:rPr>
          <w:sz w:val="20"/>
          <w:szCs w:val="20"/>
          <w:color w:val="auto"/>
        </w:rPr>
      </w:pPr>
      <w:r>
        <w:rPr>
          <w:rFonts w:ascii="Arial" w:cs="Arial" w:eastAsia="Arial" w:hAnsi="Arial"/>
          <w:sz w:val="18"/>
          <w:szCs w:val="18"/>
          <w:color w:val="auto"/>
        </w:rPr>
        <w:t>Notwithstanding the foregoing, nothing in this Agreement is intended to give Parent or Merger Sub, directly or indirectly, the right to control or direct the business or operations of the Company or any of its Subsidiaries at any time prior to the Effective Time. Prior to the Effective Time, the Company and its Subsidiaries shall exercise, consistent with the terms and conditions of this Agreement, complete control and supervision over their respective businesses and operations.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0984"/>
          </w:cols>
          <w:pgMar w:left="436" w:top="490" w:right="479" w:bottom="1440" w:gutter="0" w:footer="0" w:header="0"/>
        </w:sectPr>
      </w:pPr>
    </w:p>
    <w:bookmarkStart w:id="64" w:name="page65"/>
    <w:bookmarkEnd w:id="6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5.2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83" w:lineRule="auto"/>
        <w:tabs>
          <w:tab w:leader="none" w:pos="12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at all times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shall not, and shall cause its directors and officers not to, nor shall it authorize or knowingly permit any of its other Representatives to, and shall direct and use its reasonable best efforts to cause such other Representatives not to, directly or indirectly, (i) solicit, initiate, knowingly encourage or knowingly facilitate, any inquiry, proposal or offer that constitutes or would reasonably be expected to lead to an Acquisition Proposal, (ii) furnish to any Person (other than Parent, Merger Sub or any designees or Representatives of Parent or Merger Sub), or any Representative thereof, any information, or afford to any Person (other than Parent, Merger Sub or any designees or Representatives of Parent or Merger Sub) access to the business, properties, assets, books, records or other information, or to any personnel, of the Company or any of its Subsidiaries, in any such case in connection with, or with the intent to facilitate, the making, submission or announcement of any inquiry, proposal or offer that constitutes or would reasonably be expected to lead to an Acquisition Proposal,</w:t>
      </w:r>
    </w:p>
    <w:p>
      <w:pPr>
        <w:spacing w:after="0" w:line="5" w:lineRule="exact"/>
        <w:rPr>
          <w:rFonts w:ascii="Arial" w:cs="Arial" w:eastAsia="Arial" w:hAnsi="Arial"/>
          <w:sz w:val="16"/>
          <w:szCs w:val="16"/>
          <w:color w:val="auto"/>
        </w:rPr>
      </w:pPr>
    </w:p>
    <w:p>
      <w:pPr>
        <w:ind w:left="4" w:right="20" w:hanging="4"/>
        <w:spacing w:after="0" w:line="281" w:lineRule="auto"/>
        <w:tabs>
          <w:tab w:leader="none" w:pos="319"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participate or engage in any discussions or negotiations with any Person, or any Representative thereof, with respect to any inquiry, proposal or offer that constitutes, or would reasonably be expected to lead to, an Acquisition Proposal (except to notify any Person of the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(iv) enter into any merger agreement, purchase agreement, letter of intent or similar agreement with respect to an Acquisition Proposal (other than an Acceptable Confidentiality Agreement entered into pursuant to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(v) approve any transaction under, or any third party becoming an “interested stockholder” under, Section 203 of the DGCL, or (vi) approve, authorize, agree or publicly announce any intention to do any of the foregoing. Subject to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shall, and shall cause its directors and officers to, and shall direct and use its reasonable best efforts to cause its other Representatives to, cease and cause to be terminated, and shall not authorize or knowingly permit any of its other Representatives to continue, any and all discussions or negotiations with any Person (other than Parent, Merger Sub and their Representatives), or any Representative thereof, conducted prior to the date of this Agreement with respect to any inquiry, proposal or offer that constitutes or would reasonably be expected to lead to any Acquisition Proposal. Within twenty four (24) hours after the date of this Agreement, the Company will terminate access by any Person (other than Parent, Merger Sub and their Representatives) to any physical or electronic data room relating to a potential Acquisition Proposal (or prior discussions in respect of a potential Acquisition Proposal) and request that each Person (other than Parent, Merger Sub and their Representatives) that has executed a confidentiality agreement (other than the Confidentiality Agreement) during the twelve</w:t>
      </w:r>
    </w:p>
    <w:p>
      <w:pPr>
        <w:spacing w:after="0" w:line="8"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color w:val="auto"/>
        </w:rPr>
        <w:t>(12) months prior to the date hereof relating to a potential Acquisition Proposal promptly return to the Company or destroy pursuant to the terms of such confidentiality agreement all documents and materials containing confidential information of the Company that has been furnished by the Company or any of its Representatives to such Person.</w:t>
      </w:r>
    </w:p>
    <w:p>
      <w:pPr>
        <w:spacing w:after="0" w:line="81" w:lineRule="exact"/>
        <w:rPr>
          <w:rFonts w:ascii="Arial" w:cs="Arial" w:eastAsia="Arial" w:hAnsi="Arial"/>
          <w:sz w:val="16"/>
          <w:szCs w:val="16"/>
          <w:color w:val="auto"/>
        </w:rPr>
      </w:pPr>
    </w:p>
    <w:p>
      <w:pPr>
        <w:ind w:left="4" w:firstLine="987"/>
        <w:spacing w:after="0" w:line="255" w:lineRule="auto"/>
        <w:tabs>
          <w:tab w:leader="none" w:pos="125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From the date of this Agreement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within twenty four (24) hours following receipt of an Acquisition Proposal, or request for information or inquiry, proposal or offer that would reasonably be expected to lead to an Acquisition Proposal, the Company shall (i) provide Parent with written notice of such Acquisition Proposal, request for information, inquiry, proposal or offer, and (ii) communicate to Parent the material terms and conditions of such Acquisition Proposal, request for information, inquiry, proposal or offer (including any subsequent amendment thereto) and the identity of the Person making such Acquisition Proposal, request for</w:t>
      </w:r>
    </w:p>
    <w:p>
      <w:pPr>
        <w:spacing w:after="0" w:line="124" w:lineRule="exact"/>
        <w:rPr>
          <w:rFonts w:ascii="Arial" w:cs="Arial" w:eastAsia="Arial" w:hAnsi="Arial"/>
          <w:sz w:val="18"/>
          <w:szCs w:val="18"/>
          <w:color w:val="auto"/>
        </w:rPr>
      </w:pPr>
    </w:p>
    <w:p>
      <w:pPr>
        <w:ind w:left="5424" w:hanging="111"/>
        <w:spacing w:after="0"/>
        <w:tabs>
          <w:tab w:leader="none" w:pos="5424" w:val="left"/>
        </w:tabs>
        <w:numPr>
          <w:ilvl w:val="2"/>
          <w:numId w:val="75"/>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0984"/>
          </w:cols>
          <w:pgMar w:left="436" w:top="490" w:right="479" w:bottom="1440" w:gutter="0" w:footer="0" w:header="0"/>
        </w:sectPr>
      </w:pPr>
    </w:p>
    <w:bookmarkStart w:id="65" w:name="page66"/>
    <w:bookmarkEnd w:id="6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information, inquiry, proposal or offer. The Company shall keep Parent reasonably informed on a reasonably prompt basis with respect to the status of any discussions or negotiations regarding, and of any changes to the material terms and conditions of, any such Acquisition Proposal, request for information or inquiry, proposal or offer, and shall, within twenty four (24) hours of receipt or delivery thereof, provide Parent with unredacted copies of all writings or media containing any material terms or conditions of any such proposals and any proposed transaction agreements (including all schedules, exhibits and attachments thereto) relating to any such Acquisition Proposal, request for information, inquiry, proposal or offer and any financing commitments relating thereto. For the avoidance of doubt, all information provided to Parent pursuant to this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will be subject to the terms of the Confidentiality Agreement.</w:t>
      </w:r>
    </w:p>
    <w:p>
      <w:pPr>
        <w:spacing w:after="0" w:line="87" w:lineRule="exact"/>
        <w:rPr>
          <w:sz w:val="20"/>
          <w:szCs w:val="20"/>
          <w:color w:val="auto"/>
        </w:rPr>
      </w:pPr>
    </w:p>
    <w:p>
      <w:pPr>
        <w:ind w:firstLine="987"/>
        <w:spacing w:after="0" w:line="284" w:lineRule="auto"/>
        <w:tabs>
          <w:tab w:leader="none" w:pos="1236"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elsewhere in this Agreement, if at any time prior to receipt of the Stockholder Approval, the Company or any of its Representatives has received a bona fide, written Acquisition Proposal from any Person or group of Persons that did not result from a breach in any material respect of this </w:t>
      </w:r>
      <w:r>
        <w:rPr>
          <w:rFonts w:ascii="Arial" w:cs="Arial" w:eastAsia="Arial" w:hAnsi="Arial"/>
          <w:sz w:val="16"/>
          <w:szCs w:val="16"/>
          <w:u w:val="single" w:color="auto"/>
          <w:color w:val="auto"/>
        </w:rPr>
        <w:t>Section 5.2</w:t>
      </w:r>
      <w:r>
        <w:rPr>
          <w:rFonts w:ascii="Arial" w:cs="Arial" w:eastAsia="Arial" w:hAnsi="Arial"/>
          <w:sz w:val="16"/>
          <w:szCs w:val="16"/>
          <w:color w:val="auto"/>
        </w:rPr>
        <w:t>, then if the Company Board determines in good faith, after consultation with its financial advisor(s) and outside legal counsel, that such Acquisition Proposal constitutes or is reasonably likely to lead to a Superior Proposal and that the failure to take such action described in clause (i), (ii) or (iii) below would be reasonably likely to be inconsistent with its fiduciary duties under applicable Law, then the Company and any of its Representatives may (i) enter into an Acceptable Confidentiality Agreement with such Person or group of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substantially concurrently provide to Parent a copy of such Acceptable Confidentiality Agreement), (ii) engage in discussions to clarify the terms and conditions of, or furnish information with respect to the Company to, the Person or group of Persons making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Company shall substantially concurrently provide or make available to Parent any information concerning the Company that is provided to such Person or group of Persons and which was not previously provided or made available to Parent and (y) the Company shall have entered into an Acceptable Confidentiality Agreement with such Person or group of Persons) and (iii) participate and engage in discussions or negotiations with the Person or group of Persons making such Acquisition Proposal regarding such Acquisition Proposal. Within twenty four (24) hours of such determination of the Company Board, and in any event, prior to the Company first taking any of the actions described in clauses (i), (ii) or (iii) of the immediately preceding sentence with respect to an Acquisition Proposal, the Company shall provide written notice to Parent of such determination of the Company Board made pursuant to the immediately preceding sentence. The Company shall not modify, amend or terminate, or waive, release or assign, any provisions of any confidentiality or explicit or implicit standstill obligations (or any similar agreement) to which the Company is a party relating to any possible Acquisition Proposal and shall enforce the provisions of any such obligations or agreement. Notwithstanding anything to the contrary set forth in this Agreement, the Company shall be permitted to terminate, amend or otherwise modify, waive or fail to enforce, on a confidential and non-public basis, any provision of any confidentiality, “standstill” or similar agreement solely to the extent that such provision prohibits or purports to prohibit a confidential proposal being made to the Company Board if the Company Board determines in good faith, after consultation with its outside legal counsel, that failure to take such action would be reasonably likely to be inconsistent with the directors’ fiduciary duties under applicable Law. The Company shall provide written notice to Parent of any such release or waiver promptly following, but in any event within twenty four (24) hours of, such release or waiver.</w:t>
      </w:r>
    </w:p>
    <w:p>
      <w:pPr>
        <w:spacing w:after="0" w:line="326" w:lineRule="exact"/>
        <w:rPr>
          <w:rFonts w:ascii="Arial" w:cs="Arial" w:eastAsia="Arial" w:hAnsi="Arial"/>
          <w:sz w:val="16"/>
          <w:szCs w:val="16"/>
          <w:color w:val="auto"/>
        </w:rPr>
      </w:pPr>
    </w:p>
    <w:p>
      <w:pPr>
        <w:ind w:left="5420" w:hanging="111"/>
        <w:spacing w:after="0"/>
        <w:tabs>
          <w:tab w:leader="none" w:pos="5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000"/>
          </w:cols>
          <w:pgMar w:left="440" w:top="490" w:right="459" w:bottom="1440" w:gutter="0" w:footer="0" w:header="0"/>
        </w:sectPr>
      </w:pPr>
    </w:p>
    <w:bookmarkStart w:id="66" w:name="page67"/>
    <w:bookmarkEnd w:id="6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5.3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69" w:lineRule="auto"/>
        <w:tabs>
          <w:tab w:leader="none" w:pos="12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5.3(b)</w:t>
      </w:r>
      <w:r>
        <w:rPr>
          <w:rFonts w:ascii="Arial" w:cs="Arial" w:eastAsia="Arial" w:hAnsi="Arial"/>
          <w:sz w:val="17"/>
          <w:szCs w:val="17"/>
          <w:color w:val="auto"/>
        </w:rPr>
        <w:t>, neither the Company Board nor any committee thereof shall (i) withdraw, amend, modify or qualify in a manner adverse to Parent or Merger Sub the Company Board Recommendation, (ii) publicly approve or recommend an Acquisition Proposal, (iii) fail to include the Company Board Recommendation in the Proxy Statement when disseminated to the Company Stockholders, (iv) if any Acquisition Proposal is structured as a tender offer or exchange offer for the outstanding Shares and is commenced pursuant to Rule 14d-2 under the Exchange Act (other than by Parent or an Affiliate of Parent), fail to recommend, within ten (10) Business Days after such commencement, against acceptance by the Company Stockholders of such tender offer or exchange offer, or (v) publicly propose to do any of the foregoing (each of clauses (i), (ii), (iii), (iv) and (v), a “</w:t>
      </w:r>
      <w:r>
        <w:rPr>
          <w:rFonts w:ascii="Arial" w:cs="Arial" w:eastAsia="Arial" w:hAnsi="Arial"/>
          <w:sz w:val="17"/>
          <w:szCs w:val="17"/>
          <w:u w:val="single" w:color="auto"/>
          <w:color w:val="auto"/>
        </w:rPr>
        <w:t>Company Board Recommendation Change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anything herein to the contrary, a “stop, look and listen” communication by the Company Board or any committee thereof to the Company Stockholders pursuant to Rule 14d-9(f) of the Exchange Act, any action contemplated by </w:t>
      </w:r>
      <w:r>
        <w:rPr>
          <w:rFonts w:ascii="Arial" w:cs="Arial" w:eastAsia="Arial" w:hAnsi="Arial"/>
          <w:sz w:val="17"/>
          <w:szCs w:val="17"/>
          <w:u w:val="single" w:color="auto"/>
          <w:color w:val="auto"/>
        </w:rPr>
        <w:t>Section 5.3(c)(i)</w:t>
      </w:r>
      <w:r>
        <w:rPr>
          <w:rFonts w:ascii="Arial" w:cs="Arial" w:eastAsia="Arial" w:hAnsi="Arial"/>
          <w:sz w:val="17"/>
          <w:szCs w:val="17"/>
          <w:color w:val="auto"/>
        </w:rPr>
        <w:t xml:space="preserve"> or any substantially similar communication to either of the foregoing, shall not be deemed to be a Company Board Recommendation Change or otherwise be prohibited under the terms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 w:right="60" w:firstLine="987"/>
        <w:spacing w:after="0" w:line="283" w:lineRule="auto"/>
        <w:tabs>
          <w:tab w:leader="none" w:pos="1250"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Notwithstanding the foregoing or anything to the contrary set forth in this Agreement, at any time prior to receipt of the Stockholder Approval, the Company Board may (i) in response to (x) the receipt of a bona fide, written Acquisition Proposal received after the date hereof that did not result from a breach in any material respect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(y) the occurrence of an Intervening Event, effect a Company Board Recommendation Change, or (ii) in response to a bona fide, written Acquisition Proposal received after the date hereof that did not result from a breach in any material respect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enter into a definitive agreement implementing such applicable Acquisition Proposal and terminate this Agreement pursuant to </w:t>
      </w:r>
      <w:r>
        <w:rPr>
          <w:rFonts w:ascii="Arial" w:cs="Arial" w:eastAsia="Arial" w:hAnsi="Arial"/>
          <w:sz w:val="16"/>
          <w:szCs w:val="16"/>
          <w:u w:val="single" w:color="auto"/>
          <w:color w:val="auto"/>
        </w:rPr>
        <w:t>Section 8.1(c)(ii)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Company Board (determines in good faith (after consultation with its outside legal counsel) that the failure to take such action would be reasonably likely to be inconsistent with its fiduciary duties under applicable Law, (B) in the case of receipt of an Acquisition Proposal, the Company Board determines in good faith (after consultation with its financial advisor(s) and outside legal counsel) that such Acquisition Proposal constitutes a Superior Proposal or, in the case of an Intervening Event, that an Intervening Event has occurred, (C) the Company provides written notice to Parent at least three (3) Business Days prior to effecting a Company Board Recommendation Change or terminating this Agreement pursuant to </w:t>
      </w:r>
      <w:r>
        <w:rPr>
          <w:rFonts w:ascii="Arial" w:cs="Arial" w:eastAsia="Arial" w:hAnsi="Arial"/>
          <w:sz w:val="16"/>
          <w:szCs w:val="16"/>
          <w:u w:val="single" w:color="auto"/>
          <w:color w:val="auto"/>
        </w:rPr>
        <w:t>Section 8.1(c)(ii)</w:t>
      </w:r>
      <w:r>
        <w:rPr>
          <w:rFonts w:ascii="Arial" w:cs="Arial" w:eastAsia="Arial" w:hAnsi="Arial"/>
          <w:sz w:val="16"/>
          <w:szCs w:val="16"/>
          <w:color w:val="auto"/>
        </w:rPr>
        <w:t xml:space="preserve"> of its intent to take such action, specifying the reasons therefor (a “</w:t>
      </w:r>
      <w:r>
        <w:rPr>
          <w:rFonts w:ascii="Arial" w:cs="Arial" w:eastAsia="Arial" w:hAnsi="Arial"/>
          <w:sz w:val="16"/>
          <w:szCs w:val="16"/>
          <w:u w:val="single" w:color="auto"/>
          <w:color w:val="auto"/>
        </w:rPr>
        <w:t>Change of Recommendation Notice</w:t>
      </w:r>
      <w:r>
        <w:rPr>
          <w:rFonts w:ascii="Arial" w:cs="Arial" w:eastAsia="Arial" w:hAnsi="Arial"/>
          <w:sz w:val="16"/>
          <w:szCs w:val="16"/>
          <w:color w:val="auto"/>
        </w:rPr>
        <w:t xml:space="preserve">”), (D) prior to effecting such Company Board Recommendation Change or terminating this Agreement pursuant to </w:t>
      </w:r>
      <w:r>
        <w:rPr>
          <w:rFonts w:ascii="Arial" w:cs="Arial" w:eastAsia="Arial" w:hAnsi="Arial"/>
          <w:sz w:val="16"/>
          <w:szCs w:val="16"/>
          <w:u w:val="single" w:color="auto"/>
          <w:color w:val="auto"/>
        </w:rPr>
        <w:t>Section 8.1(c)(ii)</w:t>
      </w:r>
      <w:r>
        <w:rPr>
          <w:rFonts w:ascii="Arial" w:cs="Arial" w:eastAsia="Arial" w:hAnsi="Arial"/>
          <w:sz w:val="16"/>
          <w:szCs w:val="16"/>
          <w:color w:val="auto"/>
        </w:rPr>
        <w:t>, the Company shall, and shall cause its Representatives to, be reasonably available to negotiate with Parent in good faith (to the extent Parent desires to negotiate) during such three</w:t>
      </w:r>
    </w:p>
    <w:p>
      <w:pPr>
        <w:spacing w:after="0" w:line="1" w:lineRule="exact"/>
        <w:rPr>
          <w:rFonts w:ascii="Arial" w:cs="Arial" w:eastAsia="Arial" w:hAnsi="Arial"/>
          <w:sz w:val="16"/>
          <w:szCs w:val="16"/>
          <w:color w:val="auto"/>
        </w:rPr>
      </w:pPr>
    </w:p>
    <w:p>
      <w:pPr>
        <w:ind w:left="4" w:right="160" w:hanging="4"/>
        <w:spacing w:after="0" w:line="253" w:lineRule="auto"/>
        <w:tabs>
          <w:tab w:leader="none" w:pos="2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Business Day period to make such adjustments in the terms and conditions of this Agreement as would obviate the basis for a Company Board Recommendation Change or the termination of this Agreement pursuant to </w:t>
      </w:r>
      <w:r>
        <w:rPr>
          <w:rFonts w:ascii="Arial" w:cs="Arial" w:eastAsia="Arial" w:hAnsi="Arial"/>
          <w:sz w:val="18"/>
          <w:szCs w:val="18"/>
          <w:u w:val="single" w:color="auto"/>
          <w:color w:val="auto"/>
        </w:rPr>
        <w:t>Section 8.1(c)(ii)</w:t>
      </w:r>
      <w:r>
        <w:rPr>
          <w:rFonts w:ascii="Arial" w:cs="Arial" w:eastAsia="Arial" w:hAnsi="Arial"/>
          <w:sz w:val="18"/>
          <w:szCs w:val="18"/>
          <w:color w:val="auto"/>
        </w:rPr>
        <w:t>, and (E) no earlier than the end of such three (3) Business Day period, the Company Board determines in good faith (after consultation with its financial advisor(s) and outside legal counsel), after considering any</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2"/>
          <w:numId w:val="78"/>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004"/>
          </w:cols>
          <w:pgMar w:left="436" w:top="490" w:right="459" w:bottom="1440" w:gutter="0" w:footer="0" w:header="0"/>
        </w:sectPr>
      </w:pPr>
    </w:p>
    <w:bookmarkStart w:id="67" w:name="page68"/>
    <w:bookmarkEnd w:id="67"/>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amendments to the terms and conditions of this Agreement proposed by Parent in a binding written offer irrevocably made by Parent, that the failure to take such action would be reasonably likely to be inconsistent with its fiduciary duties under applicable Law (and, in the case of receipt of such Acquisition Proposal, that such Acquisition Proposal continues to constitute a Superior Proposal). Following delivery of a Change of Recommendation Notice in the case of (x) the receipt of a Superior Proposal, in the event of any change to the financial terms (including any change to the amount or form of consideration payable) or other revision to the terms or conditions of such Acquisition Proposal or (y) the occurrence of an Intervening Event, in the event of any change with respect to such Intervening Event, the Company shall provide a new Change of Recommendation Notice to Parent, and any Company Board Recommendation Change or termination of this Agreement pursuant to </w:t>
      </w:r>
      <w:r>
        <w:rPr>
          <w:rFonts w:ascii="Arial" w:cs="Arial" w:eastAsia="Arial" w:hAnsi="Arial"/>
          <w:sz w:val="18"/>
          <w:szCs w:val="18"/>
          <w:u w:val="single" w:color="auto"/>
          <w:color w:val="auto"/>
        </w:rPr>
        <w:t>Section 8.1(c)(ii)</w:t>
      </w:r>
      <w:r>
        <w:rPr>
          <w:rFonts w:ascii="Arial" w:cs="Arial" w:eastAsia="Arial" w:hAnsi="Arial"/>
          <w:sz w:val="18"/>
          <w:szCs w:val="18"/>
          <w:color w:val="auto"/>
        </w:rPr>
        <w:t xml:space="preserve"> following delivery of such new Change of Recommendation Notice shall again be subject to clause (C) and clause (D) of the immediately preceding sentence for a period of two (2) Business Days.</w:t>
      </w:r>
    </w:p>
    <w:p>
      <w:pPr>
        <w:spacing w:after="0" w:line="88" w:lineRule="exact"/>
        <w:rPr>
          <w:sz w:val="20"/>
          <w:szCs w:val="20"/>
          <w:color w:val="auto"/>
        </w:rPr>
      </w:pPr>
    </w:p>
    <w:p>
      <w:pPr>
        <w:ind w:left="1244" w:hanging="253"/>
        <w:spacing w:after="0"/>
        <w:tabs>
          <w:tab w:leader="none" w:pos="1244"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nothing in this Agreement shall prohibit the Company or the Company Board from</w:t>
      </w:r>
    </w:p>
    <w:p>
      <w:pPr>
        <w:spacing w:after="0" w:line="46" w:lineRule="exact"/>
        <w:rPr>
          <w:rFonts w:ascii="Arial" w:cs="Arial" w:eastAsia="Arial" w:hAnsi="Arial"/>
          <w:sz w:val="16"/>
          <w:szCs w:val="16"/>
          <w:color w:val="auto"/>
        </w:rPr>
      </w:pPr>
    </w:p>
    <w:p>
      <w:pPr>
        <w:ind w:left="4" w:right="380" w:hanging="4"/>
        <w:spacing w:after="0" w:line="252" w:lineRule="auto"/>
        <w:tabs>
          <w:tab w:leader="none" w:pos="219"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taking and disclosing to the Company Stockholders a position contemplated by Rule 14e-2(a) under the Exchange Act or complying with the provisions of Rule 14d-9 promulgated under the Exchange Act, and (ii) making any disclosure to the Company Stockholders if the Company Board determines in good faith (after consultation with its outside legal counsel) that the failure to make such disclosure would be reasonably likely to be inconsistent with its fiduciary duties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ADDITIONAL COVENANTS</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Preparation of the Proxy Statement; Stockholders Meeting.</w:t>
      </w:r>
    </w:p>
    <w:p>
      <w:pPr>
        <w:spacing w:after="0" w:line="117" w:lineRule="exact"/>
        <w:rPr>
          <w:sz w:val="20"/>
          <w:szCs w:val="20"/>
          <w:color w:val="auto"/>
        </w:rPr>
      </w:pPr>
    </w:p>
    <w:p>
      <w:pPr>
        <w:ind w:left="4" w:right="100" w:firstLine="987"/>
        <w:spacing w:after="0" w:line="287" w:lineRule="auto"/>
        <w:tabs>
          <w:tab w:leader="none" w:pos="123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promptly as practicable after the date hereof (but in no event more than ten (10) Business Days thereafter), the Company shall prepare and file with the SEC the preliminary proxy statement (as amended or supplemented,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Each of the Company and Parent shall furnish all information concerning such Person to the other as may be reasonably requested in connection with the preparation, filing and distribution of the Proxy Statement. The Company shall promptly notify Parent upon (and in any case no later than 24 hours after) the receipt of any comments from the SEC or its staff or any request from the SEC or its staff for amendments or supplements to the Proxy Statement and shall provide Parent with copies of all correspondence between it and its Representatives, on the one hand, and the SEC and its staff, on the other hand. Each of the Company and Parent shall use reasonable best efforts to respond as promptly as practicable to any comments of the SEC with respect to the Proxy Statement. Notwithstanding the foregoing, prior to filing or mailing the Proxy Statement (or any amendment or supplement thereto) or responding to any comments of the SEC with respect thereto, the Company (i) shall provide Parent an opportunity to review and comment on such document or response, (ii) shall consider in good faith all such comments reasonably proposed by Parent and (iii) shall not file or mail such document, or respond to the SEC, prior to receiving the prior written approval of Parent, which approval shall not be unreasonably withheld, conditioned or delayed. If,</w:t>
      </w:r>
    </w:p>
    <w:p>
      <w:pPr>
        <w:spacing w:after="0" w:line="104" w:lineRule="exact"/>
        <w:rPr>
          <w:rFonts w:ascii="Arial" w:cs="Arial" w:eastAsia="Arial" w:hAnsi="Arial"/>
          <w:sz w:val="16"/>
          <w:szCs w:val="16"/>
          <w:color w:val="auto"/>
        </w:rPr>
      </w:pPr>
    </w:p>
    <w:p>
      <w:pPr>
        <w:ind w:left="5424" w:hanging="111"/>
        <w:spacing w:after="0"/>
        <w:tabs>
          <w:tab w:leader="none" w:pos="5424" w:val="left"/>
        </w:tabs>
        <w:numPr>
          <w:ilvl w:val="1"/>
          <w:numId w:val="81"/>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004"/>
          </w:cols>
          <w:pgMar w:left="436" w:top="490" w:right="459" w:bottom="1440" w:gutter="0" w:footer="0" w:header="0"/>
        </w:sectPr>
      </w:pPr>
    </w:p>
    <w:bookmarkStart w:id="68" w:name="page69"/>
    <w:bookmarkEnd w:id="68"/>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at any time prior to the Stockholders Meeting, any information relating to the Company, Parent or any of their respective Affiliates, officers or directors should be discovered by the Company or Parent which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parties hereto, and an appropriate amendment or supplement describing such information shall be filed with the SEC and, to the extent required by applicable Law, disseminated to the Company Stockholders. Except in connection with a Company Board Recommendation Change expressly permitted by </w:t>
      </w:r>
      <w:r>
        <w:rPr>
          <w:rFonts w:ascii="Arial" w:cs="Arial" w:eastAsia="Arial" w:hAnsi="Arial"/>
          <w:sz w:val="16"/>
          <w:szCs w:val="16"/>
          <w:u w:val="single" w:color="auto"/>
          <w:color w:val="auto"/>
        </w:rPr>
        <w:t>Section 5.3(b)</w:t>
      </w:r>
      <w:r>
        <w:rPr>
          <w:rFonts w:ascii="Arial" w:cs="Arial" w:eastAsia="Arial" w:hAnsi="Arial"/>
          <w:sz w:val="16"/>
          <w:szCs w:val="16"/>
          <w:color w:val="auto"/>
        </w:rPr>
        <w:t>, no amendment or supplement to the Proxy Statement shall be made by the Company without the prior written approval of Parent, which approval shall not be unreasonably withheld, conditioned or delayed.</w:t>
      </w:r>
    </w:p>
    <w:p>
      <w:pPr>
        <w:spacing w:after="0" w:line="57" w:lineRule="exact"/>
        <w:rPr>
          <w:sz w:val="20"/>
          <w:szCs w:val="20"/>
          <w:color w:val="auto"/>
        </w:rPr>
      </w:pPr>
    </w:p>
    <w:p>
      <w:pPr>
        <w:ind w:firstLine="987"/>
        <w:spacing w:after="0" w:line="269" w:lineRule="auto"/>
        <w:tabs>
          <w:tab w:leader="none" w:pos="124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 agrees that the Proxy Statement shall comply as to form in all material respects with the requirements of the Exchange Act and that none of the information included or incorporated by reference in the Proxy Statement shall, at the date the Proxy Statement is filed with the SEC or mailed to the Company Stockholders or at the time of the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except that no covenant is made by the Company with respect to statements made in the Proxy Statement based on information supplied in writing by or on behalf of Parent specifically for inclusion or incorporation for reference therein. Parent agrees that no information supplied in writing by or on behalf of Parent specifically for inclusion or incorporation by reference in the Proxy Statement shall, at the date the Proxy Statement is filed with the SEC or mailed to the Company Stockholders or at the time of the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w:t>
      </w:r>
    </w:p>
    <w:p>
      <w:pPr>
        <w:spacing w:after="0" w:line="73" w:lineRule="exact"/>
        <w:rPr>
          <w:rFonts w:ascii="Arial" w:cs="Arial" w:eastAsia="Arial" w:hAnsi="Arial"/>
          <w:sz w:val="17"/>
          <w:szCs w:val="17"/>
          <w:color w:val="auto"/>
        </w:rPr>
      </w:pPr>
    </w:p>
    <w:p>
      <w:pPr>
        <w:ind w:right="40" w:firstLine="987"/>
        <w:spacing w:after="0" w:line="290" w:lineRule="auto"/>
        <w:tabs>
          <w:tab w:leader="none" w:pos="12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later than the second (2nd) Business Day following the date of this Agreement (and thereafter, upon the reasonable request of Parent), the Company shall conduct a “broker search” in accordance with Rule 14a-13 of the Exchange Act. The Company shall (i) as promptly as practicable after the date hereof, establish a record date for, duly call, give notice of, convene and hold a meeting of the Company Stockholders (the “</w:t>
      </w:r>
      <w:r>
        <w:rPr>
          <w:rFonts w:ascii="Arial" w:cs="Arial" w:eastAsia="Arial" w:hAnsi="Arial"/>
          <w:sz w:val="16"/>
          <w:szCs w:val="16"/>
          <w:u w:val="single" w:color="auto"/>
          <w:color w:val="auto"/>
        </w:rPr>
        <w:t>Stockholders Meeting</w:t>
      </w:r>
      <w:r>
        <w:rPr>
          <w:rFonts w:ascii="Arial" w:cs="Arial" w:eastAsia="Arial" w:hAnsi="Arial"/>
          <w:sz w:val="16"/>
          <w:szCs w:val="16"/>
          <w:color w:val="auto"/>
        </w:rPr>
        <w:t>”) for the purpose of obtaining the Stockholder Approval and (ii) commence mailing the Proxy Statement to the Company Stockholders as promptly as reasonably practicable after the filing of the Proxy Statement with the SEC. The Company will schedule the Stockholders Meeting to be held within thirty (30) days of the initial mailing of the Proxy Statement (or, if the Company’s nationally recognized proxy solicitor advises that thirty (30) days from the date of mailing the Proxy Statement is insufficient time to submit and obtain Stockholder Approval, such later date to which Parent consents in advance in writing (such consent not to be unreasonably withheld, conditioned or delayed)).</w:t>
      </w:r>
    </w:p>
    <w:p>
      <w:pPr>
        <w:spacing w:after="0" w:line="97" w:lineRule="exact"/>
        <w:rPr>
          <w:rFonts w:ascii="Arial" w:cs="Arial" w:eastAsia="Arial" w:hAnsi="Arial"/>
          <w:sz w:val="16"/>
          <w:szCs w:val="16"/>
          <w:color w:val="auto"/>
        </w:rPr>
      </w:pPr>
    </w:p>
    <w:p>
      <w:pPr>
        <w:ind w:left="5420" w:hanging="111"/>
        <w:spacing w:after="0"/>
        <w:tabs>
          <w:tab w:leader="none" w:pos="5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000"/>
          </w:cols>
          <w:pgMar w:left="440" w:top="490" w:right="459" w:bottom="1440" w:gutter="0" w:footer="0" w:header="0"/>
        </w:sectPr>
      </w:pPr>
    </w:p>
    <w:bookmarkStart w:id="69" w:name="page70"/>
    <w:bookmarkEnd w:id="69"/>
    <w:p>
      <w:pPr>
        <w:ind w:left="4" w:right="160" w:firstLine="987"/>
        <w:spacing w:after="0" w:line="286" w:lineRule="auto"/>
        <w:tabs>
          <w:tab w:leader="none" w:pos="1250" w:val="left"/>
        </w:tabs>
        <w:numPr>
          <w:ilvl w:val="1"/>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anything to the contrary in this Agreement, the Company shall be permitted to postpone or adjourn the Stockholders Meeting if, but only if, (i) the Company is unable to obtain a quorum of the Company Stockholders at such time, to the extent (and only to the extent) necessary in order to obtain a quorum of the Company Stockholders and the Company shall use its reasonable best efforts to obtain such a quorum as promptly as practicable, (ii) the Company Board has determined in good faith (after consultation with outside legal counsel) that such delay is required</w:t>
      </w:r>
    </w:p>
    <w:p>
      <w:pPr>
        <w:spacing w:after="0" w:line="1" w:lineRule="exact"/>
        <w:rPr>
          <w:rFonts w:ascii="Arial" w:cs="Arial" w:eastAsia="Arial" w:hAnsi="Arial"/>
          <w:sz w:val="16"/>
          <w:szCs w:val="16"/>
          <w:color w:val="auto"/>
        </w:rPr>
      </w:pPr>
    </w:p>
    <w:p>
      <w:pPr>
        <w:ind w:left="4" w:hanging="4"/>
        <w:spacing w:after="0" w:line="283" w:lineRule="auto"/>
        <w:tabs>
          <w:tab w:leader="none" w:pos="299"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by applicable Law to comply with comments made by the SEC with respect to the Proxy Statement or (B) to allow for the dissemination of any supplement or amendment to the Proxy Statement that is required to be filed and disseminated under applicable Law or (iii) the Company is required to do so by a court of competent jurisdiction in connection with any Legal Proceeding commenced after the date hereof against the Company or any of its directors (in their capacity as such) by any Company Stockholders relating to this Agreement or the transactions contemplated hereby. The Company may (and will, if directed by Parent) postpone or adjourn the Stockholders Meeting if there are not sufficient affirmative votes in person or by proxy at such Stockholders Meeting to adopt this Agreement to allow reasonable time for the solicitation of proxies for purposes of obtaining the Stockholder Approval; provided that the Stockholders Meeting shall not be adjourned or postponed for more than ten (10) Business Days in the case of any individual adjournment or postponement or more than thirty (30) Business Days in the aggregate; provided, further, that in no event shall the Company be required to adjourn or postpone the date of the Stockholders Meeting by more than ten (10) Business Days from the original date of the Stockholders Meeting if it would require the Company to change the record date of the Stockholders Meeting, re-solicit proxies already delivered to the Company or mail amended, supplemental or supplemented proxy material in connection therewith. In no event shall the record date of the Stockholders Meeting be changed without Parent’s prior written consent, not be unreasonably withheld, conditioned or delayed. The notice of such Stockholders Meeting shall state that a resolution to adopt this Agreement shall be considered at the Stockholders Meeting. Except to the extent a Company Board Recommendation Change expressly permitted by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has been effected, (1) the Company Board shall include the Company Board Recommendation in the Proxy Statement and (2) the Company shall use its reasonable best efforts to solicit votes of the Company Stockholders in favor of obtaining the Stockholder Approval. Without limiting the generality of the foregoing, but subject to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and the Company’s right to terminate this Agreement under the circumstances set forth in </w:t>
      </w:r>
      <w:r>
        <w:rPr>
          <w:rFonts w:ascii="Arial" w:cs="Arial" w:eastAsia="Arial" w:hAnsi="Arial"/>
          <w:sz w:val="16"/>
          <w:szCs w:val="16"/>
          <w:u w:val="single" w:color="auto"/>
          <w:color w:val="auto"/>
        </w:rPr>
        <w:t>Section 8.1(c)(ii)</w:t>
      </w:r>
      <w:r>
        <w:rPr>
          <w:rFonts w:ascii="Arial" w:cs="Arial" w:eastAsia="Arial" w:hAnsi="Arial"/>
          <w:sz w:val="16"/>
          <w:szCs w:val="16"/>
          <w:color w:val="auto"/>
        </w:rPr>
        <w:t xml:space="preserve">, the Company agrees that its obligations pursuant to this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shall not be affected by the commencement, public proposal, public disclosure or communication to the Company or any other Person of any Acquisition Proposal or by any Effect constituting or that could constitute an Intervening Event. The Company shall provide updates to Parent with respect to the proxy solicitation for the Stockholders Meeting (including interim results) as reasonably requested by Parent.</w:t>
      </w:r>
    </w:p>
    <w:p>
      <w:pPr>
        <w:spacing w:after="0" w:line="7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293" w:lineRule="auto"/>
        <w:tabs>
          <w:tab w:leader="none" w:pos="12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Except as otherwise provided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upon the terms and subject to the conditions set forth in this Agreement, each of Parent, Merger Sub and the Company shall use its reasonable best efforts to take, or cause to be taken, all actions that are necessary, proper or advisable to consummate and make effective, in the most expeditious manner practicable, the Merger and each of the other transactions contemplated by this Agreement, including using reasonable best efforts to (i) cause each of the conditions to the Merger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 as promptly as practicable after the date of this Agreement; (ii) obtain, as promptly as practicable after the date of this Agreement, and maintain all necessary actions or non-actions and Consents from Governmental Authorities and make all</w:t>
      </w:r>
    </w:p>
    <w:p>
      <w:pPr>
        <w:spacing w:after="0" w:line="96" w:lineRule="exact"/>
        <w:rPr>
          <w:rFonts w:ascii="Arial" w:cs="Arial" w:eastAsia="Arial" w:hAnsi="Arial"/>
          <w:sz w:val="16"/>
          <w:szCs w:val="16"/>
          <w:color w:val="auto"/>
        </w:rPr>
      </w:pPr>
    </w:p>
    <w:p>
      <w:pPr>
        <w:ind w:left="5424" w:hanging="111"/>
        <w:spacing w:after="0"/>
        <w:tabs>
          <w:tab w:leader="none" w:pos="54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024"/>
          </w:cols>
          <w:pgMar w:left="436" w:top="490" w:right="439" w:bottom="1440" w:gutter="0" w:footer="0" w:header="0"/>
        </w:sectPr>
      </w:pPr>
    </w:p>
    <w:bookmarkStart w:id="70" w:name="page71"/>
    <w:bookmarkEnd w:id="70"/>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necessary registrations, declarations and filings with Governmental Authorities, that are necessary to consummate the Merger; (iii) resist, contest, appeal and remove any Legal Proceeding and have vacated, lifted, reversed or overturned any Order, whether temporary, preliminary or permanent, that is in effect and that prohibits, prevents, restricts or restrains the consummation of the transactions contemplated by this Agreement (including any Legal Proceeding or Order in connection with the matters contemplated by </w:t>
      </w:r>
      <w:r>
        <w:rPr>
          <w:rFonts w:ascii="Arial" w:cs="Arial" w:eastAsia="Arial" w:hAnsi="Arial"/>
          <w:sz w:val="16"/>
          <w:szCs w:val="16"/>
          <w:u w:val="single" w:color="auto"/>
          <w:color w:val="auto"/>
        </w:rPr>
        <w:t>Section 6.3</w:t>
      </w:r>
      <w:r>
        <w:rPr>
          <w:rFonts w:ascii="Arial" w:cs="Arial" w:eastAsia="Arial" w:hAnsi="Arial"/>
          <w:sz w:val="16"/>
          <w:szCs w:val="16"/>
          <w:color w:val="auto"/>
        </w:rPr>
        <w:t>), (iv) obtain all necessary or appropriate Consents under any Material Contracts to which the Company is a party in connection with this Agreement and the consummation of the transactions contemplated hereby and</w:t>
      </w:r>
    </w:p>
    <w:p>
      <w:pPr>
        <w:spacing w:after="0" w:line="2" w:lineRule="exact"/>
        <w:rPr>
          <w:sz w:val="20"/>
          <w:szCs w:val="20"/>
          <w:color w:val="auto"/>
        </w:rPr>
      </w:pPr>
    </w:p>
    <w:p>
      <w:pPr>
        <w:ind w:left="4" w:hanging="4"/>
        <w:spacing w:after="0" w:line="284" w:lineRule="auto"/>
        <w:tabs>
          <w:tab w:leader="none" w:pos="259"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reasonably cooperate with the other party or parties with respect to any of the foregoing. In addition to the foregoing, except as otherwise provided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6.3</w:t>
      </w:r>
      <w:r>
        <w:rPr>
          <w:rFonts w:ascii="Arial" w:cs="Arial" w:eastAsia="Arial" w:hAnsi="Arial"/>
          <w:sz w:val="16"/>
          <w:szCs w:val="16"/>
          <w:color w:val="auto"/>
        </w:rPr>
        <w:t>, neither Parent or Merger Sub, on the one hand, nor the Company, on the other hand, shall take any action, or fail to take any action, that is intended to, or has (or would reasonably be expected to have) the effect of, preventing, materially delaying or materially impairing the ability of such party to consummate the Merger or the other transactions contemplated hereby. Notwithstanding anything to the contrary herein, (i) the Company shall not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Merger, to obtain any Consent of any Person (including any Governmental Authority) under any Contract and (ii) Parent and its Affiliates shall not be required to, and, without the prior written consent of Parent, the Company shall not and shall cause its Subsidiaries not to, (A) take any action, or commit to take any action, or agree to any condition or restriction relating to the business, assets, liabilities, rights, obligations, relationships, results of operations, financial condition or operations of, or otherwise limit in any way or to any extent the full exercise of any rights of ownership of, (1) any of Parent, Merger Sub or any of their respective Affiliates or (2) omaveloxolone, (B) take any action, or commit to take any action, or agree to any condition or restriction that has or would reasonably be expected to have an impact on the business, assets, liabilities, rights, obligations, relationships, results of operations, financial condition or operations of, or otherwise limit in any way or to any extent the full exercise of any rights of ownership of the Company or any of its Subsidiaries, in each case, in a manner that would be material to the Company and its Subsidiaries, taken as a whole, or (C) enter into any settlement, undertaking, consent decree, stipulation or agreement with any Governmental Authority to do any of the foregoing, in each case, in connection with this Agreement or the transactions contemplated hereby (each of the items described in this clause (ii), a “</w:t>
      </w:r>
      <w:r>
        <w:rPr>
          <w:rFonts w:ascii="Arial" w:cs="Arial" w:eastAsia="Arial" w:hAnsi="Arial"/>
          <w:sz w:val="16"/>
          <w:szCs w:val="16"/>
          <w:u w:val="single" w:color="auto"/>
          <w:color w:val="auto"/>
        </w:rPr>
        <w:t>Burdensome Condition</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4" w:right="280" w:firstLine="987"/>
        <w:spacing w:after="0" w:line="272" w:lineRule="auto"/>
        <w:tabs>
          <w:tab w:leader="none" w:pos="1250" w:val="left"/>
        </w:tabs>
        <w:numPr>
          <w:ilvl w:val="1"/>
          <w:numId w:val="86"/>
        </w:numPr>
        <w:rPr>
          <w:rFonts w:ascii="Arial" w:cs="Arial" w:eastAsia="Arial" w:hAnsi="Arial"/>
          <w:sz w:val="17"/>
          <w:szCs w:val="17"/>
          <w:color w:val="auto"/>
        </w:rPr>
      </w:pPr>
      <w:r>
        <w:rPr>
          <w:rFonts w:ascii="Arial" w:cs="Arial" w:eastAsia="Arial" w:hAnsi="Arial"/>
          <w:sz w:val="17"/>
          <w:szCs w:val="17"/>
          <w:color w:val="auto"/>
        </w:rPr>
        <w:t>Parent agrees, on behalf of itself and its Affiliates, that, between the date of this Agreement and the Effective Time, Parent shall not, and shall cause its Affiliates not to, directly or indirectly, (i) acquire or purchase (or agree to acquire or purchase), by merging with or into or consolidating with, or by purchasing a substantial portion of the assets of or equity in, or by any other manner, any business or any corporation, partnership, association or other business organization or division or part thereof, or any securities or collection of assets, if doing so would or would reasonably be expected to (A) result in any material delay in obtaining, or materially increase the risk of not obtaining, any Consent of any Governmental Authority required in connection with the transactions contemplated hereby (including the Merger) or (B) prevent, materially delay or materially impair the ability of Parent or Merger Sub to consummate the</w:t>
      </w:r>
    </w:p>
    <w:p>
      <w:pPr>
        <w:spacing w:after="0" w:line="109" w:lineRule="exact"/>
        <w:rPr>
          <w:rFonts w:ascii="Arial" w:cs="Arial" w:eastAsia="Arial" w:hAnsi="Arial"/>
          <w:sz w:val="17"/>
          <w:szCs w:val="17"/>
          <w:color w:val="auto"/>
        </w:rPr>
      </w:pPr>
    </w:p>
    <w:p>
      <w:pPr>
        <w:ind w:left="5424" w:hanging="111"/>
        <w:spacing w:after="0"/>
        <w:tabs>
          <w:tab w:leader="none" w:pos="5424" w:val="left"/>
        </w:tabs>
        <w:numPr>
          <w:ilvl w:val="2"/>
          <w:numId w:val="86"/>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024"/>
          </w:cols>
          <w:pgMar w:left="436" w:top="490" w:right="439" w:bottom="1440" w:gutter="0" w:footer="0" w:header="0"/>
        </w:sectPr>
      </w:pPr>
    </w:p>
    <w:bookmarkStart w:id="71" w:name="page72"/>
    <w:bookmarkEnd w:id="71"/>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Merger or the other transactions contemplated hereby, or (ii) take or agree to take any other action (including entering into agreements with respect to any equity investments, joint ventures, acquisitions, mergers, consolidations or business combinations) which would or would reasonably be expected to</w:t>
      </w:r>
    </w:p>
    <w:p>
      <w:pPr>
        <w:ind w:left="4" w:right="180" w:hanging="4"/>
        <w:spacing w:after="0" w:line="255" w:lineRule="auto"/>
        <w:tabs>
          <w:tab w:leader="none" w:pos="2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result in any material delay in obtaining, or materially increase the risk of not obtaining, any Consent of any Governmental Authority required in connection with the transactions contemplated hereby (including the Merger) or (B) prevent, materially delay or materially impair the ability of Parent or Merger Sub to consummate the Merger or the other transactions contemplated hereby.</w:t>
      </w:r>
    </w:p>
    <w:p>
      <w:pPr>
        <w:spacing w:after="0" w:line="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Antitrust Obligations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3" w:lineRule="auto"/>
        <w:tabs>
          <w:tab w:leader="none" w:pos="12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Each of Parent and Merger Sub (and their respective Affiliates, if applicable), on the one hand, and the Company, on the other hand, shall file with the FTC and the Antitrust Division of the DOJ a Notification and Report Form relating to this Agreement and the transactions contemplated hereby as required by the HSR Act as soon as practicable after the date of this Agreement but in no event later than ten (10) business days following the date of this Agreement (unless a later date is mutually agreed between the parties). Subject to the last sentence of </w:t>
      </w:r>
      <w:r>
        <w:rPr>
          <w:rFonts w:ascii="Arial" w:cs="Arial" w:eastAsia="Arial" w:hAnsi="Arial"/>
          <w:sz w:val="16"/>
          <w:szCs w:val="16"/>
          <w:u w:val="single" w:color="auto"/>
          <w:color w:val="auto"/>
        </w:rPr>
        <w:t>Section 6.3(b)</w:t>
      </w:r>
      <w:r>
        <w:rPr>
          <w:rFonts w:ascii="Arial" w:cs="Arial" w:eastAsia="Arial" w:hAnsi="Arial"/>
          <w:sz w:val="16"/>
          <w:szCs w:val="16"/>
          <w:color w:val="auto"/>
        </w:rPr>
        <w:t>, each of Parent and the Company shall (i) cooperate and coordinate with the other in the making of such filings, (ii) supply the other with any information and documentary material that may be required in order to make such filings, (iii) supply any additional information that may be required or requested by the FTC or the DOJ, and (iv) subject to the proviso of this sentence, take any and all actions necessary to cause the expiration or termination of the applicable waiting period under the HSR Act as soon as practicable, and to avoid any impediment to the consummation of the Merger under any Antitrust Laws, including (A) proposing, negotiating, committing to and effecting, by consent decree, hold separate order or otherwise, conduct of business restrictions, a sale or disposition of such assets or businesses as are required to be divested or a license or grant of commercialization rights to businesses, product lines, fields of use, divisions, business arrangements, Contracts, assets or interests therein of the Company or Parent and</w:t>
      </w:r>
    </w:p>
    <w:p>
      <w:pPr>
        <w:spacing w:after="0" w:line="3" w:lineRule="exact"/>
        <w:rPr>
          <w:rFonts w:ascii="Arial" w:cs="Arial" w:eastAsia="Arial" w:hAnsi="Arial"/>
          <w:sz w:val="16"/>
          <w:szCs w:val="16"/>
          <w:color w:val="auto"/>
        </w:rPr>
      </w:pPr>
    </w:p>
    <w:p>
      <w:pPr>
        <w:ind w:left="4" w:right="120" w:hanging="4"/>
        <w:spacing w:after="0" w:line="267" w:lineRule="auto"/>
        <w:tabs>
          <w:tab w:leader="none" w:pos="289"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cooperating with each other and using their respective reasonable best efforts to oppose, contest and resist fully and vigorously any Legal Proceeding, including by defending through litigation, pursuing vigorously all available avenues of administrative and judicial appeal and seeking to have vacated, lifted, reversed or overturned any Order that may result from such Legal Proceedings, whether temporary, preliminary or permanent, that is in effect and that prohibits, prevents or restricts the consummation of the Merger or the other transactions contemplated hereby, in each case, as may be required in order to enable the consummation of the Merger and the other transactions contemplated by this Agreement, and to otherwise avoid the entry of, or to effect the dissolution of, any preliminary or permanent injunction which would otherwise have the effect of prohibiting, preventing or restricting the consummation of the Merger or the other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neither Parent nor the Company shall be required to take any of the actions set forth in the foregoing clause (A) unless the action is conditioned on the consummation of the transactions contemplated 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for the avoidance of doubt, that nothing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require Parent or any of its Affiliates, or, without the prior written consent of Parent, permit the Company or any of its Subsidiaries, to take any action or agree to take any action that would result in the imposition of a Burdensome Condition.</w:t>
      </w:r>
    </w:p>
    <w:p>
      <w:pPr>
        <w:spacing w:after="0" w:line="118" w:lineRule="exact"/>
        <w:rPr>
          <w:rFonts w:ascii="Arial" w:cs="Arial" w:eastAsia="Arial" w:hAnsi="Arial"/>
          <w:sz w:val="17"/>
          <w:szCs w:val="17"/>
          <w:color w:val="auto"/>
        </w:rPr>
      </w:pPr>
    </w:p>
    <w:p>
      <w:pPr>
        <w:ind w:left="5424" w:hanging="111"/>
        <w:spacing w:after="0"/>
        <w:tabs>
          <w:tab w:leader="none" w:pos="5424" w:val="left"/>
        </w:tabs>
        <w:numPr>
          <w:ilvl w:val="2"/>
          <w:numId w:val="89"/>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004"/>
          </w:cols>
          <w:pgMar w:left="436" w:top="490" w:right="459" w:bottom="1440" w:gutter="0" w:footer="0" w:header="0"/>
        </w:sectPr>
      </w:pPr>
    </w:p>
    <w:bookmarkStart w:id="72" w:name="page73"/>
    <w:bookmarkEnd w:id="72"/>
    <w:p>
      <w:pPr>
        <w:ind w:left="-987" w:firstLine="987"/>
        <w:spacing w:after="0" w:line="284" w:lineRule="auto"/>
        <w:tabs>
          <w:tab w:leader="none" w:pos="259"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Each of Parent and Merger Sub (and their respective Affiliates, if applicable), on the one hand, and the Company, on the other hand, shall promptly inform the other of any substantive communication from any Governmental Authority regarding any of the transactions contemplated by this Agreement in connection with any filings or investigations with, by or before any Governmental Authority relating to this Agreement or the transactions contemplated hereby, including any proceedings initiated by a private party. If any party hereto or an Affiliate thereof shall receive a request for additional information or documentary material from any Governmental Authority with respect to the transactions contemplated by this Agreement pursuant to the HSR Act or any other Antitrust Law with respect to which any such filings have been made, then such party shall use its reasonable best efforts to make, or cause to be made, as soon as reasonably practicable and after consultation with the other party, an appropriate response in compliance with such request. In connection with and without limiting the foregoing, to the extent reasonably practicable and unless prohibited by applicable Law or by the applicable Governmental Authority, the parties hereto agree to (i) give each other reasonable advance notice of all substantive meetings and substantive conference calls with any Governmental Authority relating to the Merger, (ii) give each other an opportunity to participate in each of such substantive meetings and substantive conference calls, (iii) keep the other party reasonably apprised with respect to any substantive oral communications with any Governmental Authority regarding the Merger, (iv) cooperate in the filing of any analyses, presentations, memoranda, briefs, arguments, opinions or other written communications explaining or defending the Merger, articulating any regulatory or competitive argument and/or responding to requests or objections made by any Governmental Authority, (v) provide each other with a reasonable advance opportunity to review and comment upon, and consider in good faith the views of the other with respect to, all written communications (including any analyses, presentations, memoranda, briefs, arguments and opinions) with a Governmental Authority regarding the Merger, (vi) provide each other (or counsel of each party, as appropriate) with copies of all material written communications to or from any Governmental Authority relating to the Merger, and (vii) cooperate and provide each other with a reasonable opportunity to participate in, and consider in good faith the views of the other regarding, all material deliberations with respect to all efforts to satisfy the conditions set forth in </w:t>
      </w:r>
      <w:r>
        <w:rPr>
          <w:rFonts w:ascii="Arial" w:cs="Arial" w:eastAsia="Arial" w:hAnsi="Arial"/>
          <w:sz w:val="16"/>
          <w:szCs w:val="16"/>
          <w:u w:val="single" w:color="auto"/>
          <w:color w:val="auto"/>
        </w:rPr>
        <w:t>Sections 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7.1(c)</w:t>
      </w:r>
      <w:r>
        <w:rPr>
          <w:rFonts w:ascii="Arial" w:cs="Arial" w:eastAsia="Arial" w:hAnsi="Arial"/>
          <w:sz w:val="16"/>
          <w:szCs w:val="16"/>
          <w:color w:val="auto"/>
        </w:rPr>
        <w:t>. Any such disclosures, rights to participate or provisions of information by one party to the other may be made on a counsel-only basis and redacted for legal privilege to the extent required under applicable Law or to remove references concerning the valuation of the Company or confidential competitively sensitive business information. Notwithstanding anything to the contrary herein, if Parent and the Company disagree with respect to strategy, Parent shall have the right to direct and control all strategy in connection with obtaining any actions or non-actions, Consents or expirations or terminations of waiting periods under the HSR Act or other Antitrust Law, including in any Legal Proceeding brought by any Governmental Authority seeking any Order which would have the effect of prohibiting, preventing or restricting the consummation of the Merger or the other transactions contemplated by this Agreement.</w:t>
      </w:r>
    </w:p>
    <w:p>
      <w:pPr>
        <w:spacing w:after="0" w:line="65" w:lineRule="exact"/>
        <w:rPr>
          <w:rFonts w:ascii="Arial" w:cs="Arial" w:eastAsia="Arial" w:hAnsi="Arial"/>
          <w:sz w:val="16"/>
          <w:szCs w:val="16"/>
          <w:color w:val="auto"/>
        </w:rPr>
      </w:pPr>
    </w:p>
    <w:p>
      <w:pPr>
        <w:ind w:left="-987" w:right="140" w:firstLine="987"/>
        <w:spacing w:after="0" w:line="257"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Subject to the final sentence of Section 6.3(b)</w:t>
      </w:r>
      <w:r>
        <w:rPr>
          <w:rFonts w:ascii="Arial" w:cs="Arial" w:eastAsia="Arial" w:hAnsi="Arial"/>
          <w:sz w:val="18"/>
          <w:szCs w:val="18"/>
          <w:color w:val="auto"/>
        </w:rPr>
        <w:t>, each of Parent, Merger Sub and the Company shall cooperate with one another in good faith to (i) promptly determine whether any filings are required to be made, and whether any Consents are required to be obtained, from any Governmental Authority under any applicable Law in connection with the transactions contemplated hereby (other than filings required by, and expiration or termination of the waiting period under, the HSR Act), and (ii) promptly make any filings, furnish information required in connection therewith and seek to obtain timely any such Consents that the parties determine are</w:t>
      </w:r>
    </w:p>
    <w:p>
      <w:pPr>
        <w:spacing w:after="0" w:line="120" w:lineRule="exact"/>
        <w:rPr>
          <w:rFonts w:ascii="Arial" w:cs="Arial" w:eastAsia="Arial" w:hAnsi="Arial"/>
          <w:sz w:val="18"/>
          <w:szCs w:val="18"/>
          <w:color w:val="auto"/>
        </w:rPr>
      </w:pPr>
    </w:p>
    <w:p>
      <w:pPr>
        <w:ind w:left="4433" w:hanging="111"/>
        <w:spacing w:after="0"/>
        <w:tabs>
          <w:tab w:leader="none" w:pos="4433" w:val="left"/>
        </w:tabs>
        <w:numPr>
          <w:ilvl w:val="1"/>
          <w:numId w:val="90"/>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013"/>
          </w:cols>
          <w:pgMar w:left="1427" w:top="490" w:right="459" w:bottom="1440" w:gutter="0" w:footer="0" w:header="0"/>
        </w:sectPr>
      </w:pPr>
    </w:p>
    <w:bookmarkStart w:id="73" w:name="page74"/>
    <w:bookmarkEnd w:id="7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required to be made or obtained in connection with the transactions contemplated hereby. Neither (i) the Company, without the prior written consent of Parent, nor (ii) Parent, without reasonable prior notice to the Company or, after the First Extended Outside Date, without the prior written consent of the Company (not to be unreasonably withheld, conditioned or delayed), shall commit to or agree with any Governmental Authority to (A) stay, toll or extend any applicable waiting period under the HSR Act or other applicable Antitrust Laws, (B) pull and refile under the HSR Act or other applicable Antitrust Laws, (C) not consummate the transactions contemplated by this Agreement for any period of time or (D) enter into any timing agreement. Nothing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require Parent or any of its Affiliates, or, without the prior written consent of Parent, permit the Company or any of its Subsidiaries, to agree to or cause any of its Affiliates (including, after the Closing, the Company or any of its Subsidiaries) to undertake or agree to any requirement or obligation to provide prior notice to, or to obtain prior approval from, any Governmental Authority with respect to any transaction.</w:t>
      </w:r>
    </w:p>
    <w:p>
      <w:pPr>
        <w:spacing w:after="0" w:line="5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Public Statements and Disclosure</w:t>
      </w:r>
      <w:r>
        <w:rPr>
          <w:rFonts w:ascii="Arial" w:cs="Arial" w:eastAsia="Arial" w:hAnsi="Arial"/>
          <w:sz w:val="16"/>
          <w:szCs w:val="16"/>
          <w:color w:val="auto"/>
        </w:rPr>
        <w:t xml:space="preserve">. So long as this Agreement is in effect, Parent and Merger Sub, on the one hand, and the Company, on the other, shall not, and shall cause their respective controlled Affiliates not to, issue any press release or make any public statement with respect to the Merger or this Agreement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to the extent permitted by applicable Law and practicable under the circumstances, the party proposing to issue such press release or make such public announcement shall consult in good faith with the other party before making any such public announcement, (b) with respect to any press release, filing, disclosure or other public statement by the Company permitted by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(including to announce a Company Board Recommendation Change in accordance with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(c) statements consistent in all material respects with any release, filing disclosure or other public statements previously made in accordance with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or (d) public statements regarding the transactions contemplated hereby in response to questions from the press, analysts, investors or those attending industry conferences, and internal announcements to employees, in each case, to the extent that such statements are consistent in all material respects with previous press releases, public disclosures or public statements made jointly by the parties or approved by the parties, and otherwise in compliance with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public statements do not reveal material nonpublic information regarding this Agreement or the transactions contemplated hereby.</w:t>
      </w:r>
    </w:p>
    <w:p>
      <w:pPr>
        <w:spacing w:after="0" w:line="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Anti-Takeover Laws</w:t>
      </w:r>
      <w:r>
        <w:rPr>
          <w:rFonts w:ascii="Arial" w:cs="Arial" w:eastAsia="Arial" w:hAnsi="Arial"/>
          <w:sz w:val="17"/>
          <w:szCs w:val="17"/>
          <w:color w:val="auto"/>
        </w:rPr>
        <w:t xml:space="preserve">. If any state takeover Law or state Law that purports to limit or restrict business combinations or the ability to acquire or vote Shares (including any “control share acquisition,” “fair price,” “moratorium,” “business combination” or other similar takeover Law) becomes or is deemed to be applicable to this Agreement, the Merger or any other transactions contemplated by this Agreement, then Parent, Merger Sub and the Company shall cooperate and take all action reasonably available to render such Law inapplicable to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the foregoing shall be interpreted to require the Company Board to take any action that would be reasonably likely to be inconsistent with its fiduciary duties under applicable Law. Neither Parent, Merger Sub nor the Company will take any action that would cause this Agreement, the Merger or the other transactions contemplated by this Agreement to be subject to the requirements imposed by any such takeover or similar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the foregoing shall be interpreted to require the Company or the Company Board to refrain from taking any action that would be reasonably likely to be inconsistent with its fiduciary duties under applicable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000"/>
          </w:cols>
          <w:pgMar w:left="440" w:top="490" w:right="459" w:bottom="1440" w:gutter="0" w:footer="0" w:header="0"/>
        </w:sectPr>
      </w:pPr>
    </w:p>
    <w:bookmarkStart w:id="74" w:name="page75"/>
    <w:bookmarkEnd w:id="74"/>
    <w:p>
      <w:pPr>
        <w:ind w:left="4"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6.6 </w:t>
      </w:r>
      <w:r>
        <w:rPr>
          <w:rFonts w:ascii="Arial" w:cs="Arial" w:eastAsia="Arial" w:hAnsi="Arial"/>
          <w:sz w:val="16"/>
          <w:szCs w:val="16"/>
          <w:u w:val="single" w:color="auto"/>
          <w:color w:val="auto"/>
        </w:rPr>
        <w:t>Access</w:t>
      </w:r>
      <w:r>
        <w:rPr>
          <w:rFonts w:ascii="Arial" w:cs="Arial" w:eastAsia="Arial" w:hAnsi="Arial"/>
          <w:sz w:val="16"/>
          <w:szCs w:val="16"/>
          <w:color w:val="auto"/>
        </w:rPr>
        <w:t xml:space="preserve">.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Effective Time, the Company shall afford Parent and its Representatives reasonable access during normal business hours, upon reasonable notice, to the properties, books and records and personnel of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 w:lineRule="exact"/>
        <w:rPr>
          <w:sz w:val="20"/>
          <w:szCs w:val="20"/>
          <w:color w:val="auto"/>
        </w:rPr>
      </w:pPr>
    </w:p>
    <w:p>
      <w:pPr>
        <w:ind w:left="4" w:right="360" w:hanging="4"/>
        <w:spacing w:after="0" w:line="281"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may restrict or otherwise prohibit access to any documents or information to the extent that (i) any applicable Law (including any COVID-19 Measures) requires the Company or any of its Subsidiaries to restrict or otherwise prohibit access to such documents or information,</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92"/>
        </w:numPr>
        <w:rPr>
          <w:rFonts w:ascii="Arial" w:cs="Arial" w:eastAsia="Arial" w:hAnsi="Arial"/>
          <w:sz w:val="16"/>
          <w:szCs w:val="16"/>
          <w:color w:val="auto"/>
        </w:rPr>
      </w:pPr>
      <w:r>
        <w:rPr>
          <w:rFonts w:ascii="Arial" w:cs="Arial" w:eastAsia="Arial" w:hAnsi="Arial"/>
          <w:sz w:val="16"/>
          <w:szCs w:val="16"/>
          <w:color w:val="auto"/>
        </w:rPr>
        <w:t>granting such access would violate any obligations of the Company or any of its Subsidiaries with respect to confidentiality to any third party or</w:t>
      </w:r>
    </w:p>
    <w:p>
      <w:pPr>
        <w:spacing w:after="0" w:line="32"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otherwise breach, contravene or violate, constitute a default under, or give a third party the right to terminate or accelerate an obligation under, any then effective Contract to which the Company or any of its Subsidiaries is a party, (iii) access to such documents or information would reasonably be expected to result in a waiver of any attorney-client privilege, work product doctrine or other applicable privilege applicable to such documents or information or (iv) such documents or information relate to the evaluation or negotiation of this Agreement, the transactions contemplated hereby or, subject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 Acquisition Proposal or Superior Proposal, and (b) in each case, such access may be limited to the extent the Company reasonably determines, in light of COVID-19 or any COVID-19 Measures, that such access would jeopardize the health and safety of any employee of the Company or any of its Subsidiaries. In the event that the Company does not provide access or information in reliance on (x) clauses (a)(i), (a)(ii) or (a)(iii) of the preceding sentence, it shall use its reasonable best efforts to communicate the applicable information to Parent in a way that would not violate any applicable Law, Contract or obligation or waive such a privilege, and (y) clause (b) of the preceding sentence, it shall use its reasonable best efforts to communicate the applicable information to Parent in a way that the Company reasonably determines would not jeopardize the health and safety of any employee of the Company or any of its Subsidiaries. Any investigation conducted pursuant to the access contemplated by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conducted in a manner that does not unreasonably interfere with the conduct of the business of the Company or any of its Subsidiaries or create a risk of damage or destruction to any property or assets of the Company or any of its Subsidiaries, shall be subject to the Company’s or any of its Subsidiaries’ reasonable security measures and insurance requirements, and shall not include the right to perform invasive testing without the Company’s prior written consent, in its sole discretion. The terms and conditions of the Confidentiality Agreement shall apply to any information obtained by Parent or any of its Representatives in connection with any investigation conducted pursuant to the access contemplated by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construed to require the Company or any Representatives of any of the foregoing to prepare any new reports, analyses, appraisals, opinions or other information.</w:t>
      </w:r>
    </w:p>
    <w:p>
      <w:pPr>
        <w:spacing w:after="0" w:line="320" w:lineRule="exact"/>
        <w:rPr>
          <w:rFonts w:ascii="Arial" w:cs="Arial" w:eastAsia="Arial" w:hAnsi="Arial"/>
          <w:sz w:val="16"/>
          <w:szCs w:val="16"/>
          <w:color w:val="auto"/>
        </w:rPr>
      </w:pPr>
    </w:p>
    <w:p>
      <w:pPr>
        <w:ind w:left="5424" w:hanging="111"/>
        <w:spacing w:after="0"/>
        <w:tabs>
          <w:tab w:leader="none" w:pos="5424" w:val="left"/>
        </w:tabs>
        <w:numPr>
          <w:ilvl w:val="1"/>
          <w:numId w:val="92"/>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944"/>
          </w:cols>
          <w:pgMar w:left="436" w:top="490" w:right="519" w:bottom="1440" w:gutter="0" w:footer="0" w:header="0"/>
        </w:sectPr>
      </w:pPr>
    </w:p>
    <w:bookmarkStart w:id="75" w:name="page76"/>
    <w:bookmarkEnd w:id="75"/>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6.7 </w:t>
      </w:r>
      <w:r>
        <w:rPr>
          <w:rFonts w:ascii="Arial" w:cs="Arial" w:eastAsia="Arial" w:hAnsi="Arial"/>
          <w:sz w:val="17"/>
          <w:szCs w:val="17"/>
          <w:u w:val="single" w:color="auto"/>
          <w:color w:val="auto"/>
        </w:rPr>
        <w:t>Section 16(b) Exemption</w:t>
      </w:r>
      <w:r>
        <w:rPr>
          <w:rFonts w:ascii="Arial" w:cs="Arial" w:eastAsia="Arial" w:hAnsi="Arial"/>
          <w:sz w:val="17"/>
          <w:szCs w:val="17"/>
          <w:color w:val="auto"/>
        </w:rPr>
        <w:t>. The Company shall take all actions reasonably necessary to cause the dispositions of equity securities of the Company (including “derivative securities” (as defined in Rule 16a-1(c) under the Exchange Act)) in connection with the transactions contemplated by this Agreement by any director or executive officer of the Company who is a covered Person of the Company for purposes of Section 16 of the Exchange Act and the rules and regulations thereunder to be exempt under Rule 16b-3 promulgated under the Exchange Act.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6" w:lineRule="auto"/>
        <w:tabs>
          <w:tab w:leader="none" w:pos="123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Surviving Corporation shall honor and fulfill in all respects the obligations of the Company and its Subsidiaries under (i) the indemnification agreements in effect on the date of this Agreement between (A) the Company, its Subsidiaries and any of their current or former directors and officers and any person who becomes a director or officer of the Company or any of its Subsidiaries and (B) the Company, its Subsidiaries or any corporation, partnership, joint venture, trust, pension or other employee benefit plan or enterprise and any Person serving or who served as a director, officer, member, trustee or fiduciary of any of the foregoing at the request of the Company or any of its Subsidiaries, in each case, prior to the Effective Time (the “</w:t>
      </w:r>
      <w:r>
        <w:rPr>
          <w:rFonts w:ascii="Arial" w:cs="Arial" w:eastAsia="Arial" w:hAnsi="Arial"/>
          <w:sz w:val="16"/>
          <w:szCs w:val="16"/>
          <w:u w:val="single" w:color="auto"/>
          <w:color w:val="auto"/>
        </w:rPr>
        <w:t>Indemnified Persons</w:t>
      </w:r>
      <w:r>
        <w:rPr>
          <w:rFonts w:ascii="Arial" w:cs="Arial" w:eastAsia="Arial" w:hAnsi="Arial"/>
          <w:sz w:val="16"/>
          <w:szCs w:val="16"/>
          <w:color w:val="auto"/>
        </w:rPr>
        <w:t>”), and (ii) indemnification, expense advancement and exculpation provisions in the certificate of incorporation, bylaws or any other similar governing document of the Company and its Subsidiaries in effect on the date of this Agreement. In addition, during the period commencing at the Effective Time and ending on the sixth (6th) anniversary of the Effective Time, the Surviving Corporation shall cause the certificate of incorporation, bylaws and other similar governing documents of the Surviving Corporation and the Company’s Subsidiaries to contain provisions with respect to indemnification, exculpation and the advancement of expenses that are no less favorable to the Indemnified Persons than the indemnification, exculpation and advancement of expenses provisions contained in the certificate of incorporation, bylaws and other similar governing documents of the Company and its Subsidiaries as of the date hereof, and during such six (6) year period, such provisions shall not be repealed, amended or otherwise modified in any manner adverse to the Indemnified Persons except as required by applicable Law or as provided below.</w:t>
      </w:r>
    </w:p>
    <w:p>
      <w:pPr>
        <w:spacing w:after="0" w:line="65" w:lineRule="exact"/>
        <w:rPr>
          <w:rFonts w:ascii="Arial" w:cs="Arial" w:eastAsia="Arial" w:hAnsi="Arial"/>
          <w:sz w:val="16"/>
          <w:szCs w:val="16"/>
          <w:color w:val="auto"/>
        </w:rPr>
      </w:pPr>
    </w:p>
    <w:p>
      <w:pPr>
        <w:ind w:firstLine="987"/>
        <w:spacing w:after="0" w:line="286" w:lineRule="auto"/>
        <w:tabs>
          <w:tab w:leader="none" w:pos="1243"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provisions of </w:t>
      </w:r>
      <w:r>
        <w:rPr>
          <w:rFonts w:ascii="Arial" w:cs="Arial" w:eastAsia="Arial" w:hAnsi="Arial"/>
          <w:sz w:val="16"/>
          <w:szCs w:val="16"/>
          <w:u w:val="single" w:color="auto"/>
          <w:color w:val="auto"/>
        </w:rPr>
        <w:t>Section 6.8(a)</w:t>
      </w:r>
      <w:r>
        <w:rPr>
          <w:rFonts w:ascii="Arial" w:cs="Arial" w:eastAsia="Arial" w:hAnsi="Arial"/>
          <w:sz w:val="16"/>
          <w:szCs w:val="16"/>
          <w:color w:val="auto"/>
        </w:rPr>
        <w:t>, during the period commencing at the Effective Time and ending on the sixth (6th) anniversary of the Effective Time, to the fullest extent permitted by applicable Law, the Surviving Corporation shall indemnify and hold harmless each Indemnified Person from and against any costs, fees and expenses (including all interests, assessments, reasonable attorneys’ fees and investigation expenses), judgments, fines, losses, claims, damages, Liabilities and amounts paid in settlement of or in connection with any threatened or actual action, suit, claim, proceeding, investigation, arbitration or inquiry, whether civil, criminal, administrative or investigative (each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to the extent such Indemnified Proceeding arises directly or indirectly out of or pertains or relates directly or indirectly to (i) any action or omission or alleged action or omission, prior to or at the Effective Time, in such Indemnified Person’s capacity as a director, officer, employee or agent of the Company or its Affiliates (including as a fiduciary with respect to any employment benefit plan) or by reason of the fact that such Indemnified Person is or was serving as a director, officer, employee or agent of the Company or its Affiliates or at the request of the Company as such (including as a fiduciary with respect to any employee benefit plan) of another Person, (ii) any of the transactions contemplated by this Agreement or (iii) the enforcement of any of the rights of such Indemnified Person (or his or her heirs or legal representatives) under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prior to the sixth (6th) anniversary of the Effective Time, any Indemnified Person delivers to the Surviving Corporation a written notice of any prospective, threatened or actual Indemnified Proceeding for which indemnification or</w:t>
      </w:r>
    </w:p>
    <w:p>
      <w:pPr>
        <w:spacing w:after="0" w:line="106" w:lineRule="exact"/>
        <w:rPr>
          <w:rFonts w:ascii="Arial" w:cs="Arial" w:eastAsia="Arial" w:hAnsi="Arial"/>
          <w:sz w:val="16"/>
          <w:szCs w:val="16"/>
          <w:color w:val="auto"/>
        </w:rPr>
      </w:pPr>
    </w:p>
    <w:p>
      <w:pPr>
        <w:ind w:left="5420" w:hanging="111"/>
        <w:spacing w:after="0"/>
        <w:tabs>
          <w:tab w:leader="none" w:pos="5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0960"/>
          </w:cols>
          <w:pgMar w:left="440" w:top="490" w:right="499" w:bottom="1440" w:gutter="0" w:footer="0" w:header="0"/>
        </w:sectPr>
      </w:pPr>
    </w:p>
    <w:bookmarkStart w:id="76" w:name="page77"/>
    <w:bookmarkEnd w:id="76"/>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advancement may be sought under this </w:t>
      </w:r>
      <w:r>
        <w:rPr>
          <w:rFonts w:ascii="Arial" w:cs="Arial" w:eastAsia="Arial" w:hAnsi="Arial"/>
          <w:sz w:val="17"/>
          <w:szCs w:val="17"/>
          <w:u w:val="single" w:color="auto"/>
          <w:color w:val="auto"/>
        </w:rPr>
        <w:t>Section 6.8(b)</w:t>
      </w:r>
      <w:r>
        <w:rPr>
          <w:rFonts w:ascii="Arial" w:cs="Arial" w:eastAsia="Arial" w:hAnsi="Arial"/>
          <w:sz w:val="17"/>
          <w:szCs w:val="17"/>
          <w:color w:val="auto"/>
        </w:rPr>
        <w:t xml:space="preserve">, then the obligations of Parent and the Surviving Corporation under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shall survive the sixth (6th) anniversary of the Effective Time until such time as such Indemnified Proceeding is fully and finally resolved. In addition, during the period commencing at the Effective Time and ending on the sixth (6th) anniversary of the Effective Time, to the fullest extent permitted by applicable Law, the Surviving Corporation shall advance, prior to the final disposition of any Indemnified Proceeding for which indemnification may be sought under this Agreement, promptly following request by an Indemnified Person therefor, all costs, fees and expenses (including reasonable attorneys’ fees and investigation expenses) incurred by such Indemnified Person in connection with any such Indemnified Proceeding upon receipt of an undertaking by such Indemnified Person, to the extent required by Law, to repay such advances if it is ultimately decided in a final, non-appealable judgment by a court of competent jurisdiction that such Indemnified Person is not entitled to indemnification hereunder.</w:t>
      </w:r>
    </w:p>
    <w:p>
      <w:pPr>
        <w:spacing w:after="0" w:line="70" w:lineRule="exact"/>
        <w:rPr>
          <w:sz w:val="20"/>
          <w:szCs w:val="20"/>
          <w:color w:val="auto"/>
        </w:rPr>
      </w:pPr>
    </w:p>
    <w:p>
      <w:pPr>
        <w:ind w:left="4" w:right="20" w:firstLine="987"/>
        <w:spacing w:after="0" w:line="287" w:lineRule="auto"/>
        <w:tabs>
          <w:tab w:leader="none" w:pos="12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sixth (6th) anniversary of the Effective Time, the Surviving Corporation shall maintain for the benefit of the directors and officers of the Company and its Subsidiaries, as of the date of this Agreement and as of the Effective Time, a directors’ and officers’ liability insurance policy that provides coverage for events occurring prior to the Effective Time (the “</w:t>
      </w:r>
      <w:r>
        <w:rPr>
          <w:rFonts w:ascii="Arial" w:cs="Arial" w:eastAsia="Arial" w:hAnsi="Arial"/>
          <w:sz w:val="16"/>
          <w:szCs w:val="16"/>
          <w:u w:val="single" w:color="auto"/>
          <w:color w:val="auto"/>
        </w:rPr>
        <w:t>D&amp;O</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that is substantially equivalent to and in any event providing coverage not less favorable to the insured persons than the policies of the Company and its Subsidiaries in effect as of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Corporation shall not be required to pay an annual premium for the D&amp;O Insurance in excess of four hundred percent (400%) of the last annual premium paid prior to the date of this Agreement (the “</w:t>
      </w:r>
      <w:r>
        <w:rPr>
          <w:rFonts w:ascii="Arial" w:cs="Arial" w:eastAsia="Arial" w:hAnsi="Arial"/>
          <w:sz w:val="16"/>
          <w:szCs w:val="16"/>
          <w:u w:val="single" w:color="auto"/>
          <w:color w:val="auto"/>
        </w:rPr>
        <w:t>Premium Cap</w:t>
      </w:r>
      <w:r>
        <w:rPr>
          <w:rFonts w:ascii="Arial" w:cs="Arial" w:eastAsia="Arial" w:hAnsi="Arial"/>
          <w:sz w:val="16"/>
          <w:szCs w:val="16"/>
          <w:color w:val="auto"/>
        </w:rPr>
        <w:t xml:space="preserve">”), but in such case shall purchase coverage as favorable to the insured persons as is available for such amount. The provisions of the immediately preceding sentence shall be deemed to have been satisfied if prepaid “tail” policies in respect of the D&amp;O Insurance have been obtained by the Company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premium in respect of all such policies obtained by the Company shall not exceed the Premium Cap. The Surviving Corporation shall maintain the D&amp;O Insurance “tail” policy in full force and effect and continue to honor its obligations thereunder, during the period commencing at the Effective Time and ending on the sixth (6th) anniversary of the Effective Time.</w:t>
      </w:r>
    </w:p>
    <w:p>
      <w:pPr>
        <w:spacing w:after="0" w:line="63" w:lineRule="exact"/>
        <w:rPr>
          <w:rFonts w:ascii="Arial" w:cs="Arial" w:eastAsia="Arial" w:hAnsi="Arial"/>
          <w:sz w:val="16"/>
          <w:szCs w:val="16"/>
          <w:color w:val="auto"/>
        </w:rPr>
      </w:pPr>
    </w:p>
    <w:p>
      <w:pPr>
        <w:ind w:left="4" w:right="180" w:firstLine="987"/>
        <w:spacing w:after="0" w:line="311" w:lineRule="auto"/>
        <w:tabs>
          <w:tab w:leader="none" w:pos="1250"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if any Indemnified Person notifies the Surviving Corporation on or prior to the sixth (6th) anniversary of the Effective Time that an Indemnified Proceeding (whether arising before, at or after the Effective Time) has been made against such Indemnified Person, the provisions of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shall continue in effect until the final disposition of such Indemnified Proceeding.</w:t>
      </w:r>
    </w:p>
    <w:p>
      <w:pPr>
        <w:spacing w:after="0" w:line="40" w:lineRule="exact"/>
        <w:rPr>
          <w:rFonts w:ascii="Arial" w:cs="Arial" w:eastAsia="Arial" w:hAnsi="Arial"/>
          <w:sz w:val="16"/>
          <w:szCs w:val="16"/>
          <w:color w:val="auto"/>
        </w:rPr>
      </w:pPr>
    </w:p>
    <w:p>
      <w:pPr>
        <w:ind w:left="1244" w:hanging="253"/>
        <w:spacing w:after="0"/>
        <w:tabs>
          <w:tab w:leader="none" w:pos="1244" w:val="left"/>
        </w:tabs>
        <w:numPr>
          <w:ilvl w:val="1"/>
          <w:numId w:val="94"/>
        </w:numPr>
        <w:rPr>
          <w:rFonts w:ascii="Arial" w:cs="Arial" w:eastAsia="Arial" w:hAnsi="Arial"/>
          <w:sz w:val="16"/>
          <w:szCs w:val="16"/>
          <w:color w:val="auto"/>
        </w:rPr>
      </w:pPr>
      <w:r>
        <w:rPr>
          <w:rFonts w:ascii="Arial" w:cs="Arial" w:eastAsia="Arial" w:hAnsi="Arial"/>
          <w:sz w:val="16"/>
          <w:szCs w:val="16"/>
          <w:color w:val="auto"/>
        </w:rPr>
        <w:t>Parent hereby undertakes to ensure that the Surviving Corporation complies with and honors its obligations pursuant to this Section 6.8.</w:t>
      </w:r>
    </w:p>
    <w:p>
      <w:pPr>
        <w:spacing w:after="0" w:line="140" w:lineRule="exact"/>
        <w:rPr>
          <w:rFonts w:ascii="Arial" w:cs="Arial" w:eastAsia="Arial" w:hAnsi="Arial"/>
          <w:sz w:val="16"/>
          <w:szCs w:val="16"/>
          <w:color w:val="auto"/>
        </w:rPr>
      </w:pPr>
    </w:p>
    <w:p>
      <w:pPr>
        <w:ind w:left="4" w:right="100" w:firstLine="987"/>
        <w:spacing w:after="0" w:line="274" w:lineRule="auto"/>
        <w:tabs>
          <w:tab w:leader="none" w:pos="12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In the event that Parent or the Surviving Corporation (or any of its successors or assigns) (i) consolidates with or merges into any other Person and is not the continuing or surviving corporation or entity of such consolidation or merger or engages in any division transaction, or</w:t>
      </w:r>
    </w:p>
    <w:p>
      <w:pPr>
        <w:ind w:left="4" w:right="60" w:hanging="4"/>
        <w:spacing w:after="0" w:line="255"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transfers, conveys or otherwise disposes of all or substantially all of its properties and assets to any Person or effects any division transaction, then, in each such case, proper provision shall be made so that the successors and assigns of Parent and the Surviving Corporation shall assume the respective obligations thereof set forth in this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2"/>
          <w:numId w:val="95"/>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024"/>
          </w:cols>
          <w:pgMar w:left="436" w:top="490" w:right="439" w:bottom="1440" w:gutter="0" w:footer="0" w:header="0"/>
        </w:sectPr>
      </w:pPr>
    </w:p>
    <w:bookmarkStart w:id="77" w:name="page78"/>
    <w:bookmarkEnd w:id="77"/>
    <w:p>
      <w:pPr>
        <w:ind w:left="-440" w:right="140" w:firstLine="987"/>
        <w:spacing w:after="0" w:line="257" w:lineRule="auto"/>
        <w:tabs>
          <w:tab w:leader="none" w:pos="803"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survive the consummation of the Merger and is intended to benefit, and from and after the Effective Time shall be enforceable by, the Indemnified Persons and their respective heirs and legal representatives, and shall not be amended, terminated or modified from and after the Effective Time in such a manner as to adversely affect any Indemnified Person without the written consent of such affected Indemnified Person. The rights provided under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not be deemed to be exclusive of any other rights to which any Indemnified Person is entitled, whether pursuant to Law, Contract or otherwise.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Employee Matters.</w:t>
      </w:r>
    </w:p>
    <w:p>
      <w:pPr>
        <w:spacing w:after="0" w:line="117" w:lineRule="exact"/>
        <w:rPr>
          <w:sz w:val="20"/>
          <w:szCs w:val="20"/>
          <w:color w:val="auto"/>
        </w:rPr>
      </w:pPr>
    </w:p>
    <w:p>
      <w:pPr>
        <w:ind w:left="-440" w:right="60" w:firstLine="987"/>
        <w:spacing w:after="0" w:line="263" w:lineRule="auto"/>
        <w:tabs>
          <w:tab w:leader="none" w:pos="7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Parent hereby acknowledges that a “change in control” (or similar phrase) within the meaning of the Plans, as applicable, will occur as of the Effective Time, as applicable. Parent shall or shall cause the Surviving Corporation to assume, honor, and/or provide all of the Company’s Plans in accordance with their terms as in effect immediately prior to the date of this Agreement.</w:t>
      </w:r>
    </w:p>
    <w:p>
      <w:pPr>
        <w:spacing w:after="0" w:line="75" w:lineRule="exact"/>
        <w:rPr>
          <w:rFonts w:ascii="Arial" w:cs="Arial" w:eastAsia="Arial" w:hAnsi="Arial"/>
          <w:sz w:val="18"/>
          <w:szCs w:val="18"/>
          <w:color w:val="auto"/>
        </w:rPr>
      </w:pPr>
    </w:p>
    <w:p>
      <w:pPr>
        <w:ind w:left="-440" w:firstLine="987"/>
        <w:spacing w:after="0" w:line="267" w:lineRule="auto"/>
        <w:tabs>
          <w:tab w:leader="none" w:pos="806"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the period commencing at the Effective Time and ending on December 31, 2024, Parent shall (or Parent shall cause the Surviving Corporation or its applicable Subsidiary or other Affiliate to) provide to each Continuing Employee (i) a base salary or wage rate and short-term cash bonus opportunity, as applicable, that is not less than the base salary or wage rate (as applicable) and short-term cash bonus opportunity, as applicable, provided to such Continuing Employee immediately prior to the Effective Time, (ii) severance benefits no less favorable than the severance benefits made available to such Continuing Employee immediately prior to the Effective Time, and (iii) other compensation and benefits (excluding any equity-based compensation and defined benefit pension and nonqualified deferred compensation plans) that are, taken as a whole, substantially comparable in the aggregate to such other compensation and benefits provided to such Continuing Employee immediately prior to the Effective Time. In addition, Parent shall (or Parent shall cause the Surviving Corporation to) pay to each Continuing Employee an annual cash bonus in respect of the 2023 calendar year in an aggregate amount equal to the annual target cash bonus opportunity provided to such Continuing Employee immediately prior to the Effective Time at the time that such bonuses are ordinarily paid to the employees of the Company consistent with past practice and subject to such Continuing Employee’s continued employment by Parent, the Company or any of their respective Subsidiaries at such time. To the extent that a Continuing Employee is terminated without Cause (as defined in Company Severance Plan (as revised as of July 10, 2020)) prior to the payment of such Continuing Employee’s annual cash bonus in respect of the 2023 calendar year by Parent, the Surviving Corporation or any of their respective Subsidiaries, Parent shall, within 30 days of the Continuing Employee’s termination, pay to such Continuing Employee an aggregate amount equal to such Continuing Employee’s annual target cash bonus opportunity in respect of the 2023 calendar year multiplied by a fraction, the numerator of which is the number of whole months of the 2023 calendar year for which such Continuing Employee was a Continuing Employee and the denominator of which is the number twelve (12).</w:t>
      </w:r>
    </w:p>
    <w:p>
      <w:pPr>
        <w:spacing w:after="0" w:line="123" w:lineRule="exact"/>
        <w:rPr>
          <w:rFonts w:ascii="Arial" w:cs="Arial" w:eastAsia="Arial" w:hAnsi="Arial"/>
          <w:sz w:val="17"/>
          <w:szCs w:val="17"/>
          <w:color w:val="auto"/>
        </w:rPr>
      </w:pPr>
    </w:p>
    <w:p>
      <w:pPr>
        <w:ind w:left="4980" w:hanging="111"/>
        <w:spacing w:after="0"/>
        <w:tabs>
          <w:tab w:leader="none" w:pos="4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0540"/>
          </w:cols>
          <w:pgMar w:left="880" w:top="490" w:right="479" w:bottom="1440" w:gutter="0" w:footer="0" w:header="0"/>
        </w:sectPr>
      </w:pPr>
    </w:p>
    <w:bookmarkStart w:id="78" w:name="page79"/>
    <w:bookmarkEnd w:id="78"/>
    <w:p>
      <w:pPr>
        <w:ind w:firstLine="987"/>
        <w:spacing w:after="0" w:line="267" w:lineRule="auto"/>
        <w:tabs>
          <w:tab w:leader="none" w:pos="1233"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the extent that a Plan or any other employee benefit plan or other compensation or severance arrangement of Parent, the Surviving Corporation or any of their respective Subsidiaries (together, the “</w:t>
      </w:r>
      <w:r>
        <w:rPr>
          <w:rFonts w:ascii="Arial" w:cs="Arial" w:eastAsia="Arial" w:hAnsi="Arial"/>
          <w:sz w:val="17"/>
          <w:szCs w:val="17"/>
          <w:u w:val="single" w:color="auto"/>
          <w:color w:val="auto"/>
        </w:rPr>
        <w:t>New Plans</w:t>
      </w:r>
      <w:r>
        <w:rPr>
          <w:rFonts w:ascii="Arial" w:cs="Arial" w:eastAsia="Arial" w:hAnsi="Arial"/>
          <w:sz w:val="17"/>
          <w:szCs w:val="17"/>
          <w:color w:val="auto"/>
        </w:rPr>
        <w:t xml:space="preserve">”) is made available to any Continuing Employee on or following the Effective Time, Parent shall cause to be granted to such Continuing Employee credit for all service with the Company and its Subsidiaries prior to the Effective Time for all purposes (including for eligibility to participate, vesting and entitlement to (or level of) benefits where length of service is relevant);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service need not be credited for purposes of benefit accrual (other than for purposes of severance or vacation) or to the extent that it would result in duplication of coverage or benefits. In addition, and without limiting the generality of the foregoing, Parent shall (or Parent shall cause the Surviving Corporation to) use reasonable best efforts to ensure that (i) each Continuing Employee shall be immediately eligible to participate, without any waiting time, in any and all New Plans to the extent coverage under any such New Plan replaces coverage under a comparable Plan in which such Continuing Employee participates immediately before the Effective Time (such plans, collectively, the “</w:t>
      </w:r>
      <w:r>
        <w:rPr>
          <w:rFonts w:ascii="Arial" w:cs="Arial" w:eastAsia="Arial" w:hAnsi="Arial"/>
          <w:sz w:val="17"/>
          <w:szCs w:val="17"/>
          <w:u w:val="single" w:color="auto"/>
          <w:color w:val="auto"/>
        </w:rPr>
        <w:t>Old Plans</w:t>
      </w:r>
      <w:r>
        <w:rPr>
          <w:rFonts w:ascii="Arial" w:cs="Arial" w:eastAsia="Arial" w:hAnsi="Arial"/>
          <w:sz w:val="17"/>
          <w:szCs w:val="17"/>
          <w:color w:val="auto"/>
        </w:rPr>
        <w:t>”); (ii) for purposes of each New Plan providing medical, dental, pharmaceutical, vision and/or disability benefits to any Continuing Employee, all waiting periods, pre-existing condition exclusions, evidence of insurability requirements and actively-at-work or similar requirements of such New Plan will be waived for such Continuing Employee and his or her covered dependents to the extent they did not apply to the Continuing Employee under the corresponding Old Plan and any eligible expenses incurred by such Continuing Employee and his or her covered dependents during any unfinished portion of the plan year of the Old Plan ending on the date such employee’s participation in the corresponding New Plan begins will be given full credit under such New Plan for purposes of satisfying all deductible, coinsurance and maximum out-of-pocket requirements applicable to such Continuing Employee and his or her covered dependents for the applicable plan year as if such amounts had been paid in accordance with such New Plan, and (iii) the accounts of such Continuing Employees under any New Plan that is a flexible spending plan are credited with any unused balance in the account of such Continuing Employee under the applicable Old Plan.</w:t>
      </w:r>
    </w:p>
    <w:p>
      <w:pPr>
        <w:spacing w:after="0" w:line="81" w:lineRule="exact"/>
        <w:rPr>
          <w:rFonts w:ascii="Arial" w:cs="Arial" w:eastAsia="Arial" w:hAnsi="Arial"/>
          <w:sz w:val="17"/>
          <w:szCs w:val="17"/>
          <w:color w:val="auto"/>
        </w:rPr>
      </w:pPr>
    </w:p>
    <w:p>
      <w:pPr>
        <w:ind w:right="100" w:firstLine="987"/>
        <w:spacing w:after="0" w:line="293" w:lineRule="auto"/>
        <w:tabs>
          <w:tab w:leader="none" w:pos="12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no provision of this Agreement shall be deemed to (i) guarantee employment for any period of time for, or preclude the ability of Parent, the Company, the Surviving Corporation or their respective Subsidiaries to terminate, any Continuing Employee for any reason, or (ii) require Parent, the Company, the Surviving Corporation or their respective Subsidiaries to continue any Plan or prevent the amendment, modification or termination thereof after the Effective Time. The provisions of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are solely for the benefit of the parties to this Agreement, and no Continuing Employee (including any beneficiary or dependent thereof) shall be regarded for any purpose as a third party beneficiary of this Agreement, and no provision of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shall create such rights in any such Persons.</w:t>
      </w:r>
    </w:p>
    <w:p>
      <w:pPr>
        <w:spacing w:after="0" w:line="56"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Obligations of Merger Sub</w:t>
      </w:r>
      <w:r>
        <w:rPr>
          <w:rFonts w:ascii="Arial" w:cs="Arial" w:eastAsia="Arial" w:hAnsi="Arial"/>
          <w:sz w:val="17"/>
          <w:szCs w:val="17"/>
          <w:color w:val="auto"/>
        </w:rPr>
        <w:t>. Parent shall take all actions necessary to cause Merger Sub and the Surviving Corporation to perform their respective obligations under this Agreement before and after the Effective Time, as applicable (including, with respect to Merger Sub, to consummate the transactions contemplated hereby upon the terms and subject to the conditions set forth in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000"/>
          </w:cols>
          <w:pgMar w:left="440" w:top="490" w:right="459" w:bottom="1440" w:gutter="0" w:footer="0" w:header="0"/>
        </w:sectPr>
      </w:pPr>
    </w:p>
    <w:bookmarkStart w:id="79" w:name="page80"/>
    <w:bookmarkEnd w:id="79"/>
    <w:p>
      <w:pPr>
        <w:ind w:right="6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6.11 </w:t>
      </w:r>
      <w:r>
        <w:rPr>
          <w:rFonts w:ascii="Arial" w:cs="Arial" w:eastAsia="Arial" w:hAnsi="Arial"/>
          <w:sz w:val="18"/>
          <w:szCs w:val="18"/>
          <w:u w:val="single" w:color="auto"/>
          <w:color w:val="auto"/>
        </w:rPr>
        <w:t>Certain Litigation</w:t>
      </w:r>
      <w:r>
        <w:rPr>
          <w:rFonts w:ascii="Arial" w:cs="Arial" w:eastAsia="Arial" w:hAnsi="Arial"/>
          <w:sz w:val="18"/>
          <w:szCs w:val="18"/>
          <w:color w:val="auto"/>
        </w:rPr>
        <w:t>. The Company shall promptly advise Parent of any Legal Proceeding commenced after the date hereof against the Company and/or any of its directors or officers (in their capacity as such) by any Company Stockholders (on their own behalf or on behalf of the Company) relating to this Agreement or any of the transactions contemplated hereby, and shall keep Parent reasonably informed regarding any such Legal Proceeding. Subject to execution of a customary joint defense agreement, the Company shall give Parent the opportunity to consult with the Company regarding, and participate in, but not control, the defense of any such Legal Proceeding and if Parent does not exercise such right to participate, keep Parent fully and promptly informed with respect to such Legal Proceeding and all material developments relating thereto. The Company may enter into any settlement agreement in respect of such Legal Proceeding against the Company and/or its directors or officers relating to this Agreement or any of the transactions contemplated hereby if it has received Parent’s prior written consent (which consent shall not be unreasonably withheld, conditioned or delayed).</w:t>
      </w:r>
    </w:p>
    <w:p>
      <w:pPr>
        <w:spacing w:after="0" w:line="88"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Delisting</w:t>
      </w:r>
      <w:r>
        <w:rPr>
          <w:rFonts w:ascii="Arial" w:cs="Arial" w:eastAsia="Arial" w:hAnsi="Arial"/>
          <w:sz w:val="18"/>
          <w:szCs w:val="18"/>
          <w:color w:val="auto"/>
        </w:rPr>
        <w:t xml:space="preserve">. Each of the parties agrees to reasonably cooperate with the other parties in taking, or causing to be taken, all actions necessary to delist the Shares from NASDAQ and terminate the Company’s registration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delisting and termination shall not be effective until after the Effective Time.</w:t>
      </w:r>
    </w:p>
    <w:p>
      <w:pPr>
        <w:spacing w:after="0" w:line="76"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Merger Sub Stockholder Consent</w:t>
      </w:r>
      <w:r>
        <w:rPr>
          <w:rFonts w:ascii="Arial" w:cs="Arial" w:eastAsia="Arial" w:hAnsi="Arial"/>
          <w:sz w:val="17"/>
          <w:szCs w:val="17"/>
          <w:color w:val="auto"/>
        </w:rPr>
        <w:t>. Immediately following the execution and delivery of this Agreement by each of the parties hereto, Parent shall cause the sole stockholder of Merger Sub to duly execute and deliver a written consent duly adopting this Agreement and the transactions contemplated hereby in accordance with the DGCL and the certificate of incorporation and bylaws of Merger Sub.</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7" w:lineRule="auto"/>
        <w:tabs>
          <w:tab w:leader="none" w:pos="12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to the Effective Time, each of Parent, Merger Sub and the Company shall cooperate in good faith and use reasonable best efforts, including by providing any of its readily available financial information, to implement any necessary, appropriate or desirable arrangements in anticipation of the consummation of the Merger and the other transactions contemplated by this Agreement, relating to Indebtedness of Parent, Merger Sub, the Company and their respective Subsidiaries, including arrangements by way of amendments, consents, redemption, payoff, new financing or otherwise.</w:t>
      </w:r>
    </w:p>
    <w:p>
      <w:pPr>
        <w:spacing w:after="0" w:line="79" w:lineRule="exact"/>
        <w:rPr>
          <w:rFonts w:ascii="Arial" w:cs="Arial" w:eastAsia="Arial" w:hAnsi="Arial"/>
          <w:sz w:val="18"/>
          <w:szCs w:val="18"/>
          <w:color w:val="auto"/>
        </w:rPr>
      </w:pPr>
    </w:p>
    <w:p>
      <w:pPr>
        <w:ind w:firstLine="987"/>
        <w:spacing w:after="0" w:line="272" w:lineRule="auto"/>
        <w:tabs>
          <w:tab w:leader="none" w:pos="1246"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6.14(a)</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shall require any such cooperation to the extent that it would (i) require Parent, Merger Sub or the Company to waive, amend or otherwise modify any terms of this Agreement, (ii) unreasonably interfere with the ongoing business or operations of Parent, Merger Sub, the Company or any of their respective Subsidiaries, (iii) require Parent, Merger Sub, the Company or any of their respective Subsidiaries to take any action that would reasonably be expected to conflict with its certificate of incorporation or bylaws (or other applicable governing documents), violate any applicable Laws or result in the contravention of, or that would reasonably be expected to result in a violation or breach of, or default under, any Material Contract, as the case may be, or (iv) require the Company or any of its Subsidiaries to enter into or approve any agreement or arrangement prior to the Effective Time.</w:t>
      </w:r>
    </w:p>
    <w:p>
      <w:pPr>
        <w:spacing w:after="0" w:line="109" w:lineRule="exact"/>
        <w:rPr>
          <w:rFonts w:ascii="Arial" w:cs="Arial" w:eastAsia="Arial" w:hAnsi="Arial"/>
          <w:sz w:val="17"/>
          <w:szCs w:val="17"/>
          <w:color w:val="auto"/>
        </w:rPr>
      </w:pPr>
    </w:p>
    <w:p>
      <w:pPr>
        <w:ind w:left="5420" w:hanging="111"/>
        <w:spacing w:after="0"/>
        <w:tabs>
          <w:tab w:leader="none" w:pos="54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980"/>
          </w:cols>
          <w:pgMar w:left="440" w:top="490" w:right="479" w:bottom="1440" w:gutter="0" w:footer="0" w:header="0"/>
        </w:sectPr>
      </w:pPr>
    </w:p>
    <w:bookmarkStart w:id="80" w:name="page81"/>
    <w:bookmarkEnd w:id="80"/>
    <w:p>
      <w:pPr>
        <w:jc w:val="both"/>
        <w:ind w:right="220" w:firstLine="987"/>
        <w:spacing w:after="0" w:line="263" w:lineRule="auto"/>
        <w:tabs>
          <w:tab w:leader="none" w:pos="12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If this Agreement is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then Parent shall reimburse the Company for the reasonable and documented out-of-pocket costs and expenses incurred by the Company and any of its Subsidiaries and its and their respective Representatives in connection with actions contemplated by </w:t>
      </w:r>
      <w:r>
        <w:rPr>
          <w:rFonts w:ascii="Arial" w:cs="Arial" w:eastAsia="Arial" w:hAnsi="Arial"/>
          <w:sz w:val="18"/>
          <w:szCs w:val="18"/>
          <w:u w:val="single" w:color="auto"/>
          <w:color w:val="auto"/>
        </w:rPr>
        <w:t>Section 6.14(a)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Parent and Merger Sub acknowledges and agrees that, notwithstanding anything to the contrary in this Agreement, the availability of any financing or any other arrangement with respect to Indebtedness of Parent, Merger Sub or the Company shall not be deemed to relieve Parent and Merger Sub of their obligations to consummate the Merger and the other transactions contemplated by this Agreement in accordance with the terms of this Agreement.</w:t>
      </w:r>
    </w:p>
    <w:p>
      <w:pPr>
        <w:spacing w:after="0" w:line="78" w:lineRule="exact"/>
        <w:rPr>
          <w:rFonts w:ascii="Arial" w:cs="Arial" w:eastAsia="Arial" w:hAnsi="Arial"/>
          <w:sz w:val="18"/>
          <w:szCs w:val="18"/>
          <w:color w:val="auto"/>
        </w:rPr>
      </w:pPr>
    </w:p>
    <w:p>
      <w:pPr>
        <w:ind w:right="140" w:firstLine="987"/>
        <w:spacing w:after="0" w:line="255" w:lineRule="auto"/>
        <w:tabs>
          <w:tab w:leader="none" w:pos="12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shall (a) deliver to Parent at least three (3) Business Days prior to the Closing Date customary payoff letters from the holders of Indebtedness set forth in Section 6.14(e) of the Company Disclosure Letter and use reasonable best efforts to make arrangements for such holders of Indebtedness to deliver, subject to the receipt of the applicable payoff amounts, releases of all related Liens to Parent and termination of all related guarantees at, and subject to the occurrence of, the Closing and (b) if requested by Parent, facilitate Parent’s or Merger Sub’s repayment of such Indebtedness substantially concurrently with the Closing (including by executing any such payoff letters or related documents regarding the release of Liens or termination of guarantees).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MERGER</w:t>
      </w:r>
    </w:p>
    <w:p>
      <w:pPr>
        <w:spacing w:after="0" w:line="211"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Conditions to the Obligations of Each Party to Effect the Merger</w:t>
      </w:r>
      <w:r>
        <w:rPr>
          <w:rFonts w:ascii="Arial" w:cs="Arial" w:eastAsia="Arial" w:hAnsi="Arial"/>
          <w:sz w:val="17"/>
          <w:szCs w:val="17"/>
          <w:color w:val="auto"/>
        </w:rPr>
        <w:t>. The respective obligations of each of Parent, Merger Sub and the Company to effect the Merger shall be subject to the satisfaction at or prior to the Effective Time of each of the following conditions, any and all of which may be waived in whole or in part by mutual consent of Parent, Merger Sub and the Company, to the extent permitted by applicable Law:</w:t>
      </w:r>
    </w:p>
    <w:p>
      <w:pPr>
        <w:spacing w:after="0" w:line="57" w:lineRule="exact"/>
        <w:rPr>
          <w:sz w:val="20"/>
          <w:szCs w:val="20"/>
          <w:color w:val="auto"/>
        </w:rPr>
      </w:pPr>
    </w:p>
    <w:p>
      <w:pPr>
        <w:ind w:left="1240" w:hanging="253"/>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Stockholder Approval shall have been obtained;</w:t>
      </w:r>
    </w:p>
    <w:p>
      <w:pPr>
        <w:spacing w:after="0" w:line="117"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waiting period (and extensions thereof) applicable to the transactions contemplated by this Agreement under the HSR Act shall have expired or been terminated; and</w:t>
      </w:r>
    </w:p>
    <w:p>
      <w:pPr>
        <w:spacing w:after="0" w:line="62" w:lineRule="exact"/>
        <w:rPr>
          <w:rFonts w:ascii="Arial" w:cs="Arial" w:eastAsia="Arial" w:hAnsi="Arial"/>
          <w:sz w:val="18"/>
          <w:szCs w:val="18"/>
          <w:color w:val="auto"/>
        </w:rPr>
      </w:pPr>
    </w:p>
    <w:p>
      <w:pPr>
        <w:ind w:right="180" w:firstLine="987"/>
        <w:spacing w:after="0" w:line="257" w:lineRule="auto"/>
        <w:tabs>
          <w:tab w:leader="none" w:pos="12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Governmental Authority of competent and applicable jurisdiction shall have (i) enacted, issued or promulgated any Law that is in effect and has the effect of making the Merger or the acquisition of Shares by Parent or Merger Sub illegal or prohibiting or otherwise preventing the consummation of the acquisition of Shares by Parent or Merger Sub or the Merger or (ii) issued or granted any Order that is in effect and has the effect of making the Merger or the acquisition of Shares by Parent or Merger Sub illegal or prohibiting or otherwise preventing the consummation of the acquisition of Shares by Parent or Merger Sub or the Merger.</w:t>
      </w:r>
    </w:p>
    <w:p>
      <w:pPr>
        <w:spacing w:after="0" w:line="8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Conditions to the Obligations of Parent and Merger Sub to Effect the Merger</w:t>
      </w:r>
      <w:r>
        <w:rPr>
          <w:rFonts w:ascii="Arial" w:cs="Arial" w:eastAsia="Arial" w:hAnsi="Arial"/>
          <w:sz w:val="18"/>
          <w:szCs w:val="18"/>
          <w:color w:val="auto"/>
        </w:rPr>
        <w:t>. The respective obligations of Parent and Merger Sub to effect the Merger shall be subject to the satisfaction at or prior to the Effective Time of each of the following conditions, any and all of which may be waived in whole or in part by Parent, to the extent permitted by applicable Law:</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representations and warranties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020"/>
          </w:cols>
          <w:pgMar w:left="440" w:top="490" w:right="439" w:bottom="1440" w:gutter="0" w:footer="0" w:header="0"/>
        </w:sectPr>
      </w:pPr>
    </w:p>
    <w:bookmarkStart w:id="81" w:name="page82"/>
    <w:bookmarkEnd w:id="81"/>
    <w:p>
      <w:pPr>
        <w:ind w:right="40" w:firstLine="1428"/>
        <w:spacing w:after="0" w:line="277" w:lineRule="auto"/>
        <w:tabs>
          <w:tab w:leader="none" w:pos="16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contained in </w:t>
      </w: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shall be true and correct in all respects as of the date of this Agreement and as of the Closing Date as though made as of such date;</w:t>
      </w:r>
    </w:p>
    <w:p>
      <w:pPr>
        <w:spacing w:after="0" w:line="62" w:lineRule="exact"/>
        <w:rPr>
          <w:rFonts w:ascii="Arial" w:cs="Arial" w:eastAsia="Arial" w:hAnsi="Arial"/>
          <w:sz w:val="18"/>
          <w:szCs w:val="18"/>
          <w:color w:val="auto"/>
        </w:rPr>
      </w:pPr>
    </w:p>
    <w:p>
      <w:pPr>
        <w:ind w:right="200" w:firstLine="1428"/>
        <w:spacing w:after="0" w:line="311" w:lineRule="auto"/>
        <w:tabs>
          <w:tab w:leader="none" w:pos="169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contained in the first and second sentences of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the first sentence of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shall be true and correct in all respects (except for any inaccuracies that individually and in the aggregate are </w:t>
      </w:r>
      <w:r>
        <w:rPr>
          <w:rFonts w:ascii="Arial" w:cs="Arial" w:eastAsia="Arial" w:hAnsi="Arial"/>
          <w:sz w:val="16"/>
          <w:szCs w:val="16"/>
          <w:i w:val="1"/>
          <w:iCs w:val="1"/>
          <w:color w:val="auto"/>
        </w:rPr>
        <w:t>de minimis</w:t>
      </w:r>
      <w:r>
        <w:rPr>
          <w:rFonts w:ascii="Arial" w:cs="Arial" w:eastAsia="Arial" w:hAnsi="Arial"/>
          <w:sz w:val="16"/>
          <w:szCs w:val="16"/>
          <w:color w:val="auto"/>
        </w:rPr>
        <w:t>) as of the date of this Agreement and as of the Closing Date as though made as of such date (except to the extent expressly made as of an earlier date, in which case, as of such earlier date);</w:t>
      </w:r>
    </w:p>
    <w:p>
      <w:pPr>
        <w:spacing w:after="0" w:line="40" w:lineRule="exact"/>
        <w:rPr>
          <w:rFonts w:ascii="Arial" w:cs="Arial" w:eastAsia="Arial" w:hAnsi="Arial"/>
          <w:sz w:val="16"/>
          <w:szCs w:val="16"/>
          <w:color w:val="auto"/>
        </w:rPr>
      </w:pPr>
    </w:p>
    <w:p>
      <w:pPr>
        <w:ind w:firstLine="1428"/>
        <w:spacing w:after="0" w:line="257" w:lineRule="auto"/>
        <w:tabs>
          <w:tab w:leader="none" w:pos="17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contained in the first sentence of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(other than the first and second sentences of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and the first sentence of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(without giving effect to any qualification as to “materiality” or Company Material Adverse Effect qualifiers set forth therein) shall be true and correct in all material respects at and as of the date of this Agreement and as of the Closing Date as though made as of such date (except to the extent expressly made as of an earlier date, in which case, as of such earlier date); and</w:t>
      </w:r>
    </w:p>
    <w:p>
      <w:pPr>
        <w:spacing w:after="0" w:line="79" w:lineRule="exact"/>
        <w:rPr>
          <w:rFonts w:ascii="Arial" w:cs="Arial" w:eastAsia="Arial" w:hAnsi="Arial"/>
          <w:sz w:val="18"/>
          <w:szCs w:val="18"/>
          <w:color w:val="auto"/>
        </w:rPr>
      </w:pPr>
    </w:p>
    <w:p>
      <w:pPr>
        <w:ind w:right="40" w:firstLine="1428"/>
        <w:spacing w:after="0" w:line="257" w:lineRule="auto"/>
        <w:tabs>
          <w:tab w:leader="none" w:pos="173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not included in the preceding clauses (i), (ii) and (iii) (without giving effect to any qualification as to “materiality” or Company Material Adverse Effect qualifiers set forth therein) shall be true and correct in all respects as of the date of this Agreement and as of the Closing Date as though made as of such date (except to the extent expressly made as of an earlier date, in which case, as of such earlier date), except, in the case of this clause (iv), where the failure to be so true and correct would not, individually or in the aggregate, reasonably be expected to have a Company Material Adverse Effect;</w:t>
      </w:r>
    </w:p>
    <w:p>
      <w:pPr>
        <w:spacing w:after="0" w:line="79" w:lineRule="exact"/>
        <w:rPr>
          <w:rFonts w:ascii="Arial" w:cs="Arial" w:eastAsia="Arial" w:hAnsi="Arial"/>
          <w:sz w:val="18"/>
          <w:szCs w:val="18"/>
          <w:color w:val="auto"/>
        </w:rPr>
      </w:pPr>
    </w:p>
    <w:p>
      <w:pPr>
        <w:ind w:firstLine="987"/>
        <w:spacing w:after="0" w:line="277"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shall have performed, and complied with, in all material respects the agreements and covenants required to be performed, or complied with, by it under the Agreement at or prior to the Effective Time;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since the date of this Agreement, there shall not have occurred any Company Material Adverse Effect;</w:t>
      </w:r>
    </w:p>
    <w:p>
      <w:pPr>
        <w:spacing w:after="0" w:line="117" w:lineRule="exact"/>
        <w:rPr>
          <w:rFonts w:ascii="Arial" w:cs="Arial" w:eastAsia="Arial" w:hAnsi="Arial"/>
          <w:sz w:val="18"/>
          <w:szCs w:val="18"/>
          <w:color w:val="auto"/>
        </w:rPr>
      </w:pPr>
    </w:p>
    <w:p>
      <w:pPr>
        <w:ind w:right="540" w:firstLine="987"/>
        <w:spacing w:after="0" w:line="277"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certificate, signed on behalf of the Company by its chief executive officer or chief financial officer, certifying that the conditions set forth in </w:t>
      </w:r>
      <w:r>
        <w:rPr>
          <w:rFonts w:ascii="Arial" w:cs="Arial" w:eastAsia="Arial" w:hAnsi="Arial"/>
          <w:sz w:val="18"/>
          <w:szCs w:val="18"/>
          <w:u w:val="single" w:color="auto"/>
          <w:color w:val="auto"/>
        </w:rPr>
        <w:t>Sections 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7.2(b)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7.2(c)</w:t>
      </w:r>
      <w:r>
        <w:rPr>
          <w:rFonts w:ascii="Arial" w:cs="Arial" w:eastAsia="Arial" w:hAnsi="Arial"/>
          <w:sz w:val="18"/>
          <w:szCs w:val="18"/>
          <w:color w:val="auto"/>
        </w:rPr>
        <w:t xml:space="preserve"> have been satisfied;</w:t>
      </w:r>
    </w:p>
    <w:p>
      <w:pPr>
        <w:spacing w:after="0" w:line="62" w:lineRule="exact"/>
        <w:rPr>
          <w:rFonts w:ascii="Arial" w:cs="Arial" w:eastAsia="Arial" w:hAnsi="Arial"/>
          <w:sz w:val="18"/>
          <w:szCs w:val="18"/>
          <w:color w:val="auto"/>
        </w:rPr>
      </w:pPr>
    </w:p>
    <w:p>
      <w:pPr>
        <w:ind w:right="80" w:firstLine="987"/>
        <w:spacing w:after="0" w:line="257" w:lineRule="auto"/>
        <w:tabs>
          <w:tab w:leader="none" w:pos="12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no Governmental Authority of competent and applicable jurisdiction shall have (A) enacted, issued or promulgated any Law that is in effect and imposes a Burdensome Condition or (B) issued or granted any Order that is in effect and imposes a Burdensome Condition and (ii) there shall not be any pending Legal Proceeding brought by any Governmental Authority that seeks to (A) have the effect of making the Merger or the acquisition of Shares by Parent or Merger Sub illegal or prohibiting or otherwise preventing the consummation of the acquisition of Shares by Parent or Merger Sub or the Merger or (B) impose a Burdensome Condition.</w:t>
      </w:r>
    </w:p>
    <w:p>
      <w:pPr>
        <w:spacing w:after="0" w:line="8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Conditions to the Obligations of the Company to Effect the Merger</w:t>
      </w:r>
      <w:r>
        <w:rPr>
          <w:rFonts w:ascii="Arial" w:cs="Arial" w:eastAsia="Arial" w:hAnsi="Arial"/>
          <w:sz w:val="18"/>
          <w:szCs w:val="18"/>
          <w:color w:val="auto"/>
        </w:rPr>
        <w:t>. The obligations of the Company to effect the Merger shall be subject to the satisfaction at or prior to the Effective Time of each of the following conditions, any and all of which may be waived in whole or in part by the Company, to the extent permitted by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000"/>
          </w:cols>
          <w:pgMar w:left="440" w:top="490" w:right="459" w:bottom="1440" w:gutter="0" w:footer="0" w:header="0"/>
        </w:sectPr>
      </w:pPr>
    </w:p>
    <w:bookmarkStart w:id="82" w:name="page83"/>
    <w:bookmarkEnd w:id="82"/>
    <w:p>
      <w:pPr>
        <w:ind w:right="160" w:firstLine="987"/>
        <w:spacing w:after="0" w:line="257" w:lineRule="auto"/>
        <w:tabs>
          <w:tab w:leader="none" w:pos="12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representations and warranties of Parent and Merger Sub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true and correct (without giving effect to any qualification as to “materiality” qualifiers set forth therein) as of the date of this Agreement and as of the Closing Date as though made as of such date (except to the extent expressly made as of an earlier date, in which case, at and as of such earlier date), except where the failure to be so true and correct would not reasonably be expected to prevent, materially delay or materially impair the ability of Parent or Merger Sub to consummate the Merger or the other transactions contemplated hereby;</w:t>
      </w:r>
    </w:p>
    <w:p>
      <w:pPr>
        <w:spacing w:after="0" w:line="79" w:lineRule="exact"/>
        <w:rPr>
          <w:rFonts w:ascii="Arial" w:cs="Arial" w:eastAsia="Arial" w:hAnsi="Arial"/>
          <w:sz w:val="18"/>
          <w:szCs w:val="18"/>
          <w:color w:val="auto"/>
        </w:rPr>
      </w:pPr>
    </w:p>
    <w:p>
      <w:pPr>
        <w:ind w:right="620" w:firstLine="987"/>
        <w:spacing w:after="0" w:line="277"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Parent and Merger Sub shall have performed, and complied with, in all material respects the agreements and covenants required to be performed, or complied with, by it under the Agreement at or prior to the Effective Time; and</w:t>
      </w:r>
    </w:p>
    <w:p>
      <w:pPr>
        <w:spacing w:after="0" w:line="62" w:lineRule="exact"/>
        <w:rPr>
          <w:rFonts w:ascii="Arial" w:cs="Arial" w:eastAsia="Arial" w:hAnsi="Arial"/>
          <w:sz w:val="18"/>
          <w:szCs w:val="18"/>
          <w:color w:val="auto"/>
        </w:rPr>
      </w:pPr>
    </w:p>
    <w:p>
      <w:pPr>
        <w:ind w:right="100" w:firstLine="987"/>
        <w:spacing w:after="0" w:line="277" w:lineRule="auto"/>
        <w:tabs>
          <w:tab w:leader="none" w:pos="12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Parent shall have delivered to the Company a certificate, signed on behalf of Parent by an officer thereof, certifying that the conditions set forth in </w:t>
      </w:r>
      <w:r>
        <w:rPr>
          <w:rFonts w:ascii="Arial" w:cs="Arial" w:eastAsia="Arial" w:hAnsi="Arial"/>
          <w:sz w:val="18"/>
          <w:szCs w:val="18"/>
          <w:u w:val="single" w:color="auto"/>
          <w:color w:val="auto"/>
        </w:rPr>
        <w:t>Sections 7.3(a)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7.3(b)</w:t>
      </w:r>
      <w:r>
        <w:rPr>
          <w:rFonts w:ascii="Arial" w:cs="Arial" w:eastAsia="Arial" w:hAnsi="Arial"/>
          <w:sz w:val="18"/>
          <w:szCs w:val="18"/>
          <w:color w:val="auto"/>
        </w:rPr>
        <w:t xml:space="preserve"> have been satisfied.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w:t>
      </w:r>
      <w:r>
        <w:rPr>
          <w:rFonts w:ascii="Arial" w:cs="Arial" w:eastAsia="Arial" w:hAnsi="Arial"/>
          <w:sz w:val="22"/>
          <w:szCs w:val="22"/>
          <w:b w:val="1"/>
          <w:bCs w:val="1"/>
          <w:color w:val="auto"/>
        </w:rPr>
        <w:t xml:space="preserve"> AMENDMENT AND WAIVER</w:t>
      </w:r>
    </w:p>
    <w:p>
      <w:pPr>
        <w:spacing w:after="0" w:line="19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may be terminated and the transactions contemplated hereby may be abandoned at any time prior to the Effective Time (it being agreed that the party hereto terminating this Agreement pursuant to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shall give prompt written notice of such termination to the other party or parties hereto and that any termination by Parent also shall be an effective termination by Merger Sub):</w:t>
      </w:r>
    </w:p>
    <w:p>
      <w:pPr>
        <w:spacing w:after="0" w:line="57" w:lineRule="exact"/>
        <w:rPr>
          <w:sz w:val="20"/>
          <w:szCs w:val="20"/>
          <w:color w:val="auto"/>
        </w:rPr>
      </w:pPr>
    </w:p>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either Parent or the Company:</w:t>
      </w:r>
    </w:p>
    <w:p>
      <w:pPr>
        <w:spacing w:after="0" w:line="117" w:lineRule="exact"/>
        <w:rPr>
          <w:rFonts w:ascii="Arial" w:cs="Arial" w:eastAsia="Arial" w:hAnsi="Arial"/>
          <w:sz w:val="18"/>
          <w:szCs w:val="18"/>
          <w:color w:val="auto"/>
        </w:rPr>
      </w:pPr>
    </w:p>
    <w:p>
      <w:pPr>
        <w:ind w:right="60" w:firstLine="1428"/>
        <w:spacing w:after="0" w:line="270" w:lineRule="auto"/>
        <w:tabs>
          <w:tab w:leader="none" w:pos="164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if the Effective Time shall not have occurred on or before January 28, 2024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as of such date,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(solely to the extent that such Law or Order arises under the HSR Act or any other Antitrust Law)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have not been satisfied, then the Outside Date will be automatically extended for ninety (90) days (and such date will be the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Extended Outside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in the event that on the First Extended Outside Date,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(solely to the extent that such Law or Order arises under the HSR Act or any other Antitrust Law)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have not been satisfied, then the Outside Date will be automatically extended for a second period of ninety (90) days (and such date will then be the “</w:t>
      </w:r>
      <w:r>
        <w:rPr>
          <w:rFonts w:ascii="Arial" w:cs="Arial" w:eastAsia="Arial" w:hAnsi="Arial"/>
          <w:sz w:val="17"/>
          <w:szCs w:val="17"/>
          <w:u w:val="single" w:color="auto"/>
          <w:color w:val="auto"/>
        </w:rPr>
        <w:t>Second Extended Outside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right to terminate this Agreement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8.1(b)(i)</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available to any party hereto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shall include, in the case of Parent, Parent and Merger Sub) whose breach of its obligations under this Agreement has been a principal cause of the failure of the Effective Time to occur on or before the date of such termination; or</w:t>
      </w:r>
    </w:p>
    <w:p>
      <w:pPr>
        <w:spacing w:after="0" w:line="72" w:lineRule="exact"/>
        <w:rPr>
          <w:rFonts w:ascii="Arial" w:cs="Arial" w:eastAsia="Arial" w:hAnsi="Arial"/>
          <w:sz w:val="17"/>
          <w:szCs w:val="17"/>
          <w:color w:val="auto"/>
        </w:rPr>
      </w:pPr>
    </w:p>
    <w:p>
      <w:pPr>
        <w:ind w:right="300" w:firstLine="1428"/>
        <w:spacing w:after="0" w:line="263" w:lineRule="auto"/>
        <w:tabs>
          <w:tab w:leader="none" w:pos="169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any court of competent jurisdiction or any other Governmental Authority of competent jurisdiction shall have issued any Order, or any Law shall be in effect that was enacted, promulgated or deemed applicable to the Merger by any Governmental Authority of competent jurisdiction, in each case, permanently restraining, enjoining, preventing or otherwise</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020"/>
          </w:cols>
          <w:pgMar w:left="440" w:top="490" w:right="439" w:bottom="1440" w:gutter="0" w:footer="0" w:header="0"/>
        </w:sectPr>
      </w:pPr>
    </w:p>
    <w:bookmarkStart w:id="83" w:name="page84"/>
    <w:bookmarkEnd w:id="83"/>
    <w:p>
      <w:pPr>
        <w:ind w:left="4"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prohibiting or making illegal the consummation of the Merger, and, in each case, such Order or Law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terminate this Agreement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8.1(b)(ii)</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any party hereto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 the case of Parent, Parent and Merger Sub) whose breach of its obligations under this Agreement has been the principal cause of such permanent restraint, enjoinment, prevention, prohibition or illegality; or</w:t>
      </w:r>
    </w:p>
    <w:p>
      <w:pPr>
        <w:spacing w:after="0" w:line="79" w:lineRule="exact"/>
        <w:rPr>
          <w:sz w:val="20"/>
          <w:szCs w:val="20"/>
          <w:color w:val="auto"/>
        </w:rPr>
      </w:pPr>
    </w:p>
    <w:p>
      <w:pPr>
        <w:ind w:left="4" w:right="400" w:firstLine="1428"/>
        <w:spacing w:after="0" w:line="277" w:lineRule="auto"/>
        <w:tabs>
          <w:tab w:leader="none" w:pos="1751"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Stockholders Meeting shall have been held and the Stockholder Approval shall not have been obtained thereat or at any adjournment or postponement thereof;</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the Company, in the event that:</w:t>
      </w:r>
    </w:p>
    <w:p>
      <w:pPr>
        <w:spacing w:after="0" w:line="117" w:lineRule="exact"/>
        <w:rPr>
          <w:rFonts w:ascii="Arial" w:cs="Arial" w:eastAsia="Arial" w:hAnsi="Arial"/>
          <w:sz w:val="18"/>
          <w:szCs w:val="18"/>
          <w:color w:val="auto"/>
        </w:rPr>
      </w:pPr>
    </w:p>
    <w:p>
      <w:pPr>
        <w:ind w:left="4" w:right="60" w:firstLine="1428"/>
        <w:spacing w:after="0" w:line="284" w:lineRule="auto"/>
        <w:tabs>
          <w:tab w:leader="none" w:pos="1651"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(A) the Company is not in breach of this Agreement such that Parent has the right (or would have the right following notice and an opportunity to cure, if applicable) to terminate this Agreement pursuant to </w:t>
      </w:r>
      <w:r>
        <w:rPr>
          <w:rFonts w:ascii="Arial" w:cs="Arial" w:eastAsia="Arial" w:hAnsi="Arial"/>
          <w:sz w:val="16"/>
          <w:szCs w:val="16"/>
          <w:u w:val="single" w:color="auto"/>
          <w:color w:val="auto"/>
        </w:rPr>
        <w:t>Section 8.1(d)(i)</w:t>
      </w:r>
      <w:r>
        <w:rPr>
          <w:rFonts w:ascii="Arial" w:cs="Arial" w:eastAsia="Arial" w:hAnsi="Arial"/>
          <w:sz w:val="16"/>
          <w:szCs w:val="16"/>
          <w:color w:val="auto"/>
        </w:rPr>
        <w:t>, (B) Parent and/or Merger Sub shall have breached or otherwise failed to perform any of their respective covenants, agreements or other obligations under this Agreement, or any of the representations and warranties of Parent and Merger Sub set forth in this Agreement shall have become or been inaccurate, which breach, failure to perform or inaccuracy, individually or in the aggregate with other such breaches, failures to perform or inaccuracies, would reasonably be expected to prevent, materially delay or materially impair the ability of Parent or Merger Sub to consummate the Merger or the other transactions contemplated hereby, and (C) such breach, failure to perform or inaccuracy of Parent and/or Merger Sub is not capable of being cured by the Outside Date or is not cured within twenty</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Business Days following the Company’s delivery of written notice to Parent of such breach, failure to perform or inaccuracy; or</w:t>
      </w:r>
    </w:p>
    <w:p>
      <w:pPr>
        <w:spacing w:after="0" w:line="102" w:lineRule="exact"/>
        <w:rPr>
          <w:rFonts w:ascii="Arial" w:cs="Arial" w:eastAsia="Arial" w:hAnsi="Arial"/>
          <w:sz w:val="18"/>
          <w:szCs w:val="18"/>
          <w:color w:val="auto"/>
        </w:rPr>
      </w:pPr>
    </w:p>
    <w:p>
      <w:pPr>
        <w:ind w:left="4" w:firstLine="1428"/>
        <w:spacing w:after="0" w:line="279" w:lineRule="auto"/>
        <w:tabs>
          <w:tab w:leader="none" w:pos="1701" w:val="left"/>
        </w:tabs>
        <w:numPr>
          <w:ilvl w:val="2"/>
          <w:numId w:val="108"/>
        </w:numPr>
        <w:rPr>
          <w:rFonts w:ascii="Arial" w:cs="Arial" w:eastAsia="Arial" w:hAnsi="Arial"/>
          <w:sz w:val="17"/>
          <w:szCs w:val="17"/>
          <w:color w:val="auto"/>
        </w:rPr>
      </w:pPr>
      <w:r>
        <w:rPr>
          <w:rFonts w:ascii="Arial" w:cs="Arial" w:eastAsia="Arial" w:hAnsi="Arial"/>
          <w:sz w:val="17"/>
          <w:szCs w:val="17"/>
          <w:color w:val="auto"/>
        </w:rPr>
        <w:t xml:space="preserve">prior to receipt of the Stockholder Approval, if (A) the Company Board shall have determined to terminate this Agreement in accordance with the terms set forth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(including that the Company has complied in all material respects with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in order to concurrently with such termination enter into a definitive agreement implementing a Superior Proposal, and (B) the Company concurrently pays Parent the Company Termination Fee payable to Parent pursuant to </w:t>
      </w:r>
      <w:r>
        <w:rPr>
          <w:rFonts w:ascii="Arial" w:cs="Arial" w:eastAsia="Arial" w:hAnsi="Arial"/>
          <w:sz w:val="17"/>
          <w:szCs w:val="17"/>
          <w:u w:val="single" w:color="auto"/>
          <w:color w:val="auto"/>
        </w:rPr>
        <w:t>Section 8.3(c)(ii)</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left="1244" w:hanging="253"/>
        <w:spacing w:after="0"/>
        <w:tabs>
          <w:tab w:leader="none" w:pos="124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Parent in the event that:</w:t>
      </w:r>
    </w:p>
    <w:p>
      <w:pPr>
        <w:spacing w:after="0" w:line="117" w:lineRule="exact"/>
        <w:rPr>
          <w:rFonts w:ascii="Arial" w:cs="Arial" w:eastAsia="Arial" w:hAnsi="Arial"/>
          <w:sz w:val="18"/>
          <w:szCs w:val="18"/>
          <w:color w:val="auto"/>
        </w:rPr>
      </w:pPr>
    </w:p>
    <w:p>
      <w:pPr>
        <w:ind w:left="4" w:firstLine="1428"/>
        <w:spacing w:after="0" w:line="270" w:lineRule="auto"/>
        <w:tabs>
          <w:tab w:leader="none" w:pos="1651" w:val="left"/>
        </w:tabs>
        <w:numPr>
          <w:ilvl w:val="2"/>
          <w:numId w:val="109"/>
        </w:numPr>
        <w:rPr>
          <w:rFonts w:ascii="Arial" w:cs="Arial" w:eastAsia="Arial" w:hAnsi="Arial"/>
          <w:sz w:val="17"/>
          <w:szCs w:val="17"/>
          <w:color w:val="auto"/>
        </w:rPr>
      </w:pPr>
      <w:r>
        <w:rPr>
          <w:rFonts w:ascii="Arial" w:cs="Arial" w:eastAsia="Arial" w:hAnsi="Arial"/>
          <w:sz w:val="17"/>
          <w:szCs w:val="17"/>
          <w:color w:val="auto"/>
        </w:rPr>
        <w:t xml:space="preserve">(A) Parent and Merger Sub are not in breach of this Agreement such that the Company has the right (or would have the right following notice and an opportunity to cure, if applicable) to terminate this Agreement pursuant to </w:t>
      </w:r>
      <w:r>
        <w:rPr>
          <w:rFonts w:ascii="Arial" w:cs="Arial" w:eastAsia="Arial" w:hAnsi="Arial"/>
          <w:sz w:val="17"/>
          <w:szCs w:val="17"/>
          <w:u w:val="single" w:color="auto"/>
          <w:color w:val="auto"/>
        </w:rPr>
        <w:t>Section 8.1(c)(i)</w:t>
      </w:r>
      <w:r>
        <w:rPr>
          <w:rFonts w:ascii="Arial" w:cs="Arial" w:eastAsia="Arial" w:hAnsi="Arial"/>
          <w:sz w:val="17"/>
          <w:szCs w:val="17"/>
          <w:color w:val="auto"/>
        </w:rPr>
        <w:t xml:space="preserve">, (B) the Company shall have breached or otherwise failed to perform any of its covenants, agreements or other obligations under this Agreement, which breach or failure to perform, individually or in the aggregate with any other breaches, failures to perform or inaccuracies, would give rise to the failure of the condition set forth in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to be satisfied if the Closing were occurring, or any of the representations and warranties of the Company set forth in this Agreement shall have become or been inaccurate, which inaccuracy, individually or in the aggregate with any other breaches, failures to perform or inaccuracies, would give rise to the failure of the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to be satisfied if the Closing were occurring, and (C) such breach, failure to perform or inaccuracy of the Company is not capable of being cured by the Outside Date or is not cured within twenty (20) Business Days following Parent’s delivery of written notice to the Company of such breach, failure to perform or inaccuracy;</w:t>
      </w:r>
    </w:p>
    <w:p>
      <w:pPr>
        <w:spacing w:after="0" w:line="113" w:lineRule="exact"/>
        <w:rPr>
          <w:rFonts w:ascii="Arial" w:cs="Arial" w:eastAsia="Arial" w:hAnsi="Arial"/>
          <w:sz w:val="17"/>
          <w:szCs w:val="17"/>
          <w:color w:val="auto"/>
        </w:rPr>
      </w:pPr>
    </w:p>
    <w:p>
      <w:pPr>
        <w:ind w:left="5424" w:hanging="111"/>
        <w:spacing w:after="0"/>
        <w:tabs>
          <w:tab w:leader="none" w:pos="5424" w:val="left"/>
        </w:tabs>
        <w:numPr>
          <w:ilvl w:val="3"/>
          <w:numId w:val="109"/>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004"/>
          </w:cols>
          <w:pgMar w:left="436" w:top="490" w:right="459" w:bottom="1440" w:gutter="0" w:footer="0" w:header="0"/>
        </w:sectPr>
      </w:pPr>
    </w:p>
    <w:bookmarkStart w:id="84" w:name="page85"/>
    <w:bookmarkEnd w:id="84"/>
    <w:p>
      <w:pPr>
        <w:ind w:right="260" w:firstLine="1428"/>
        <w:spacing w:after="0" w:line="275" w:lineRule="auto"/>
        <w:tabs>
          <w:tab w:leader="none" w:pos="1697" w:val="left"/>
        </w:tabs>
        <w:numPr>
          <w:ilvl w:val="0"/>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if any court of competent jurisdiction or any other Governmental Authority of competent jurisdiction shall have issued any Order, or any Law shall be in effect that was enacted, promulgated or deemed applicable to the Merger by any Governmental Authority of competent jurisdiction, in each case, imposing a Burdensome Condition, and, in each case, such Order or Law shall have become final and nonappealable;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right to terminate this Agreement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8.1(d)(ii)</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available to Parent if its or Merger Sub’s</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its obligations under this Agreement has been the principal cause of such imposition; or</w:t>
      </w:r>
    </w:p>
    <w:p>
      <w:pPr>
        <w:spacing w:after="0" w:line="68" w:lineRule="exact"/>
        <w:rPr>
          <w:rFonts w:ascii="Arial" w:cs="Arial" w:eastAsia="Arial" w:hAnsi="Arial"/>
          <w:sz w:val="17"/>
          <w:szCs w:val="17"/>
          <w:color w:val="auto"/>
        </w:rPr>
      </w:pPr>
    </w:p>
    <w:p>
      <w:pPr>
        <w:ind w:left="1740" w:hanging="312"/>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Company Board Recommendation Change shall have occurred.</w:t>
      </w:r>
    </w:p>
    <w:p>
      <w:pPr>
        <w:spacing w:after="0" w:line="117"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Notice of Termination; Effect of Termination</w:t>
      </w:r>
      <w:r>
        <w:rPr>
          <w:rFonts w:ascii="Arial" w:cs="Arial" w:eastAsia="Arial" w:hAnsi="Arial"/>
          <w:sz w:val="16"/>
          <w:szCs w:val="16"/>
          <w:color w:val="auto"/>
        </w:rPr>
        <w:t xml:space="preserve">. Any proper and valid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be effective immediately upon the delivery of written notice by the terminating party to the other party or parties hereto, as applicable, specifying the provision or provisions pursuant to which such termination is being effected. In the event of the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this Agreement shall be of no further force or effect and there shall be no liability of any party or parties hereto (or any director, officer, employee, Affiliate, agent or other representative of such party or parties) to the other party or parties hereto, as applicable, except (a) the penultimate sentence of</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6.14(c)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 terms of the Confidentiality Agreement, each of which shall survive the termination of this Agreement, and (b) that nothing herein shall relieve any party or parties hereto, as applicable, from any liability or damage resulting from any Common Law Fraud or Willful Breach of this Agreement that occurs prior to such termination (which liability or damages the parties acknowledge and agree may include damages based on loss of the economic benefit of the transactions contemplated by this Agreement to the Company Stockholders (taking into consideration all relevant matters, including other combination opportunities and the time value of money)).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342" w:lineRule="auto"/>
        <w:tabs>
          <w:tab w:leader="none" w:pos="123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set forth in this </w:t>
      </w:r>
      <w:r>
        <w:rPr>
          <w:rFonts w:ascii="Arial" w:cs="Arial" w:eastAsia="Arial" w:hAnsi="Arial"/>
          <w:sz w:val="16"/>
          <w:szCs w:val="16"/>
          <w:u w:val="single" w:color="auto"/>
          <w:color w:val="auto"/>
        </w:rPr>
        <w:t>Section 8.3</w:t>
      </w:r>
      <w:r>
        <w:rPr>
          <w:rFonts w:ascii="Arial" w:cs="Arial" w:eastAsia="Arial" w:hAnsi="Arial"/>
          <w:sz w:val="16"/>
          <w:szCs w:val="16"/>
          <w:color w:val="auto"/>
        </w:rPr>
        <w:t>, all fees and expenses incurred in connection with this Agreement and the transactions contemplated hereby shall be paid by the party or parties, as applicable, incurring such expenses whether or not the Merger is consummated.</w:t>
      </w:r>
    </w:p>
    <w:p>
      <w:pPr>
        <w:spacing w:after="0" w:line="15" w:lineRule="exact"/>
        <w:rPr>
          <w:rFonts w:ascii="Arial" w:cs="Arial" w:eastAsia="Arial" w:hAnsi="Arial"/>
          <w:sz w:val="16"/>
          <w:szCs w:val="16"/>
          <w:color w:val="auto"/>
        </w:rPr>
      </w:pPr>
    </w:p>
    <w:p>
      <w:pPr>
        <w:ind w:right="40" w:firstLine="987"/>
        <w:spacing w:after="0" w:line="311" w:lineRule="auto"/>
        <w:tabs>
          <w:tab w:leader="none" w:pos="1243"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Except as expressly provided in </w:t>
      </w:r>
      <w:r>
        <w:rPr>
          <w:rFonts w:ascii="Arial" w:cs="Arial" w:eastAsia="Arial" w:hAnsi="Arial"/>
          <w:sz w:val="16"/>
          <w:szCs w:val="16"/>
          <w:u w:val="single" w:color="auto"/>
          <w:color w:val="auto"/>
        </w:rPr>
        <w:t>Section 2.8(c)(i)</w:t>
      </w:r>
      <w:r>
        <w:rPr>
          <w:rFonts w:ascii="Arial" w:cs="Arial" w:eastAsia="Arial" w:hAnsi="Arial"/>
          <w:sz w:val="16"/>
          <w:szCs w:val="16"/>
          <w:color w:val="auto"/>
        </w:rPr>
        <w:t>, all transfer, documentary, sales, use, stamp, registration, value-added and other similar Taxes and fees incurred in connection with the transactions contemplated by this Agreement shall be paid by Parent and Merger Sub when due. Parent and Merger Sub shall prepare and file, at their expense, all Tax Returns and other documentation with respect to such Taxes and fees.</w:t>
      </w:r>
    </w:p>
    <w:p>
      <w:pPr>
        <w:spacing w:after="0" w:line="40" w:lineRule="exact"/>
        <w:rPr>
          <w:rFonts w:ascii="Arial" w:cs="Arial" w:eastAsia="Arial" w:hAnsi="Arial"/>
          <w:sz w:val="16"/>
          <w:szCs w:val="16"/>
          <w:color w:val="auto"/>
        </w:rPr>
      </w:pPr>
    </w:p>
    <w:p>
      <w:pPr>
        <w:ind w:right="360" w:firstLine="987"/>
        <w:spacing w:after="0" w:line="277" w:lineRule="auto"/>
        <w:tabs>
          <w:tab w:leader="none" w:pos="123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Company Termination Fee</w:t>
      </w:r>
      <w:r>
        <w:rPr>
          <w:rFonts w:ascii="Arial" w:cs="Arial" w:eastAsia="Arial" w:hAnsi="Arial"/>
          <w:sz w:val="18"/>
          <w:szCs w:val="18"/>
          <w:color w:val="auto"/>
        </w:rPr>
        <w:t>. The Company shall pay to Parent $264,000,000 (the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by wire transfer of immediately available funds to an account or accounts designated in writing by Parent, in the event that:</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0980"/>
          </w:cols>
          <w:pgMar w:left="440" w:top="490" w:right="479" w:bottom="1440" w:gutter="0" w:footer="0" w:header="0"/>
        </w:sectPr>
      </w:pPr>
    </w:p>
    <w:bookmarkStart w:id="85" w:name="page86"/>
    <w:bookmarkEnd w:id="85"/>
    <w:p>
      <w:pPr>
        <w:ind w:left="4" w:right="20" w:firstLine="1428"/>
        <w:spacing w:after="0" w:line="287" w:lineRule="auto"/>
        <w:tabs>
          <w:tab w:leader="none" w:pos="1651" w:val="left"/>
        </w:tabs>
        <w:numPr>
          <w:ilvl w:val="1"/>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 this Agreement is terminated by Parent or the Company pursuant to (1)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and, at the time of such termination, either (I) the conditions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(with respect to </w:t>
      </w:r>
      <w:r>
        <w:rPr>
          <w:rFonts w:ascii="Arial" w:cs="Arial" w:eastAsia="Arial" w:hAnsi="Arial"/>
          <w:sz w:val="16"/>
          <w:szCs w:val="16"/>
          <w:u w:val="single" w:color="auto"/>
          <w:color w:val="auto"/>
        </w:rPr>
        <w:t>Section 7.1(c)</w:t>
      </w:r>
      <w:r>
        <w:rPr>
          <w:rFonts w:ascii="Arial" w:cs="Arial" w:eastAsia="Arial" w:hAnsi="Arial"/>
          <w:sz w:val="16"/>
          <w:szCs w:val="16"/>
          <w:color w:val="auto"/>
        </w:rPr>
        <w:t>, solely to the extent that any such Law or Order arises under the HSR Act or any other Antitrust Laws) shall be satisfied or (II) the condition set forth in Section 7.1(a) shall not be satisfied or</w:t>
      </w:r>
    </w:p>
    <w:p>
      <w:pPr>
        <w:spacing w:after="0" w:line="2" w:lineRule="exact"/>
        <w:rPr>
          <w:rFonts w:ascii="Arial" w:cs="Arial" w:eastAsia="Arial" w:hAnsi="Arial"/>
          <w:sz w:val="16"/>
          <w:szCs w:val="16"/>
          <w:color w:val="auto"/>
        </w:rPr>
      </w:pPr>
    </w:p>
    <w:p>
      <w:pPr>
        <w:ind w:left="4" w:right="40" w:hanging="4"/>
        <w:spacing w:after="0" w:line="252" w:lineRule="auto"/>
        <w:tabs>
          <w:tab w:leader="none" w:pos="25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Section 8.1(b)(iii)</w:t>
      </w:r>
      <w:r>
        <w:rPr>
          <w:rFonts w:ascii="Arial" w:cs="Arial" w:eastAsia="Arial" w:hAnsi="Arial"/>
          <w:sz w:val="18"/>
          <w:szCs w:val="18"/>
          <w:color w:val="auto"/>
        </w:rPr>
        <w:t>; (B) following the execution and delivery of this Agreement and prior to the Stockholder Meeting, an Acquisition Proposal (whether or not conditional and whether or not withdrawn) shall have been publicly announced or shall have become publicly disclosed; and (C) within twelve (12) months following such termination of this Agreement, (1) the Company enters into a definitive agreement with any third party with respect to an Acquisition Proposal or (2) an Acquisition Proposal is consummated, in which case the Company Termination Fee shall be payable concurrently with the earlier of (x) the Company’s entry into the definitive agreement with respect to such Acquisition Proposal and (y) the consummation of such Acquisition Proposal;</w:t>
      </w:r>
    </w:p>
    <w:p>
      <w:pPr>
        <w:spacing w:after="0" w:line="85" w:lineRule="exact"/>
        <w:rPr>
          <w:rFonts w:ascii="Arial" w:cs="Arial" w:eastAsia="Arial" w:hAnsi="Arial"/>
          <w:sz w:val="18"/>
          <w:szCs w:val="18"/>
          <w:color w:val="auto"/>
        </w:rPr>
      </w:pPr>
    </w:p>
    <w:p>
      <w:pPr>
        <w:ind w:left="4" w:right="120" w:firstLine="1428"/>
        <w:spacing w:after="0" w:line="277" w:lineRule="auto"/>
        <w:tabs>
          <w:tab w:leader="none" w:pos="170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8.1(c)(ii)</w:t>
      </w:r>
      <w:r>
        <w:rPr>
          <w:rFonts w:ascii="Arial" w:cs="Arial" w:eastAsia="Arial" w:hAnsi="Arial"/>
          <w:sz w:val="18"/>
          <w:szCs w:val="18"/>
          <w:color w:val="auto"/>
        </w:rPr>
        <w:t>, in which case the Company Termination Fee shall be payable concurrently with such termination; or</w:t>
      </w:r>
    </w:p>
    <w:p>
      <w:pPr>
        <w:spacing w:after="0" w:line="62" w:lineRule="exact"/>
        <w:rPr>
          <w:rFonts w:ascii="Arial" w:cs="Arial" w:eastAsia="Arial" w:hAnsi="Arial"/>
          <w:sz w:val="18"/>
          <w:szCs w:val="18"/>
          <w:color w:val="auto"/>
        </w:rPr>
      </w:pPr>
    </w:p>
    <w:p>
      <w:pPr>
        <w:ind w:left="4" w:right="300" w:firstLine="1428"/>
        <w:spacing w:after="0" w:line="277" w:lineRule="auto"/>
        <w:tabs>
          <w:tab w:leader="none" w:pos="175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8.1(d)(iii)</w:t>
      </w:r>
      <w:r>
        <w:rPr>
          <w:rFonts w:ascii="Arial" w:cs="Arial" w:eastAsia="Arial" w:hAnsi="Arial"/>
          <w:sz w:val="18"/>
          <w:szCs w:val="18"/>
          <w:color w:val="auto"/>
        </w:rPr>
        <w:t>, in which case the Company Termination Fee shall be payable within two (2) Business Days after such termination.</w:t>
      </w:r>
    </w:p>
    <w:p>
      <w:pPr>
        <w:spacing w:after="0" w:line="62"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 xml:space="preserve">For purposes of the references to an “Acquisition Proposal” or an “Acquisition Transaction” in </w:t>
      </w:r>
      <w:r>
        <w:rPr>
          <w:rFonts w:ascii="Arial" w:cs="Arial" w:eastAsia="Arial" w:hAnsi="Arial"/>
          <w:sz w:val="16"/>
          <w:szCs w:val="16"/>
          <w:u w:val="single" w:color="auto"/>
          <w:color w:val="auto"/>
        </w:rPr>
        <w:t>Section 8.3(c)(i)</w:t>
      </w:r>
      <w:r>
        <w:rPr>
          <w:rFonts w:ascii="Arial" w:cs="Arial" w:eastAsia="Arial" w:hAnsi="Arial"/>
          <w:sz w:val="16"/>
          <w:szCs w:val="16"/>
          <w:color w:val="auto"/>
        </w:rPr>
        <w:t>, all references in the definition of “Acquisition Transaction” to “twenty-five percent (25%)” and “seventy-five percent (75%)” shall be deemed to be references to “fifty percent (50%).”</w:t>
      </w:r>
    </w:p>
    <w:p>
      <w:pPr>
        <w:spacing w:after="0" w:line="16" w:lineRule="exact"/>
        <w:rPr>
          <w:sz w:val="20"/>
          <w:szCs w:val="20"/>
          <w:color w:val="auto"/>
        </w:rPr>
      </w:pPr>
    </w:p>
    <w:p>
      <w:pPr>
        <w:ind w:left="4" w:right="840" w:firstLine="987"/>
        <w:spacing w:after="0" w:line="277" w:lineRule="auto"/>
        <w:tabs>
          <w:tab w:leader="none" w:pos="125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Parent Termination Fee</w:t>
      </w:r>
      <w:r>
        <w:rPr>
          <w:rFonts w:ascii="Arial" w:cs="Arial" w:eastAsia="Arial" w:hAnsi="Arial"/>
          <w:sz w:val="18"/>
          <w:szCs w:val="18"/>
          <w:color w:val="auto"/>
        </w:rPr>
        <w:t>. Parent shall pay to the Company $301,000,000 (the “</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by wire transfer of immediately available funds to an account or accounts designed in writing by the Company, in the event that:</w:t>
      </w:r>
    </w:p>
    <w:p>
      <w:pPr>
        <w:spacing w:after="0" w:line="62" w:lineRule="exact"/>
        <w:rPr>
          <w:rFonts w:ascii="Arial" w:cs="Arial" w:eastAsia="Arial" w:hAnsi="Arial"/>
          <w:sz w:val="18"/>
          <w:szCs w:val="18"/>
          <w:color w:val="auto"/>
        </w:rPr>
      </w:pPr>
    </w:p>
    <w:p>
      <w:pPr>
        <w:ind w:left="4" w:right="80" w:firstLine="1428"/>
        <w:spacing w:after="0" w:line="291" w:lineRule="auto"/>
        <w:tabs>
          <w:tab w:leader="none" w:pos="1651" w:val="left"/>
        </w:tabs>
        <w:numPr>
          <w:ilvl w:val="2"/>
          <w:numId w:val="114"/>
        </w:numPr>
        <w:rPr>
          <w:rFonts w:ascii="Arial" w:cs="Arial" w:eastAsia="Arial" w:hAnsi="Arial"/>
          <w:sz w:val="16"/>
          <w:szCs w:val="16"/>
          <w:color w:val="auto"/>
        </w:rPr>
      </w:pPr>
      <w:r>
        <w:rPr>
          <w:rFonts w:ascii="Arial" w:cs="Arial" w:eastAsia="Arial" w:hAnsi="Arial"/>
          <w:sz w:val="16"/>
          <w:szCs w:val="16"/>
          <w:color w:val="auto"/>
        </w:rPr>
        <w:t xml:space="preserve">this Agreement is terminated (A) by the Company pursuant to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8.1(b)(ii)</w:t>
      </w:r>
      <w:r>
        <w:rPr>
          <w:rFonts w:ascii="Arial" w:cs="Arial" w:eastAsia="Arial" w:hAnsi="Arial"/>
          <w:sz w:val="16"/>
          <w:szCs w:val="16"/>
          <w:color w:val="auto"/>
        </w:rPr>
        <w:t xml:space="preserve">, (B) by Parent pursuant to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at a time when the Agreement is terminable by the Company pursuant to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or (C) by Parent pursuant to </w:t>
      </w:r>
      <w:r>
        <w:rPr>
          <w:rFonts w:ascii="Arial" w:cs="Arial" w:eastAsia="Arial" w:hAnsi="Arial"/>
          <w:sz w:val="16"/>
          <w:szCs w:val="16"/>
          <w:u w:val="single" w:color="auto"/>
          <w:color w:val="auto"/>
        </w:rPr>
        <w:t>Section 8.1(b)</w:t>
      </w:r>
    </w:p>
    <w:p>
      <w:pPr>
        <w:ind w:left="264" w:hanging="264"/>
        <w:spacing w:after="0"/>
        <w:tabs>
          <w:tab w:leader="none" w:pos="264" w:val="left"/>
        </w:tabs>
        <w:numPr>
          <w:ilvl w:val="0"/>
          <w:numId w:val="115"/>
        </w:numPr>
        <w:rPr>
          <w:rFonts w:ascii="Arial" w:cs="Arial" w:eastAsia="Arial" w:hAnsi="Arial"/>
          <w:sz w:val="18"/>
          <w:szCs w:val="18"/>
          <w:u w:val="single" w:color="auto"/>
          <w:color w:val="auto"/>
        </w:rPr>
      </w:pPr>
      <w:r>
        <w:rPr>
          <w:rFonts w:ascii="Arial" w:cs="Arial" w:eastAsia="Arial" w:hAnsi="Arial"/>
          <w:sz w:val="18"/>
          <w:szCs w:val="18"/>
          <w:color w:val="auto"/>
        </w:rPr>
        <w:t xml:space="preserve">at a time when the Agreement is terminable by the Company pursuant to </w:t>
      </w:r>
      <w:r>
        <w:rPr>
          <w:rFonts w:ascii="Arial" w:cs="Arial" w:eastAsia="Arial" w:hAnsi="Arial"/>
          <w:sz w:val="18"/>
          <w:szCs w:val="18"/>
          <w:u w:val="single" w:color="auto"/>
          <w:color w:val="auto"/>
        </w:rPr>
        <w:t>Section 8.1(b)(ii)</w:t>
      </w:r>
      <w:r>
        <w:rPr>
          <w:rFonts w:ascii="Arial" w:cs="Arial" w:eastAsia="Arial" w:hAnsi="Arial"/>
          <w:sz w:val="18"/>
          <w:szCs w:val="18"/>
          <w:color w:val="auto"/>
        </w:rPr>
        <w:t>; and</w:t>
      </w:r>
    </w:p>
    <w:p>
      <w:pPr>
        <w:spacing w:after="0" w:line="102" w:lineRule="exact"/>
        <w:rPr>
          <w:rFonts w:ascii="Arial" w:cs="Arial" w:eastAsia="Arial" w:hAnsi="Arial"/>
          <w:sz w:val="18"/>
          <w:szCs w:val="18"/>
          <w:u w:val="single" w:color="auto"/>
          <w:color w:val="auto"/>
        </w:rPr>
      </w:pPr>
    </w:p>
    <w:p>
      <w:pPr>
        <w:ind w:left="4" w:firstLine="1428"/>
        <w:spacing w:after="0" w:line="259" w:lineRule="auto"/>
        <w:tabs>
          <w:tab w:leader="none" w:pos="170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at the time of such termination, all of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have been satisfied (or, if any such conditions are by their nature to be satisfied at the Closing, would have been capable of being satisfied on the date of such termination) or waived, other than the conditions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(with respect to </w:t>
      </w:r>
      <w:r>
        <w:rPr>
          <w:rFonts w:ascii="Arial" w:cs="Arial" w:eastAsia="Arial" w:hAnsi="Arial"/>
          <w:sz w:val="18"/>
          <w:szCs w:val="18"/>
          <w:u w:val="single" w:color="auto"/>
          <w:color w:val="auto"/>
        </w:rPr>
        <w:t>Section 7.1(c)</w:t>
      </w:r>
      <w:r>
        <w:rPr>
          <w:rFonts w:ascii="Arial" w:cs="Arial" w:eastAsia="Arial" w:hAnsi="Arial"/>
          <w:sz w:val="18"/>
          <w:szCs w:val="18"/>
          <w:color w:val="auto"/>
        </w:rPr>
        <w:t>, solely to the extent that such Law or Order arises under the HSR Act or any other Antitrust Laws),</w:t>
      </w:r>
    </w:p>
    <w:p>
      <w:pPr>
        <w:spacing w:after="0" w:line="187"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then Parent shall pay or cause to be paid to the Company the Parent Termination Fee no later than two (2) Business Days after such termination in the event of a termination by the Company and as a condition to termination in the event of a termination by Parent.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0944"/>
          </w:cols>
          <w:pgMar w:left="436" w:top="490" w:right="519" w:bottom="1440" w:gutter="0" w:footer="0" w:header="0"/>
        </w:sectPr>
      </w:pPr>
    </w:p>
    <w:bookmarkStart w:id="86" w:name="page87"/>
    <w:bookmarkEnd w:id="86"/>
    <w:p>
      <w:pPr>
        <w:ind w:left="4" w:right="280" w:firstLine="987"/>
        <w:spacing w:after="0" w:line="291" w:lineRule="auto"/>
        <w:tabs>
          <w:tab w:leader="none" w:pos="124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Single Payment Only</w:t>
      </w:r>
      <w:r>
        <w:rPr>
          <w:rFonts w:ascii="Arial" w:cs="Arial" w:eastAsia="Arial" w:hAnsi="Arial"/>
          <w:sz w:val="16"/>
          <w:szCs w:val="16"/>
          <w:color w:val="auto"/>
        </w:rPr>
        <w:t>. Notwithstanding anything in this Agreement to the contrary, the parties hereto acknowledge and hereby agree that in no event shall either party be required to pay the Company Termination Fee or the Parent Termination Fee, as applicable, on more than one</w:t>
      </w:r>
    </w:p>
    <w:p>
      <w:pPr>
        <w:ind w:left="4" w:right="60" w:hanging="4"/>
        <w:spacing w:after="0" w:line="260" w:lineRule="auto"/>
        <w:tabs>
          <w:tab w:leader="none" w:pos="25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occasion, whether or not the Company Termination Fee or the Parent Termination Fee, as applicable, may be payable under more than one provision of this Agreement at the same or at different times and the occurrence of different events.</w:t>
      </w:r>
    </w:p>
    <w:p>
      <w:pPr>
        <w:spacing w:after="0" w:line="77" w:lineRule="exact"/>
        <w:rPr>
          <w:rFonts w:ascii="Arial" w:cs="Arial" w:eastAsia="Arial" w:hAnsi="Arial"/>
          <w:sz w:val="18"/>
          <w:szCs w:val="18"/>
          <w:color w:val="auto"/>
        </w:rPr>
      </w:pPr>
    </w:p>
    <w:p>
      <w:pPr>
        <w:ind w:left="4" w:firstLine="987"/>
        <w:spacing w:after="0" w:line="285" w:lineRule="auto"/>
        <w:tabs>
          <w:tab w:leader="none" w:pos="1220"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Exclusive Remedy; Timely Payment</w:t>
      </w:r>
      <w:r>
        <w:rPr>
          <w:rFonts w:ascii="Arial" w:cs="Arial" w:eastAsia="Arial" w:hAnsi="Arial"/>
          <w:sz w:val="16"/>
          <w:szCs w:val="16"/>
          <w:color w:val="auto"/>
        </w:rPr>
        <w:t xml:space="preserve">. The parties acknowledge that the agreements contained in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8.3(d)</w:t>
      </w:r>
      <w:r>
        <w:rPr>
          <w:rFonts w:ascii="Arial" w:cs="Arial" w:eastAsia="Arial" w:hAnsi="Arial"/>
          <w:sz w:val="16"/>
          <w:szCs w:val="16"/>
          <w:color w:val="auto"/>
        </w:rPr>
        <w:t xml:space="preserve"> are an integral part of the transactions contemplated by this Agreement and constitute liquidated damages and not a penalty, and that, without these agreements, the parties would not enter into this Agreement. Except in the case of Common Law Fraud or Willful Breach of this Agreement, (i) payment of the Company Termination Fee shall constitute the sole and exclusive remedy of Parent and Merger Sub against the Company Related Parties in circumstances in which the Company Termination Fee is payable hereunder, (ii) payment of the Parent Termination Fee shall constitute the sole and exclusive remedy of the Company and its Subsidiaries against the Parent Related Parties in circumstances in which the Parent Termination Fee is payable hereunder, in the case of each of clauses (i) and (ii), for any loss suffered as a result of the failure to consummate the Merger and the other transactions contemplated by this Agreement, (iii) upon payment of the Company Termination Fee in circumstances in which the Company Termination Fee is payable hereunder, none of the Company Related Parties shall have any further liability or obligation relating to or arising out of this Agreement and (iv) upon payment of the Parent Termination Fee in circumstances in which the Parent Termination Fee is payable hereunder, none of the Parent Related Parties shall have any further liability or obligation relating to or arising out of this Agreement. If the Company or Parent fails to timely pay any amount due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in order to obtain the payment, Parent or the Company, as applicable, commences a Legal Proceeding which results in a judgment against the Company or Parent, as applicable, for the payment set forth in this </w:t>
      </w:r>
      <w:r>
        <w:rPr>
          <w:rFonts w:ascii="Arial" w:cs="Arial" w:eastAsia="Arial" w:hAnsi="Arial"/>
          <w:sz w:val="16"/>
          <w:szCs w:val="16"/>
          <w:u w:val="single" w:color="auto"/>
          <w:color w:val="auto"/>
        </w:rPr>
        <w:t>Section 8.3</w:t>
      </w:r>
      <w:r>
        <w:rPr>
          <w:rFonts w:ascii="Arial" w:cs="Arial" w:eastAsia="Arial" w:hAnsi="Arial"/>
          <w:sz w:val="16"/>
          <w:szCs w:val="16"/>
          <w:color w:val="auto"/>
        </w:rPr>
        <w:t>, the Company shall pay Parent or Parent shall pay the Company, as applicable, its reasonable and documented costs and expenses (including reasonable and documented attorneys’ fees) incurred in prosecuting such Legal Proceeding, together with interest on such amount at the prime rate as published in The Wall Street Journal in effect on the date such payment was required to be made through the date such payment was actually received.</w:t>
      </w:r>
    </w:p>
    <w:p>
      <w:pPr>
        <w:spacing w:after="0" w:line="68" w:lineRule="exact"/>
        <w:rPr>
          <w:sz w:val="20"/>
          <w:szCs w:val="20"/>
          <w:color w:val="auto"/>
        </w:rPr>
      </w:pPr>
    </w:p>
    <w:p>
      <w:pPr>
        <w:ind w:left="4" w:right="540" w:firstLine="440"/>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Amendment</w:t>
      </w:r>
      <w:r>
        <w:rPr>
          <w:rFonts w:ascii="Arial" w:cs="Arial" w:eastAsia="Arial" w:hAnsi="Arial"/>
          <w:sz w:val="18"/>
          <w:szCs w:val="18"/>
          <w:color w:val="auto"/>
        </w:rPr>
        <w:t>. To the extent permitted by applicable Law and subject to the other provisions of this Agreement, this Agreement may be amended by the parties hereto at any time prior to the Effective Time by execution of an instrument in writing signed on behalf of each of Parent, Merger Sub and the Company.</w:t>
      </w:r>
    </w:p>
    <w:p>
      <w:pPr>
        <w:spacing w:after="0" w:line="76"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Extension; Waiver</w:t>
      </w:r>
      <w:r>
        <w:rPr>
          <w:rFonts w:ascii="Arial" w:cs="Arial" w:eastAsia="Arial" w:hAnsi="Arial"/>
          <w:sz w:val="17"/>
          <w:szCs w:val="17"/>
          <w:color w:val="auto"/>
        </w:rPr>
        <w:t>. At any time and from time to time prior to the Effective Time, any party or parties hereto (it being agreed that any extension or waiver by Parent also shall be an effective extension or waiver by Merger Sub) may, to the extent permitted by applicable Law and except as otherwise set forth herein, (a) extend the time for the performance of any of the obligations or other acts of the other party or parties hereto, as applicable, (b) waive any inaccuracies in the representations and warranties made to such party or parties hereto contained herein or in any document delivered pursuant hereto and (c) waive compliance with any of the agreements or conditions for the benefit of such party or parties hereto contained herein. Any agreement on the part of a party or parties hereto to any such extension or waiver (it being agreed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004"/>
          </w:cols>
          <w:pgMar w:left="436" w:top="490" w:right="459" w:bottom="1440" w:gutter="0" w:footer="0" w:header="0"/>
        </w:sectPr>
      </w:pPr>
    </w:p>
    <w:bookmarkStart w:id="87" w:name="page88"/>
    <w:bookmarkEnd w:id="8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that any agreement to an extension or waiver by Parent also shall be an effective extension or waiver by Merger Sub) shall be valid only if set forth in an instrument in writing signed on behalf of such party or parties, as applicable. Any delay in exercising any right under this Agreement shall not constitute a waiver of such right. The conditions to each of the parties’ obligations to consummate the Merger are for the sole benefit of such party and may be waived by such party in whole or in part to the extent permitted by applicable Law.</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Survival of Representations, Warranties and Covenants</w:t>
      </w:r>
      <w:r>
        <w:rPr>
          <w:rFonts w:ascii="Arial" w:cs="Arial" w:eastAsia="Arial" w:hAnsi="Arial"/>
          <w:sz w:val="18"/>
          <w:szCs w:val="18"/>
          <w:color w:val="auto"/>
        </w:rPr>
        <w:t>. The representations, warranties and covenants of the Company, Parent and Merger Sub contained in this Agreement shall terminate at the Effective Time, and only the covenants that by their terms survive the Effective Time or are to be performed (in whole or in part) following the Effective Time shall survive the Effective Time in accordance with their respective terms. Notwithstanding anything herein to the contrary, after the Effective Time, neither Parent nor Merger Sub shall be permitted to claim that any breach by the Company of any of its covenants or obligations under this Agreement results in a failure of a condition to consummate the Merger or excuses performance by Parent or Merger Sub of any of its obligations hereunder (and this Agreement shall not be construed to impose any such conditions or excuse such performance).</w:t>
      </w:r>
    </w:p>
    <w:p>
      <w:pPr>
        <w:spacing w:after="0" w:line="8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hereunder shall be in writing and shall be deemed to have been duly delivered and received hereunder (a) two (2) Business Days after being sent by registered or certified mail, return receipt requested, postage prepaid, (b) one (1) Business Day after being sent for next Business Day delivery, fees prepaid, via a reputable nationwide overnight courier service, (c) immediately upon delivery by hand, or (d) on the date of receipt, if delivered by email (to the extent that no “bounce back” or similar message indicating non-delivery is received with respect thereto), in each case, to the intended recipient as set forth below (or to such other recipient or address as designated in a written notice to the other parties hereto in accordance with this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 if to Parent or Merger Sub,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Biogen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legaldepartment@biogen.com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River Acquisition,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legaldepartment@biogen.com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000"/>
          </w:cols>
          <w:pgMar w:left="440" w:top="490" w:right="459" w:bottom="1440" w:gutter="0" w:footer="0" w:header="0"/>
        </w:sectPr>
      </w:pPr>
    </w:p>
    <w:bookmarkStart w:id="88" w:name="page89"/>
    <w:bookmarkEnd w:id="88"/>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20" w:right="7960" w:firstLine="8"/>
        <w:spacing w:after="0" w:line="281" w:lineRule="auto"/>
        <w:tabs>
          <w:tab w:leader="none" w:pos="1735"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Attention: Faiza Saeed; Mark Greene; Aaron Gruber; Bethany Pfalzgraf</w:t>
      </w:r>
    </w:p>
    <w:p>
      <w:pPr>
        <w:spacing w:after="0" w:line="9"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Email: fsaeed@cravath.com; mgreene@cravath.com; agruber@cravath.com; bpfalzgraf@cravath.com</w:t>
      </w:r>
    </w:p>
    <w:p>
      <w:pPr>
        <w:spacing w:after="0" w:line="102" w:lineRule="exact"/>
        <w:rPr>
          <w:rFonts w:ascii="Arial" w:cs="Arial" w:eastAsia="Arial" w:hAnsi="Arial"/>
          <w:sz w:val="16"/>
          <w:szCs w:val="16"/>
          <w:color w:val="auto"/>
        </w:rPr>
      </w:pPr>
    </w:p>
    <w:p>
      <w:pPr>
        <w:ind w:left="1220" w:hanging="233"/>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Reata Pharmaceuticals,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5320 Legacy Drive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Plano, TX 75024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Manmeet S. Soni</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manmeet.soni@reatapharma.com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845 Texas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Suite 4700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Lande Spottswood; Robert L. Kimball; Katherine Frank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lspottswood@velaw.com; rkimball@velaw.com; kfrank@velaw.com</w:t>
      </w:r>
    </w:p>
    <w:p>
      <w:pPr>
        <w:spacing w:after="0" w:line="103"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may assign (by operation of Law or otherwise) either this Agreement or any of its rights, interests, or obligations hereunder without the prior written approval of the other parties, except that Parent and Merger Sub may assign, in their sole discretion, any and all of their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hereto and their respective successors and permitted assigns. Any purported assignment in violation of this Agreement will be void ab initio.</w:t>
      </w:r>
    </w:p>
    <w:p>
      <w:pPr>
        <w:spacing w:after="0" w:line="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Confidentiality</w:t>
      </w:r>
      <w:r>
        <w:rPr>
          <w:rFonts w:ascii="Arial" w:cs="Arial" w:eastAsia="Arial" w:hAnsi="Arial"/>
          <w:sz w:val="17"/>
          <w:szCs w:val="17"/>
          <w:color w:val="auto"/>
        </w:rPr>
        <w:t>. Parent, Merger Sub and the Company hereby acknowledge that Biogen MA Inc. and the Company have previously executed a Confidentiality Agreement, dated as of July 11, 2023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which will continue in full force and effect in accordance with its terms; provided that, notwithstanding the foregoing or any term of the Confidentiality Agreement to the contrary, the Confidentiality Agreement shall automatically be deemed amended and restated without any further action on the part of Biogen MA Inc. or the Company to reflect the least favorable terms to the Company of all Acceptable Confidentiality Agreements then in effect.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0960"/>
          </w:cols>
          <w:pgMar w:left="440" w:top="490" w:right="499" w:bottom="1440" w:gutter="0" w:footer="0" w:header="0"/>
        </w:sectPr>
      </w:pPr>
    </w:p>
    <w:bookmarkStart w:id="89" w:name="page90"/>
    <w:bookmarkEnd w:id="89"/>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9.5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any schedules, annexes and exhibits hereto) and the documents and instruments and other agreements among the parties hereto as contemplated by or referred to herein, including the Company Disclosure Letter and the Exhibits hereto, constitute the entire agreement among the parties with respect to the subject matter hereof and supersede all prior agreements and understandings, both written and oral, among the parties with respect to the subject matter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Confidentiality Agreement shall not be superseded, shall survive any termination of this Agreement and shall continue in full force and effect until the earlier to occur of (a) the Effective Time and (b) the date on which the Confidentiality Agreement expires in accordance with its terms or is validly terminated by the parties thereto. EACH PARTY HERETO AGREES THAT, EXCEPT FOR THE REPRESENTATIONS AND WARRANTIES CONTAINED IN THIS AGREEMENT, NEITHER PARENT, MERGER SUB OR ANY OF THEIR REPRESENTATIVES, ON THE ONE HAND, NOR THE COMPANY OR ANY OF ITS REPRESENTATIVES, ON THE OTHER HAND, MAKES ANY REPRESENTATIONS OR WARRANTIES TO THE OTHER, AND EACH PARTY HEREBY DISCLAIMS ANY OTHER REPRESENTATIONS OR WARRANTIES, EXPRESS OR IMPLIED (INCLUDING ANY IMPLIED WARRANTY OF MERCHANTABILITY OR FITNESS FOR A PARTICULAR PURPOSE), OR AS TO THE ACCURACY OR COMPLETENESS OF ANY OTHER INFORMATION, MADE (OR MADE AVAILABLE BY) BY ITSELF OR ANY OF ITS REPRESENTATIVES, WITH RESPECT TO, OR IN CONNECTION WITH, THE NEGOTIATION, EXECUTION OR DELIVERY OF THIS AGREEMENT OR THE TRANSACTIONS CONTEMPLATED HEREBY, NOTWITHSTANDING THE DELIVERY OR DISCLOSURE TO THE OTHER OR THE OTHER’S REPRESENTATIVES OF ANY DOCUMENTATION OR OTHER INFORMATION WITH RESPECT TO ANY ONE OR MORE OF THE FOREGOING.</w:t>
      </w:r>
    </w:p>
    <w:p>
      <w:pPr>
        <w:spacing w:after="0" w:line="72" w:lineRule="exact"/>
        <w:rPr>
          <w:sz w:val="20"/>
          <w:szCs w:val="20"/>
          <w:color w:val="auto"/>
        </w:rPr>
      </w:pPr>
    </w:p>
    <w:p>
      <w:pPr>
        <w:ind w:right="240" w:firstLine="440"/>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Notwithstanding anything herein to the contrary, this Agreement shall be binding upon and inure solely to the benefit of each party hereto, and nothing in this Agreement, express or implied, is intended to confer upon any other Person any rights or remedies of any nature whatsoever under or by reason of this Agreement, except (a) as set forth in or contemplated by the terms and provisions of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(b) that, subject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the Company shall not be precluded from pursuing damages based on loss of the economic benefit of the transactions contemplated by this Agreement to the Company Stockholders, (c) from and after the Effective Time, for the rights of Company Stockholders and the holders of other Company Securities to receive the Merger Consideration, Option Consideration or RSU Consideration, as applicable, as provided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(d) for the Company Related Parties’ limitation on liability set forth in </w:t>
      </w:r>
      <w:r>
        <w:rPr>
          <w:rFonts w:ascii="Arial" w:cs="Arial" w:eastAsia="Arial" w:hAnsi="Arial"/>
          <w:sz w:val="17"/>
          <w:szCs w:val="17"/>
          <w:u w:val="single" w:color="auto"/>
          <w:color w:val="auto"/>
        </w:rPr>
        <w:t>Section 8.3(f)</w:t>
      </w:r>
      <w:r>
        <w:rPr>
          <w:rFonts w:ascii="Arial" w:cs="Arial" w:eastAsia="Arial" w:hAnsi="Arial"/>
          <w:sz w:val="17"/>
          <w:szCs w:val="17"/>
          <w:color w:val="auto"/>
        </w:rPr>
        <w:t xml:space="preserve"> and (e) for the Parent Related Parties’ limitation on liability set forth in </w:t>
      </w:r>
      <w:r>
        <w:rPr>
          <w:rFonts w:ascii="Arial" w:cs="Arial" w:eastAsia="Arial" w:hAnsi="Arial"/>
          <w:sz w:val="17"/>
          <w:szCs w:val="17"/>
          <w:u w:val="single" w:color="auto"/>
          <w:color w:val="auto"/>
        </w:rPr>
        <w:t>Section 8.3(f)</w:t>
      </w:r>
      <w:r>
        <w:rPr>
          <w:rFonts w:ascii="Arial" w:cs="Arial" w:eastAsia="Arial" w:hAnsi="Arial"/>
          <w:sz w:val="17"/>
          <w:szCs w:val="17"/>
          <w:color w:val="auto"/>
        </w:rPr>
        <w:t>.</w:t>
      </w:r>
    </w:p>
    <w:p>
      <w:pPr>
        <w:spacing w:after="0" w:line="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term or other provision of this Agreement, or the application thereof, is determined by a court of competent jurisdiction to be invalid, illegal or incapable of being enforced by any rule of Law, or public policy, all other terms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Merger be effected as originally contemplated to the fullest extent possible.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000"/>
          </w:cols>
          <w:pgMar w:left="440" w:top="490" w:right="4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9.8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75" w:lineRule="exact"/>
        <w:rPr>
          <w:rFonts w:ascii="Arial" w:cs="Arial" w:eastAsia="Arial" w:hAnsi="Arial"/>
          <w:sz w:val="18"/>
          <w:szCs w:val="18"/>
          <w:color w:val="auto"/>
        </w:rPr>
      </w:pPr>
    </w:p>
    <w:p>
      <w:pPr>
        <w:ind w:firstLine="987"/>
        <w:spacing w:after="0" w:line="285" w:lineRule="auto"/>
        <w:tabs>
          <w:tab w:leader="none" w:pos="124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parties hereto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hereto acknowledge and hereby agree that in the event of any breach or threatened breach by the Company, on the one hand, or Parent and/or Merger Sub, on the other hand, of any of their respective covenants or obligations set forth in this Agreement, Parent and Merger Sub, on the one hand, and the Company, on the other hand,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Company, on the one hand, and Parent and Merger Sub, on the other hand, hereby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Common Law Fraud;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in no event shall Parent or Merger Sub be entitled to both the payment of the Company Termination Fee, on the one hand, and specific performance, on the other hand, and (ii) in no event shall the Company be entitled to both the payment of the Parent Termination Fee, on the one hand, and specific performance, on the other hand.</w:t>
      </w:r>
    </w:p>
    <w:p>
      <w:pPr>
        <w:spacing w:after="0" w:line="6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including any claims or causes of action (whether in contract, tort or statute) that may be based upon, arise out of or relate to this Agreement, or the negotiation, execution or performance thereof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8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xml:space="preserve">. Each of the parties hereto (a)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in such other manner as may be permitted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0980"/>
          </w:cols>
          <w:pgMar w:left="440" w:top="490" w:right="479" w:bottom="1440" w:gutter="0" w:footer="0" w:header="0"/>
        </w:sectPr>
      </w:pPr>
    </w:p>
    <w:bookmarkStart w:id="91" w:name="page92"/>
    <w:bookmarkEnd w:id="91"/>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by applicable Law, and nothing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shall affect the right of any party to serve legal process in any other manner permitted by applicable Law; (b)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 (c) agrees that it will not attempt to deny or defeat such personal jurisdiction by motion or other request for leave from any such court; (d)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(e) waives any objection that it may now or hereafter have to the venue of any such action or proceeding in any such court or that such action or proceeding was brought in an inconvenient court and agrees not to plead or claim the same; and (f) agrees that it will not bring any action relating to this Agreement or the transactions contemplated hereby in any court other than the aforesaid courts. Each of Parent, Merger Sub and the Company agrees that a final judgment in any action or proceeding in such courts as provided above shall be conclusive and may be enforced in other jurisdictions by suit on the judgment or in any other manner provided by applicable Law.</w:t>
      </w:r>
    </w:p>
    <w:p>
      <w:pPr>
        <w:spacing w:after="0" w:line="7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PARENT, MERGER SUB AND THE COMPANY HEREBY IRREVOCABLY WAIVES ALL RIGHT TO TRIAL BY JURY IN ANY ACTION, PROCEEDING OR COUNTERCLAIM (WHETHER BASED ON CONTRACT, TORT OR OTHERWISE) DIRECTLY OR INDIRECTLY ARISING OUT OF OR RELATING TO THIS AGREEMENT, THE TRANSACTIONS CONTEMPLATED HEREBY OR THE ACTIONS OF PARENT, MERGER SUB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8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Disclosure Letter References</w:t>
      </w:r>
      <w:r>
        <w:rPr>
          <w:rFonts w:ascii="Arial" w:cs="Arial" w:eastAsia="Arial" w:hAnsi="Arial"/>
          <w:sz w:val="17"/>
          <w:szCs w:val="17"/>
          <w:color w:val="auto"/>
        </w:rPr>
        <w:t>. The parties hereto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The mere inclusion of an item in the Company Disclosure Letter as an exception to a representation or warranty or covenant shall not be deemed an admission that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020"/>
          </w:cols>
          <w:pgMar w:left="440" w:top="490" w:right="439" w:bottom="1440" w:gutter="0" w:footer="0" w:header="0"/>
        </w:sectPr>
      </w:pPr>
    </w:p>
    <w:bookmarkStart w:id="92" w:name="page93"/>
    <w:bookmarkEnd w:id="92"/>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item represents a material exception or material fact, event or circumstance or that such item is material or constitutes a Company Material Adverse Effect, and no reference to, or disclosure of, any item or other matter in the Company Disclosure Letter shall necessarily imply that any other undisclosed matter or item having a greater value or significance is material.</w:t>
      </w:r>
    </w:p>
    <w:p>
      <w:pPr>
        <w:spacing w:after="0" w:line="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No Presumption Against Drafting Party</w:t>
      </w:r>
      <w:r>
        <w:rPr>
          <w:rFonts w:ascii="Arial" w:cs="Arial" w:eastAsia="Arial" w:hAnsi="Arial"/>
          <w:sz w:val="18"/>
          <w:szCs w:val="18"/>
          <w:color w:val="auto"/>
        </w:rPr>
        <w:t>. Each of Parent, Merger Sub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7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Delivery of an executed counterpart of a signature page to this Agreement by facsimile or other electronic transmission, including by e-mail attachment, shall be effective as delivery of a manually executed counterpart of this Agreement.</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0840"/>
          </w:cols>
          <w:pgMar w:left="440" w:top="490" w:right="619" w:bottom="1440" w:gutter="0" w:footer="0" w:header="0"/>
        </w:sectPr>
      </w:pPr>
    </w:p>
    <w:bookmarkStart w:id="93" w:name="page94"/>
    <w:bookmarkEnd w:id="9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have caused this Agreement to be executed by their respective duly authorized officers to be effective as of the date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REATA PHARMACEUTICALS, INC.</w:t>
      </w:r>
    </w:p>
    <w:p>
      <w:pPr>
        <w:spacing w:after="0" w:line="225"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Warren Huff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 Warren Huff</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920"/>
          </w:cols>
          <w:pgMar w:left="440" w:top="490" w:right="539" w:bottom="1440" w:gutter="0" w:footer="0" w:header="0"/>
        </w:sectPr>
      </w:pPr>
    </w:p>
    <w:bookmarkStart w:id="94" w:name="page95"/>
    <w:bookmarkEnd w:id="9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have caused this Agreement to be executed by their respective duly authorized officers to be effective as of the date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BIOGEN INC.</w:t>
      </w:r>
    </w:p>
    <w:p>
      <w:pPr>
        <w:spacing w:after="0" w:line="225"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Christopher A. Viehbacher</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920"/>
          </w:cols>
          <w:pgMar w:left="440" w:top="490" w:right="539" w:bottom="1440" w:gutter="0" w:footer="0" w:header="0"/>
        </w:sectPr>
      </w:pPr>
    </w:p>
    <w:bookmarkStart w:id="95" w:name="page96"/>
    <w:bookmarkEnd w:id="9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have caused this Agreement to be executed by their respective duly authorized officers to be effective as of the date first above written.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RIVER ACQUISITION, INC.</w:t>
      </w:r>
    </w:p>
    <w:p>
      <w:pPr>
        <w:spacing w:after="0" w:line="225"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Dambach</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920"/>
          </w:cols>
          <w:pgMar w:left="440" w:top="490" w:right="5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FOURTH AMENDED AND RESTATED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BIOGEN INC.</w:t>
      </w:r>
    </w:p>
    <w:p>
      <w:pPr>
        <w:sectPr>
          <w:pgSz w:w="11900" w:h="16838" w:orient="portrait"/>
          <w:cols w:equalWidth="0" w:num="1">
            <w:col w:w="10020"/>
          </w:cols>
          <w:pgMar w:left="1440" w:top="121"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80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18"/>
        </w:trPr>
        <w:tc>
          <w:tcPr>
            <w:tcW w:w="10560" w:type="dxa"/>
            <w:vAlign w:val="bottom"/>
            <w:gridSpan w:val="2"/>
          </w:tcPr>
          <w:p>
            <w:pPr>
              <w:spacing w:after="0"/>
              <w:rPr>
                <w:sz w:val="20"/>
                <w:szCs w:val="20"/>
                <w:color w:val="auto"/>
              </w:rPr>
            </w:pPr>
            <w:r>
              <w:rPr>
                <w:rFonts w:ascii="Arial" w:cs="Arial" w:eastAsia="Arial" w:hAnsi="Arial"/>
                <w:sz w:val="18"/>
                <w:szCs w:val="18"/>
                <w:color w:val="auto"/>
              </w:rPr>
              <w:t>ARTICLE 1 Offices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tcPr>
          <w:p>
            <w:pPr>
              <w:ind w:left="360"/>
              <w:spacing w:after="0"/>
              <w:rPr>
                <w:sz w:val="20"/>
                <w:szCs w:val="20"/>
                <w:color w:val="auto"/>
              </w:rPr>
            </w:pPr>
            <w:r>
              <w:rPr>
                <w:rFonts w:ascii="Arial" w:cs="Arial" w:eastAsia="Arial" w:hAnsi="Arial"/>
                <w:sz w:val="18"/>
                <w:szCs w:val="18"/>
                <w:color w:val="auto"/>
              </w:rPr>
              <w:t>1.1</w:t>
            </w:r>
          </w:p>
        </w:tc>
        <w:tc>
          <w:tcPr>
            <w:tcW w:w="9800" w:type="dxa"/>
            <w:vAlign w:val="bottom"/>
          </w:tcPr>
          <w:p>
            <w:pPr>
              <w:ind w:left="60"/>
              <w:spacing w:after="0"/>
              <w:rPr>
                <w:sz w:val="20"/>
                <w:szCs w:val="20"/>
                <w:color w:val="auto"/>
              </w:rPr>
            </w:pPr>
            <w:r>
              <w:rPr>
                <w:rFonts w:ascii="Arial" w:cs="Arial" w:eastAsia="Arial" w:hAnsi="Arial"/>
                <w:sz w:val="18"/>
                <w:szCs w:val="18"/>
                <w:color w:val="auto"/>
              </w:rPr>
              <w:t>Registered Office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1.2</w:t>
            </w:r>
          </w:p>
        </w:tc>
        <w:tc>
          <w:tcPr>
            <w:tcW w:w="9800" w:type="dxa"/>
            <w:vAlign w:val="bottom"/>
          </w:tcPr>
          <w:p>
            <w:pPr>
              <w:ind w:left="60"/>
              <w:spacing w:after="0"/>
              <w:rPr>
                <w:sz w:val="20"/>
                <w:szCs w:val="20"/>
                <w:color w:val="auto"/>
              </w:rPr>
            </w:pPr>
            <w:r>
              <w:rPr>
                <w:rFonts w:ascii="Arial" w:cs="Arial" w:eastAsia="Arial" w:hAnsi="Arial"/>
                <w:sz w:val="18"/>
                <w:szCs w:val="18"/>
                <w:color w:val="auto"/>
              </w:rPr>
              <w:t>Other Offices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color w:val="auto"/>
              </w:rPr>
              <w:t>ARTICLE 2 Meeting of 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tcPr>
          <w:p>
            <w:pPr>
              <w:ind w:left="360"/>
              <w:spacing w:after="0"/>
              <w:rPr>
                <w:sz w:val="20"/>
                <w:szCs w:val="20"/>
                <w:color w:val="auto"/>
              </w:rPr>
            </w:pPr>
            <w:r>
              <w:rPr>
                <w:rFonts w:ascii="Arial" w:cs="Arial" w:eastAsia="Arial" w:hAnsi="Arial"/>
                <w:sz w:val="18"/>
                <w:szCs w:val="18"/>
                <w:color w:val="auto"/>
              </w:rPr>
              <w:t>2.1</w:t>
            </w:r>
          </w:p>
        </w:tc>
        <w:tc>
          <w:tcPr>
            <w:tcW w:w="9800" w:type="dxa"/>
            <w:vAlign w:val="bottom"/>
          </w:tcPr>
          <w:p>
            <w:pPr>
              <w:ind w:left="60"/>
              <w:spacing w:after="0"/>
              <w:rPr>
                <w:sz w:val="20"/>
                <w:szCs w:val="20"/>
                <w:color w:val="auto"/>
              </w:rPr>
            </w:pPr>
            <w:r>
              <w:rPr>
                <w:rFonts w:ascii="Arial" w:cs="Arial" w:eastAsia="Arial" w:hAnsi="Arial"/>
                <w:sz w:val="18"/>
                <w:szCs w:val="18"/>
                <w:color w:val="auto"/>
              </w:rPr>
              <w:t>Place of Meeting</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2.2</w:t>
            </w:r>
          </w:p>
        </w:tc>
        <w:tc>
          <w:tcPr>
            <w:tcW w:w="980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2.3</w:t>
            </w:r>
          </w:p>
        </w:tc>
        <w:tc>
          <w:tcPr>
            <w:tcW w:w="9800" w:type="dxa"/>
            <w:vAlign w:val="bottom"/>
          </w:tcPr>
          <w:p>
            <w:pPr>
              <w:ind w:left="60"/>
              <w:spacing w:after="0"/>
              <w:rPr>
                <w:sz w:val="20"/>
                <w:szCs w:val="20"/>
                <w:color w:val="auto"/>
              </w:rPr>
            </w:pPr>
            <w:r>
              <w:rPr>
                <w:rFonts w:ascii="Arial" w:cs="Arial" w:eastAsia="Arial" w:hAnsi="Arial"/>
                <w:sz w:val="18"/>
                <w:szCs w:val="18"/>
                <w:color w:val="auto"/>
              </w:rPr>
              <w:t>Special Meetings Called by Directors or Officers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2.3A</w:t>
            </w:r>
          </w:p>
        </w:tc>
        <w:tc>
          <w:tcPr>
            <w:tcW w:w="9800" w:type="dxa"/>
            <w:vAlign w:val="bottom"/>
          </w:tcPr>
          <w:p>
            <w:pPr>
              <w:ind w:left="60"/>
              <w:spacing w:after="0"/>
              <w:rPr>
                <w:sz w:val="20"/>
                <w:szCs w:val="20"/>
                <w:color w:val="auto"/>
              </w:rPr>
            </w:pPr>
            <w:r>
              <w:rPr>
                <w:rFonts w:ascii="Arial" w:cs="Arial" w:eastAsia="Arial" w:hAnsi="Arial"/>
                <w:sz w:val="18"/>
                <w:szCs w:val="18"/>
                <w:color w:val="auto"/>
              </w:rPr>
              <w:t>Special Meetings Called by 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2.4</w:t>
            </w:r>
          </w:p>
        </w:tc>
        <w:tc>
          <w:tcPr>
            <w:tcW w:w="980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2.5</w:t>
            </w:r>
          </w:p>
        </w:tc>
        <w:tc>
          <w:tcPr>
            <w:tcW w:w="9800" w:type="dxa"/>
            <w:vAlign w:val="bottom"/>
          </w:tcPr>
          <w:p>
            <w:pPr>
              <w:ind w:left="60"/>
              <w:spacing w:after="0"/>
              <w:rPr>
                <w:sz w:val="20"/>
                <w:szCs w:val="20"/>
                <w:color w:val="auto"/>
              </w:rPr>
            </w:pPr>
            <w:r>
              <w:rPr>
                <w:rFonts w:ascii="Arial" w:cs="Arial" w:eastAsia="Arial" w:hAnsi="Arial"/>
                <w:sz w:val="18"/>
                <w:szCs w:val="18"/>
                <w:color w:val="auto"/>
              </w:rPr>
              <w:t>List of 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2.6</w:t>
            </w:r>
          </w:p>
        </w:tc>
        <w:tc>
          <w:tcPr>
            <w:tcW w:w="9800" w:type="dxa"/>
            <w:vAlign w:val="bottom"/>
          </w:tcPr>
          <w:p>
            <w:pPr>
              <w:ind w:left="60"/>
              <w:spacing w:after="0"/>
              <w:rPr>
                <w:sz w:val="20"/>
                <w:szCs w:val="20"/>
                <w:color w:val="auto"/>
              </w:rPr>
            </w:pPr>
            <w:r>
              <w:rPr>
                <w:rFonts w:ascii="Arial" w:cs="Arial" w:eastAsia="Arial" w:hAnsi="Arial"/>
                <w:sz w:val="18"/>
                <w:szCs w:val="18"/>
                <w:color w:val="auto"/>
              </w:rPr>
              <w:t>Organization and Conduct of Business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2.7</w:t>
            </w:r>
          </w:p>
        </w:tc>
        <w:tc>
          <w:tcPr>
            <w:tcW w:w="9800" w:type="dxa"/>
            <w:vAlign w:val="bottom"/>
          </w:tcPr>
          <w:p>
            <w:pPr>
              <w:ind w:left="60"/>
              <w:spacing w:after="0"/>
              <w:rPr>
                <w:sz w:val="20"/>
                <w:szCs w:val="20"/>
                <w:color w:val="auto"/>
              </w:rPr>
            </w:pPr>
            <w:r>
              <w:rPr>
                <w:rFonts w:ascii="Arial" w:cs="Arial" w:eastAsia="Arial" w:hAnsi="Arial"/>
                <w:sz w:val="18"/>
                <w:szCs w:val="18"/>
                <w:color w:val="auto"/>
              </w:rPr>
              <w:t>Quorum</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2.8</w:t>
            </w:r>
          </w:p>
        </w:tc>
        <w:tc>
          <w:tcPr>
            <w:tcW w:w="9800" w:type="dxa"/>
            <w:vAlign w:val="bottom"/>
          </w:tcPr>
          <w:p>
            <w:pPr>
              <w:ind w:left="60"/>
              <w:spacing w:after="0"/>
              <w:rPr>
                <w:sz w:val="20"/>
                <w:szCs w:val="20"/>
                <w:color w:val="auto"/>
              </w:rPr>
            </w:pPr>
            <w:r>
              <w:rPr>
                <w:rFonts w:ascii="Arial" w:cs="Arial" w:eastAsia="Arial" w:hAnsi="Arial"/>
                <w:sz w:val="18"/>
                <w:szCs w:val="18"/>
                <w:color w:val="auto"/>
              </w:rPr>
              <w:t>Adjournments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2.9</w:t>
            </w:r>
          </w:p>
        </w:tc>
        <w:tc>
          <w:tcPr>
            <w:tcW w:w="9800" w:type="dxa"/>
            <w:vAlign w:val="bottom"/>
          </w:tcPr>
          <w:p>
            <w:pPr>
              <w:ind w:left="60"/>
              <w:spacing w:after="0"/>
              <w:rPr>
                <w:sz w:val="20"/>
                <w:szCs w:val="20"/>
                <w:color w:val="auto"/>
              </w:rPr>
            </w:pPr>
            <w:r>
              <w:rPr>
                <w:rFonts w:ascii="Arial" w:cs="Arial" w:eastAsia="Arial" w:hAnsi="Arial"/>
                <w:sz w:val="18"/>
                <w:szCs w:val="18"/>
                <w:color w:val="auto"/>
              </w:rPr>
              <w:t>Voting Rights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2.10</w:t>
            </w:r>
          </w:p>
        </w:tc>
        <w:tc>
          <w:tcPr>
            <w:tcW w:w="9800" w:type="dxa"/>
            <w:vAlign w:val="bottom"/>
          </w:tcPr>
          <w:p>
            <w:pPr>
              <w:ind w:left="60"/>
              <w:spacing w:after="0"/>
              <w:rPr>
                <w:sz w:val="20"/>
                <w:szCs w:val="20"/>
                <w:color w:val="auto"/>
              </w:rPr>
            </w:pPr>
            <w:r>
              <w:rPr>
                <w:rFonts w:ascii="Arial" w:cs="Arial" w:eastAsia="Arial" w:hAnsi="Arial"/>
                <w:sz w:val="18"/>
                <w:szCs w:val="18"/>
                <w:color w:val="auto"/>
              </w:rPr>
              <w:t>Voting</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2.11</w:t>
            </w:r>
          </w:p>
        </w:tc>
        <w:tc>
          <w:tcPr>
            <w:tcW w:w="9800" w:type="dxa"/>
            <w:vAlign w:val="bottom"/>
          </w:tcPr>
          <w:p>
            <w:pPr>
              <w:ind w:left="60"/>
              <w:spacing w:after="0"/>
              <w:rPr>
                <w:sz w:val="20"/>
                <w:szCs w:val="20"/>
                <w:color w:val="auto"/>
              </w:rPr>
            </w:pPr>
            <w:r>
              <w:rPr>
                <w:rFonts w:ascii="Arial" w:cs="Arial" w:eastAsia="Arial" w:hAnsi="Arial"/>
                <w:sz w:val="18"/>
                <w:szCs w:val="18"/>
                <w:color w:val="auto"/>
              </w:rPr>
              <w:t>Record Date for Stockholder Notice, Voting, Payment and Written Consent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2.12</w:t>
            </w:r>
          </w:p>
        </w:tc>
        <w:tc>
          <w:tcPr>
            <w:tcW w:w="9800" w:type="dxa"/>
            <w:vAlign w:val="bottom"/>
          </w:tcPr>
          <w:p>
            <w:pPr>
              <w:ind w:left="60"/>
              <w:spacing w:after="0"/>
              <w:rPr>
                <w:sz w:val="20"/>
                <w:szCs w:val="20"/>
                <w:color w:val="auto"/>
              </w:rPr>
            </w:pPr>
            <w:r>
              <w:rPr>
                <w:rFonts w:ascii="Arial" w:cs="Arial" w:eastAsia="Arial" w:hAnsi="Arial"/>
                <w:sz w:val="18"/>
                <w:szCs w:val="18"/>
                <w:color w:val="auto"/>
              </w:rPr>
              <w:t>Proxies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2.13</w:t>
            </w:r>
          </w:p>
        </w:tc>
        <w:tc>
          <w:tcPr>
            <w:tcW w:w="9800" w:type="dxa"/>
            <w:vAlign w:val="bottom"/>
          </w:tcPr>
          <w:p>
            <w:pPr>
              <w:ind w:left="60"/>
              <w:spacing w:after="0"/>
              <w:rPr>
                <w:sz w:val="20"/>
                <w:szCs w:val="20"/>
                <w:color w:val="auto"/>
              </w:rPr>
            </w:pPr>
            <w:r>
              <w:rPr>
                <w:rFonts w:ascii="Arial" w:cs="Arial" w:eastAsia="Arial" w:hAnsi="Arial"/>
                <w:sz w:val="18"/>
                <w:szCs w:val="18"/>
                <w:color w:val="auto"/>
              </w:rPr>
              <w:t>Inspectors of Election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2.14</w:t>
            </w:r>
          </w:p>
        </w:tc>
        <w:tc>
          <w:tcPr>
            <w:tcW w:w="9800" w:type="dxa"/>
            <w:vAlign w:val="bottom"/>
          </w:tcPr>
          <w:p>
            <w:pPr>
              <w:ind w:left="60"/>
              <w:spacing w:after="0"/>
              <w:rPr>
                <w:sz w:val="20"/>
                <w:szCs w:val="20"/>
                <w:color w:val="auto"/>
              </w:rPr>
            </w:pPr>
            <w:r>
              <w:rPr>
                <w:rFonts w:ascii="Arial" w:cs="Arial" w:eastAsia="Arial" w:hAnsi="Arial"/>
                <w:sz w:val="18"/>
                <w:szCs w:val="18"/>
                <w:color w:val="auto"/>
              </w:rPr>
              <w:t>Inspectors of Written Consent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color w:val="auto"/>
              </w:rPr>
              <w:t>ARTICLE 3 Directors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tcPr>
          <w:p>
            <w:pPr>
              <w:ind w:left="360"/>
              <w:spacing w:after="0"/>
              <w:rPr>
                <w:sz w:val="20"/>
                <w:szCs w:val="20"/>
                <w:color w:val="auto"/>
              </w:rPr>
            </w:pPr>
            <w:r>
              <w:rPr>
                <w:rFonts w:ascii="Arial" w:cs="Arial" w:eastAsia="Arial" w:hAnsi="Arial"/>
                <w:sz w:val="18"/>
                <w:szCs w:val="18"/>
                <w:color w:val="auto"/>
              </w:rPr>
              <w:t>3.1</w:t>
            </w:r>
          </w:p>
        </w:tc>
        <w:tc>
          <w:tcPr>
            <w:tcW w:w="9800" w:type="dxa"/>
            <w:vAlign w:val="bottom"/>
          </w:tcPr>
          <w:p>
            <w:pPr>
              <w:ind w:left="60"/>
              <w:spacing w:after="0"/>
              <w:rPr>
                <w:sz w:val="20"/>
                <w:szCs w:val="20"/>
                <w:color w:val="auto"/>
              </w:rPr>
            </w:pPr>
            <w:r>
              <w:rPr>
                <w:rFonts w:ascii="Arial" w:cs="Arial" w:eastAsia="Arial" w:hAnsi="Arial"/>
                <w:sz w:val="18"/>
                <w:szCs w:val="18"/>
                <w:color w:val="auto"/>
              </w:rPr>
              <w:t>Number, Election, Tenure and Qualifications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3.1A</w:t>
            </w:r>
          </w:p>
        </w:tc>
        <w:tc>
          <w:tcPr>
            <w:tcW w:w="9800" w:type="dxa"/>
            <w:vAlign w:val="bottom"/>
          </w:tcPr>
          <w:p>
            <w:pPr>
              <w:ind w:left="60"/>
              <w:spacing w:after="0"/>
              <w:rPr>
                <w:sz w:val="20"/>
                <w:szCs w:val="20"/>
                <w:color w:val="auto"/>
              </w:rPr>
            </w:pPr>
            <w:r>
              <w:rPr>
                <w:rFonts w:ascii="Arial" w:cs="Arial" w:eastAsia="Arial" w:hAnsi="Arial"/>
                <w:sz w:val="18"/>
                <w:szCs w:val="18"/>
                <w:color w:val="auto"/>
              </w:rPr>
              <w:t>Proxy Access for Director Nominations.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3.2</w:t>
            </w:r>
          </w:p>
        </w:tc>
        <w:tc>
          <w:tcPr>
            <w:tcW w:w="9800" w:type="dxa"/>
            <w:vAlign w:val="bottom"/>
          </w:tcPr>
          <w:p>
            <w:pPr>
              <w:ind w:left="60"/>
              <w:spacing w:after="0"/>
              <w:rPr>
                <w:sz w:val="20"/>
                <w:szCs w:val="20"/>
                <w:color w:val="auto"/>
              </w:rPr>
            </w:pPr>
            <w:r>
              <w:rPr>
                <w:rFonts w:ascii="Arial" w:cs="Arial" w:eastAsia="Arial" w:hAnsi="Arial"/>
                <w:sz w:val="18"/>
                <w:szCs w:val="18"/>
                <w:color w:val="auto"/>
              </w:rPr>
              <w:t>Enlargement and Vacancies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3.3</w:t>
            </w:r>
          </w:p>
        </w:tc>
        <w:tc>
          <w:tcPr>
            <w:tcW w:w="9800" w:type="dxa"/>
            <w:vAlign w:val="bottom"/>
          </w:tcPr>
          <w:p>
            <w:pPr>
              <w:ind w:left="60"/>
              <w:spacing w:after="0"/>
              <w:rPr>
                <w:sz w:val="20"/>
                <w:szCs w:val="20"/>
                <w:color w:val="auto"/>
              </w:rPr>
            </w:pPr>
            <w:r>
              <w:rPr>
                <w:rFonts w:ascii="Arial" w:cs="Arial" w:eastAsia="Arial" w:hAnsi="Arial"/>
                <w:sz w:val="18"/>
                <w:szCs w:val="18"/>
                <w:color w:val="auto"/>
              </w:rPr>
              <w:t>Resignation and Removal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tcPr>
          <w:p>
            <w:pPr>
              <w:ind w:left="360"/>
              <w:spacing w:after="0" w:line="194" w:lineRule="exact"/>
              <w:rPr>
                <w:sz w:val="20"/>
                <w:szCs w:val="20"/>
                <w:color w:val="auto"/>
              </w:rPr>
            </w:pPr>
            <w:r>
              <w:rPr>
                <w:rFonts w:ascii="Arial" w:cs="Arial" w:eastAsia="Arial" w:hAnsi="Arial"/>
                <w:sz w:val="18"/>
                <w:szCs w:val="18"/>
                <w:color w:val="auto"/>
              </w:rPr>
              <w:t>3.4</w:t>
            </w:r>
          </w:p>
        </w:tc>
        <w:tc>
          <w:tcPr>
            <w:tcW w:w="9800" w:type="dxa"/>
            <w:vAlign w:val="bottom"/>
          </w:tcPr>
          <w:p>
            <w:pPr>
              <w:ind w:left="60"/>
              <w:spacing w:after="0" w:line="194" w:lineRule="exact"/>
              <w:rPr>
                <w:sz w:val="20"/>
                <w:szCs w:val="20"/>
                <w:color w:val="auto"/>
              </w:rPr>
            </w:pPr>
            <w:r>
              <w:rPr>
                <w:rFonts w:ascii="Arial" w:cs="Arial" w:eastAsia="Arial" w:hAnsi="Arial"/>
                <w:sz w:val="18"/>
                <w:szCs w:val="18"/>
                <w:color w:val="auto"/>
              </w:rPr>
              <w:t>Powers</w:t>
            </w:r>
          </w:p>
        </w:tc>
        <w:tc>
          <w:tcPr>
            <w:tcW w:w="220" w:type="dxa"/>
            <w:vAlign w:val="bottom"/>
          </w:tcPr>
          <w:p>
            <w:pPr>
              <w:ind w:left="40"/>
              <w:spacing w:after="0" w:line="194" w:lineRule="exact"/>
              <w:rPr>
                <w:sz w:val="20"/>
                <w:szCs w:val="20"/>
                <w:color w:val="auto"/>
              </w:rPr>
            </w:pPr>
            <w:r>
              <w:rPr>
                <w:rFonts w:ascii="Arial" w:cs="Arial" w:eastAsia="Arial" w:hAnsi="Arial"/>
                <w:sz w:val="18"/>
                <w:szCs w:val="18"/>
                <w:color w:val="FF0000"/>
                <w:strike w:val="1"/>
                <w:w w:val="79"/>
              </w:rPr>
              <w:t>18</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60" w:type="dxa"/>
            <w:vAlign w:val="bottom"/>
            <w:vMerge w:val="restart"/>
          </w:tcPr>
          <w:p>
            <w:pPr>
              <w:ind w:left="360"/>
              <w:spacing w:after="0"/>
              <w:rPr>
                <w:sz w:val="20"/>
                <w:szCs w:val="20"/>
                <w:color w:val="auto"/>
              </w:rPr>
            </w:pPr>
            <w:r>
              <w:rPr>
                <w:rFonts w:ascii="Arial" w:cs="Arial" w:eastAsia="Arial" w:hAnsi="Arial"/>
                <w:sz w:val="18"/>
                <w:szCs w:val="18"/>
                <w:color w:val="auto"/>
              </w:rPr>
              <w:t>3.5</w:t>
            </w:r>
          </w:p>
        </w:tc>
        <w:tc>
          <w:tcPr>
            <w:tcW w:w="9800" w:type="dxa"/>
            <w:vAlign w:val="bottom"/>
            <w:vMerge w:val="restart"/>
          </w:tcPr>
          <w:p>
            <w:pPr>
              <w:ind w:left="60"/>
              <w:spacing w:after="0"/>
              <w:rPr>
                <w:sz w:val="20"/>
                <w:szCs w:val="20"/>
                <w:color w:val="auto"/>
              </w:rPr>
            </w:pPr>
            <w:r>
              <w:rPr>
                <w:rFonts w:ascii="Arial" w:cs="Arial" w:eastAsia="Arial" w:hAnsi="Arial"/>
                <w:sz w:val="18"/>
                <w:szCs w:val="18"/>
                <w:color w:val="auto"/>
              </w:rPr>
              <w:t>Place of Meetings</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0" w:type="dxa"/>
            <w:vAlign w:val="bottom"/>
            <w:vMerge w:val="continue"/>
          </w:tcPr>
          <w:p>
            <w:pPr>
              <w:spacing w:after="0"/>
              <w:rPr>
                <w:sz w:val="15"/>
                <w:szCs w:val="15"/>
                <w:color w:val="auto"/>
              </w:rPr>
            </w:pPr>
          </w:p>
        </w:tc>
        <w:tc>
          <w:tcPr>
            <w:tcW w:w="98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3.6</w:t>
            </w:r>
          </w:p>
        </w:tc>
        <w:tc>
          <w:tcPr>
            <w:tcW w:w="9800" w:type="dxa"/>
            <w:vAlign w:val="bottom"/>
          </w:tcPr>
          <w:p>
            <w:pPr>
              <w:ind w:left="60"/>
              <w:spacing w:after="0"/>
              <w:rPr>
                <w:sz w:val="20"/>
                <w:szCs w:val="20"/>
                <w:color w:val="auto"/>
              </w:rPr>
            </w:pPr>
            <w:r>
              <w:rPr>
                <w:rFonts w:ascii="Arial" w:cs="Arial" w:eastAsia="Arial" w:hAnsi="Arial"/>
                <w:sz w:val="18"/>
                <w:szCs w:val="18"/>
                <w:color w:val="auto"/>
              </w:rPr>
              <w:t>Organizational Meetings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3.7</w:t>
            </w:r>
          </w:p>
        </w:tc>
        <w:tc>
          <w:tcPr>
            <w:tcW w:w="980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3.8</w:t>
            </w:r>
          </w:p>
        </w:tc>
        <w:tc>
          <w:tcPr>
            <w:tcW w:w="980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3.9</w:t>
            </w:r>
          </w:p>
        </w:tc>
        <w:tc>
          <w:tcPr>
            <w:tcW w:w="9800" w:type="dxa"/>
            <w:vAlign w:val="bottom"/>
          </w:tcPr>
          <w:p>
            <w:pPr>
              <w:ind w:left="60"/>
              <w:spacing w:after="0"/>
              <w:rPr>
                <w:sz w:val="20"/>
                <w:szCs w:val="20"/>
                <w:color w:val="auto"/>
              </w:rPr>
            </w:pPr>
            <w:r>
              <w:rPr>
                <w:rFonts w:ascii="Arial" w:cs="Arial" w:eastAsia="Arial" w:hAnsi="Arial"/>
                <w:sz w:val="18"/>
                <w:szCs w:val="18"/>
                <w:color w:val="auto"/>
              </w:rPr>
              <w:t>Quorum, Action at Meeting, Adjournments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tcPr>
          <w:p>
            <w:pPr>
              <w:ind w:left="360"/>
              <w:spacing w:after="0" w:line="194" w:lineRule="exact"/>
              <w:rPr>
                <w:sz w:val="20"/>
                <w:szCs w:val="20"/>
                <w:color w:val="auto"/>
              </w:rPr>
            </w:pPr>
            <w:r>
              <w:rPr>
                <w:rFonts w:ascii="Arial" w:cs="Arial" w:eastAsia="Arial" w:hAnsi="Arial"/>
                <w:sz w:val="18"/>
                <w:szCs w:val="18"/>
                <w:color w:val="auto"/>
              </w:rPr>
              <w:t>3.10</w:t>
            </w:r>
          </w:p>
        </w:tc>
        <w:tc>
          <w:tcPr>
            <w:tcW w:w="9800" w:type="dxa"/>
            <w:vAlign w:val="bottom"/>
          </w:tcPr>
          <w:p>
            <w:pPr>
              <w:ind w:left="60"/>
              <w:spacing w:after="0" w:line="194" w:lineRule="exact"/>
              <w:rPr>
                <w:sz w:val="20"/>
                <w:szCs w:val="20"/>
                <w:color w:val="auto"/>
              </w:rPr>
            </w:pPr>
            <w:r>
              <w:rPr>
                <w:rFonts w:ascii="Arial" w:cs="Arial" w:eastAsia="Arial" w:hAnsi="Arial"/>
                <w:sz w:val="18"/>
                <w:szCs w:val="18"/>
                <w:color w:val="auto"/>
              </w:rPr>
              <w:t>Action Without Meeting</w:t>
            </w:r>
          </w:p>
        </w:tc>
        <w:tc>
          <w:tcPr>
            <w:tcW w:w="220" w:type="dxa"/>
            <w:vAlign w:val="bottom"/>
          </w:tcPr>
          <w:p>
            <w:pPr>
              <w:ind w:left="40"/>
              <w:spacing w:after="0" w:line="194" w:lineRule="exact"/>
              <w:rPr>
                <w:sz w:val="20"/>
                <w:szCs w:val="20"/>
                <w:color w:val="auto"/>
              </w:rPr>
            </w:pPr>
            <w:r>
              <w:rPr>
                <w:rFonts w:ascii="Arial" w:cs="Arial" w:eastAsia="Arial" w:hAnsi="Arial"/>
                <w:sz w:val="18"/>
                <w:szCs w:val="18"/>
                <w:color w:val="FF0000"/>
                <w:strike w:val="1"/>
                <w:w w:val="79"/>
              </w:rPr>
              <w:t>19</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60"/>
              <w:spacing w:after="0"/>
              <w:rPr>
                <w:sz w:val="20"/>
                <w:szCs w:val="20"/>
                <w:color w:val="auto"/>
              </w:rPr>
            </w:pPr>
            <w:r>
              <w:rPr>
                <w:rFonts w:ascii="Arial" w:cs="Arial" w:eastAsia="Arial" w:hAnsi="Arial"/>
                <w:sz w:val="18"/>
                <w:szCs w:val="18"/>
                <w:color w:val="auto"/>
              </w:rPr>
              <w:t>3.11</w:t>
            </w:r>
          </w:p>
        </w:tc>
        <w:tc>
          <w:tcPr>
            <w:tcW w:w="9800" w:type="dxa"/>
            <w:vAlign w:val="bottom"/>
            <w:vMerge w:val="restart"/>
          </w:tcPr>
          <w:p>
            <w:pPr>
              <w:ind w:left="60"/>
              <w:spacing w:after="0"/>
              <w:rPr>
                <w:sz w:val="20"/>
                <w:szCs w:val="20"/>
                <w:color w:val="auto"/>
              </w:rPr>
            </w:pPr>
            <w:r>
              <w:rPr>
                <w:rFonts w:ascii="Arial" w:cs="Arial" w:eastAsia="Arial" w:hAnsi="Arial"/>
                <w:sz w:val="18"/>
                <w:szCs w:val="18"/>
                <w:color w:val="auto"/>
              </w:rPr>
              <w:t>Telephone Meetings</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0" w:type="dxa"/>
            <w:vAlign w:val="bottom"/>
            <w:vMerge w:val="continue"/>
          </w:tcPr>
          <w:p>
            <w:pPr>
              <w:spacing w:after="0"/>
              <w:rPr>
                <w:sz w:val="15"/>
                <w:szCs w:val="15"/>
                <w:color w:val="auto"/>
              </w:rPr>
            </w:pPr>
          </w:p>
        </w:tc>
        <w:tc>
          <w:tcPr>
            <w:tcW w:w="98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3.12</w:t>
            </w:r>
          </w:p>
        </w:tc>
        <w:tc>
          <w:tcPr>
            <w:tcW w:w="980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3.13</w:t>
            </w:r>
          </w:p>
        </w:tc>
        <w:tc>
          <w:tcPr>
            <w:tcW w:w="9800" w:type="dxa"/>
            <w:vAlign w:val="bottom"/>
          </w:tcPr>
          <w:p>
            <w:pPr>
              <w:ind w:left="60"/>
              <w:spacing w:after="0"/>
              <w:rPr>
                <w:sz w:val="20"/>
                <w:szCs w:val="20"/>
                <w:color w:val="auto"/>
              </w:rPr>
            </w:pPr>
            <w:r>
              <w:rPr>
                <w:rFonts w:ascii="Arial" w:cs="Arial" w:eastAsia="Arial" w:hAnsi="Arial"/>
                <w:sz w:val="18"/>
                <w:szCs w:val="18"/>
                <w:color w:val="auto"/>
              </w:rPr>
              <w:t>Fees and Compensation of Directors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tcPr>
          <w:p>
            <w:pPr>
              <w:ind w:left="360"/>
              <w:spacing w:after="0" w:line="194" w:lineRule="exact"/>
              <w:rPr>
                <w:sz w:val="20"/>
                <w:szCs w:val="20"/>
                <w:color w:val="auto"/>
              </w:rPr>
            </w:pPr>
            <w:r>
              <w:rPr>
                <w:rFonts w:ascii="Arial" w:cs="Arial" w:eastAsia="Arial" w:hAnsi="Arial"/>
                <w:sz w:val="18"/>
                <w:szCs w:val="18"/>
                <w:color w:val="auto"/>
              </w:rPr>
              <w:t>3.14</w:t>
            </w:r>
          </w:p>
        </w:tc>
        <w:tc>
          <w:tcPr>
            <w:tcW w:w="9800" w:type="dxa"/>
            <w:vAlign w:val="bottom"/>
          </w:tcPr>
          <w:p>
            <w:pPr>
              <w:ind w:left="60"/>
              <w:spacing w:after="0" w:line="194" w:lineRule="exact"/>
              <w:rPr>
                <w:sz w:val="20"/>
                <w:szCs w:val="20"/>
                <w:color w:val="auto"/>
              </w:rPr>
            </w:pPr>
            <w:r>
              <w:rPr>
                <w:rFonts w:ascii="Arial" w:cs="Arial" w:eastAsia="Arial" w:hAnsi="Arial"/>
                <w:sz w:val="18"/>
                <w:szCs w:val="18"/>
                <w:color w:val="auto"/>
              </w:rPr>
              <w:t>Rights of Inspection</w:t>
            </w:r>
          </w:p>
        </w:tc>
        <w:tc>
          <w:tcPr>
            <w:tcW w:w="220" w:type="dxa"/>
            <w:vAlign w:val="bottom"/>
          </w:tcPr>
          <w:p>
            <w:pPr>
              <w:ind w:left="40"/>
              <w:spacing w:after="0" w:line="194" w:lineRule="exact"/>
              <w:rPr>
                <w:sz w:val="20"/>
                <w:szCs w:val="20"/>
                <w:color w:val="auto"/>
              </w:rPr>
            </w:pPr>
            <w:r>
              <w:rPr>
                <w:rFonts w:ascii="Arial" w:cs="Arial" w:eastAsia="Arial" w:hAnsi="Arial"/>
                <w:sz w:val="18"/>
                <w:szCs w:val="18"/>
                <w:color w:val="FF0000"/>
                <w:strike w:val="1"/>
                <w:w w:val="79"/>
              </w:rPr>
              <w:t>20</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3.15</w:t>
            </w:r>
          </w:p>
        </w:tc>
        <w:tc>
          <w:tcPr>
            <w:tcW w:w="980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Lead Director</w:t>
            </w:r>
          </w:p>
        </w:tc>
        <w:tc>
          <w:tcPr>
            <w:tcW w:w="220" w:type="dxa"/>
            <w:vAlign w:val="bottom"/>
            <w:vMerge w:val="restart"/>
          </w:tcPr>
          <w:p>
            <w:pPr>
              <w:ind w:left="40"/>
              <w:spacing w:after="0" w:line="196" w:lineRule="exact"/>
              <w:rPr>
                <w:sz w:val="20"/>
                <w:szCs w:val="20"/>
                <w:color w:val="auto"/>
              </w:rPr>
            </w:pPr>
            <w:r>
              <w:rPr>
                <w:rFonts w:ascii="Arial" w:cs="Arial" w:eastAsia="Arial" w:hAnsi="Arial"/>
                <w:sz w:val="18"/>
                <w:szCs w:val="18"/>
                <w:color w:val="FF0000"/>
                <w:strike w:val="1"/>
                <w:w w:val="79"/>
              </w:rPr>
              <w:t>20</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760" w:type="dxa"/>
            <w:vAlign w:val="bottom"/>
            <w:vMerge w:val="continue"/>
          </w:tcPr>
          <w:p>
            <w:pPr>
              <w:spacing w:after="0"/>
              <w:rPr>
                <w:sz w:val="13"/>
                <w:szCs w:val="13"/>
                <w:color w:val="auto"/>
              </w:rPr>
            </w:pPr>
          </w:p>
        </w:tc>
        <w:tc>
          <w:tcPr>
            <w:tcW w:w="98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360"/>
              <w:spacing w:after="0"/>
              <w:rPr>
                <w:sz w:val="20"/>
                <w:szCs w:val="20"/>
                <w:color w:val="auto"/>
              </w:rPr>
            </w:pPr>
            <w:r>
              <w:rPr>
                <w:rFonts w:ascii="Arial" w:cs="Arial" w:eastAsia="Arial" w:hAnsi="Arial"/>
                <w:sz w:val="18"/>
                <w:szCs w:val="18"/>
                <w:color w:val="auto"/>
              </w:rPr>
              <w:t>3.16</w:t>
            </w:r>
          </w:p>
        </w:tc>
        <w:tc>
          <w:tcPr>
            <w:tcW w:w="9800" w:type="dxa"/>
            <w:vAlign w:val="bottom"/>
            <w:vMerge w:val="restart"/>
          </w:tcPr>
          <w:p>
            <w:pPr>
              <w:ind w:left="60"/>
              <w:spacing w:after="0"/>
              <w:rPr>
                <w:sz w:val="20"/>
                <w:szCs w:val="20"/>
                <w:color w:val="auto"/>
              </w:rPr>
            </w:pPr>
            <w:r>
              <w:rPr>
                <w:rFonts w:ascii="Arial" w:cs="Arial" w:eastAsia="Arial" w:hAnsi="Arial"/>
                <w:sz w:val="18"/>
                <w:szCs w:val="18"/>
                <w:color w:val="auto"/>
              </w:rPr>
              <w:t>Conditional Resignation</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760" w:type="dxa"/>
            <w:vAlign w:val="bottom"/>
            <w:vMerge w:val="continue"/>
          </w:tcPr>
          <w:p>
            <w:pPr>
              <w:spacing w:after="0"/>
              <w:rPr>
                <w:sz w:val="19"/>
                <w:szCs w:val="19"/>
                <w:color w:val="auto"/>
              </w:rPr>
            </w:pPr>
          </w:p>
        </w:tc>
        <w:tc>
          <w:tcPr>
            <w:tcW w:w="98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0560" w:type="dxa"/>
            <w:vAlign w:val="bottom"/>
            <w:gridSpan w:val="2"/>
          </w:tcPr>
          <w:p>
            <w:pPr>
              <w:spacing w:after="0"/>
              <w:rPr>
                <w:sz w:val="20"/>
                <w:szCs w:val="20"/>
                <w:color w:val="auto"/>
              </w:rPr>
            </w:pPr>
            <w:r>
              <w:rPr>
                <w:rFonts w:ascii="Arial" w:cs="Arial" w:eastAsia="Arial" w:hAnsi="Arial"/>
                <w:sz w:val="18"/>
                <w:szCs w:val="18"/>
                <w:color w:val="auto"/>
              </w:rPr>
              <w:t>ARTICLE 4 Officers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tcPr>
          <w:p>
            <w:pPr>
              <w:ind w:left="360"/>
              <w:spacing w:after="0"/>
              <w:rPr>
                <w:sz w:val="20"/>
                <w:szCs w:val="20"/>
                <w:color w:val="auto"/>
              </w:rPr>
            </w:pPr>
            <w:r>
              <w:rPr>
                <w:rFonts w:ascii="Arial" w:cs="Arial" w:eastAsia="Arial" w:hAnsi="Arial"/>
                <w:sz w:val="18"/>
                <w:szCs w:val="18"/>
                <w:color w:val="auto"/>
              </w:rPr>
              <w:t>4.1</w:t>
            </w:r>
          </w:p>
        </w:tc>
        <w:tc>
          <w:tcPr>
            <w:tcW w:w="9800" w:type="dxa"/>
            <w:vAlign w:val="bottom"/>
          </w:tcPr>
          <w:p>
            <w:pPr>
              <w:ind w:left="60"/>
              <w:spacing w:after="0"/>
              <w:rPr>
                <w:sz w:val="20"/>
                <w:szCs w:val="20"/>
                <w:color w:val="auto"/>
              </w:rPr>
            </w:pPr>
            <w:r>
              <w:rPr>
                <w:rFonts w:ascii="Arial" w:cs="Arial" w:eastAsia="Arial" w:hAnsi="Arial"/>
                <w:sz w:val="18"/>
                <w:szCs w:val="18"/>
                <w:color w:val="auto"/>
              </w:rPr>
              <w:t>Officers Designated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60" w:type="dxa"/>
            <w:vAlign w:val="bottom"/>
          </w:tcPr>
          <w:p>
            <w:pPr>
              <w:ind w:left="360"/>
              <w:spacing w:after="0"/>
              <w:rPr>
                <w:sz w:val="20"/>
                <w:szCs w:val="20"/>
                <w:color w:val="auto"/>
              </w:rPr>
            </w:pPr>
            <w:r>
              <w:rPr>
                <w:rFonts w:ascii="Arial" w:cs="Arial" w:eastAsia="Arial" w:hAnsi="Arial"/>
                <w:sz w:val="18"/>
                <w:szCs w:val="18"/>
                <w:color w:val="auto"/>
              </w:rPr>
              <w:t>4.2</w:t>
            </w:r>
          </w:p>
        </w:tc>
        <w:tc>
          <w:tcPr>
            <w:tcW w:w="980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tcPr>
          <w:p>
            <w:pPr>
              <w:ind w:left="360"/>
              <w:spacing w:after="0" w:line="194" w:lineRule="exact"/>
              <w:rPr>
                <w:sz w:val="20"/>
                <w:szCs w:val="20"/>
                <w:color w:val="auto"/>
              </w:rPr>
            </w:pPr>
            <w:r>
              <w:rPr>
                <w:rFonts w:ascii="Arial" w:cs="Arial" w:eastAsia="Arial" w:hAnsi="Arial"/>
                <w:sz w:val="18"/>
                <w:szCs w:val="18"/>
                <w:color w:val="auto"/>
              </w:rPr>
              <w:t>4.3</w:t>
            </w:r>
          </w:p>
        </w:tc>
        <w:tc>
          <w:tcPr>
            <w:tcW w:w="9800" w:type="dxa"/>
            <w:vAlign w:val="bottom"/>
          </w:tcPr>
          <w:p>
            <w:pPr>
              <w:ind w:left="60"/>
              <w:spacing w:after="0" w:line="194" w:lineRule="exact"/>
              <w:rPr>
                <w:sz w:val="20"/>
                <w:szCs w:val="20"/>
                <w:color w:val="auto"/>
              </w:rPr>
            </w:pPr>
            <w:r>
              <w:rPr>
                <w:rFonts w:ascii="Arial" w:cs="Arial" w:eastAsia="Arial" w:hAnsi="Arial"/>
                <w:sz w:val="18"/>
                <w:szCs w:val="18"/>
                <w:color w:val="auto"/>
              </w:rPr>
              <w:t>Tenure</w:t>
            </w:r>
          </w:p>
        </w:tc>
        <w:tc>
          <w:tcPr>
            <w:tcW w:w="220" w:type="dxa"/>
            <w:vAlign w:val="bottom"/>
          </w:tcPr>
          <w:p>
            <w:pPr>
              <w:ind w:left="40"/>
              <w:spacing w:after="0" w:line="194" w:lineRule="exact"/>
              <w:rPr>
                <w:sz w:val="20"/>
                <w:szCs w:val="20"/>
                <w:color w:val="auto"/>
              </w:rPr>
            </w:pPr>
            <w:r>
              <w:rPr>
                <w:rFonts w:ascii="Arial" w:cs="Arial" w:eastAsia="Arial" w:hAnsi="Arial"/>
                <w:sz w:val="18"/>
                <w:szCs w:val="18"/>
                <w:color w:val="FF0000"/>
                <w:strike w:val="1"/>
                <w:w w:val="79"/>
              </w:rPr>
              <w:t>21</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486" w:right="4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33"/>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4.4</w:t>
            </w:r>
          </w:p>
        </w:tc>
        <w:tc>
          <w:tcPr>
            <w:tcW w:w="800" w:type="dxa"/>
            <w:vAlign w:val="bottom"/>
            <w:vMerge w:val="restart"/>
          </w:tcPr>
          <w:p>
            <w:pPr>
              <w:ind w:left="60"/>
              <w:spacing w:after="0"/>
              <w:rPr>
                <w:sz w:val="20"/>
                <w:szCs w:val="20"/>
                <w:color w:val="auto"/>
              </w:rPr>
            </w:pPr>
            <w:r>
              <w:rPr>
                <w:rFonts w:ascii="Arial" w:cs="Arial" w:eastAsia="Arial" w:hAnsi="Arial"/>
                <w:sz w:val="18"/>
                <w:szCs w:val="18"/>
                <w:color w:val="auto"/>
                <w:w w:val="92"/>
              </w:rPr>
              <w:t>Chair and</w:t>
            </w:r>
          </w:p>
        </w:tc>
        <w:tc>
          <w:tcPr>
            <w:tcW w:w="340" w:type="dxa"/>
            <w:vAlign w:val="bottom"/>
            <w:vMerge w:val="restart"/>
          </w:tcPr>
          <w:p>
            <w:pPr>
              <w:spacing w:after="0"/>
              <w:rPr>
                <w:sz w:val="20"/>
                <w:szCs w:val="20"/>
                <w:color w:val="auto"/>
              </w:rPr>
            </w:pPr>
            <w:r>
              <w:rPr>
                <w:rFonts w:ascii="Arial" w:cs="Arial" w:eastAsia="Arial" w:hAnsi="Arial"/>
                <w:sz w:val="18"/>
                <w:szCs w:val="18"/>
                <w:color w:val="FF0000"/>
                <w:strike w:val="1"/>
                <w:w w:val="91"/>
              </w:rPr>
              <w:t>Vice</w:t>
            </w:r>
          </w:p>
        </w:tc>
        <w:tc>
          <w:tcPr>
            <w:tcW w:w="3200" w:type="dxa"/>
            <w:vAlign w:val="bottom"/>
            <w:gridSpan w:val="5"/>
            <w:vMerge w:val="restart"/>
          </w:tcPr>
          <w:p>
            <w:pPr>
              <w:ind w:left="40"/>
              <w:spacing w:after="0"/>
              <w:rPr>
                <w:sz w:val="20"/>
                <w:szCs w:val="20"/>
                <w:color w:val="auto"/>
              </w:rPr>
            </w:pPr>
            <w:r>
              <w:rPr>
                <w:rFonts w:ascii="Arial" w:cs="Arial" w:eastAsia="Arial" w:hAnsi="Arial"/>
                <w:sz w:val="18"/>
                <w:szCs w:val="18"/>
                <w:color w:val="auto"/>
              </w:rPr>
              <w:t xml:space="preserve">Chair </w:t>
            </w:r>
            <w:r>
              <w:rPr>
                <w:rFonts w:ascii="Arial" w:cs="Arial" w:eastAsia="Arial" w:hAnsi="Arial"/>
                <w:sz w:val="18"/>
                <w:szCs w:val="18"/>
                <w:b w:val="1"/>
                <w:bCs w:val="1"/>
                <w:color w:val="0000FF"/>
              </w:rPr>
              <w:t>Pro Tem</w:t>
            </w:r>
          </w:p>
        </w:tc>
        <w:tc>
          <w:tcPr>
            <w:tcW w:w="5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200" w:type="dxa"/>
            <w:vAlign w:val="bottom"/>
            <w:gridSpan w:val="5"/>
            <w:vMerge w:val="continue"/>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4.5</w:t>
            </w: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auto"/>
                <w:w w:val="95"/>
              </w:rPr>
              <w:t>The Chief Executive</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40" w:type="dxa"/>
            <w:vAlign w:val="bottom"/>
            <w:vMerge w:val="restart"/>
          </w:tcPr>
          <w:p>
            <w:pPr>
              <w:spacing w:after="0" w:line="20" w:lineRule="exact"/>
              <w:rPr>
                <w:sz w:val="1"/>
                <w:szCs w:val="1"/>
                <w:color w:val="auto"/>
              </w:rPr>
            </w:pPr>
          </w:p>
        </w:tc>
        <w:tc>
          <w:tcPr>
            <w:tcW w:w="5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20" w:type="dxa"/>
            <w:vAlign w:val="bottom"/>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40" w:type="dxa"/>
            <w:vAlign w:val="bottom"/>
          </w:tcPr>
          <w:p>
            <w:pPr>
              <w:spacing w:after="0" w:line="182" w:lineRule="exact"/>
              <w:rPr>
                <w:sz w:val="20"/>
                <w:szCs w:val="20"/>
                <w:color w:val="auto"/>
              </w:rPr>
            </w:pPr>
            <w:r>
              <w:rPr>
                <w:rFonts w:ascii="Arial" w:cs="Arial" w:eastAsia="Arial" w:hAnsi="Arial"/>
                <w:sz w:val="18"/>
                <w:szCs w:val="18"/>
                <w:color w:val="auto"/>
              </w:rPr>
              <w:t>Officer</w:t>
            </w:r>
          </w:p>
        </w:tc>
        <w:tc>
          <w:tcPr>
            <w:tcW w:w="2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4.6</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The President</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4.7</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The Vice President</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360"/>
              <w:spacing w:after="0" w:line="194" w:lineRule="exact"/>
              <w:rPr>
                <w:sz w:val="20"/>
                <w:szCs w:val="20"/>
                <w:color w:val="auto"/>
              </w:rPr>
            </w:pPr>
            <w:r>
              <w:rPr>
                <w:rFonts w:ascii="Arial" w:cs="Arial" w:eastAsia="Arial" w:hAnsi="Arial"/>
                <w:sz w:val="18"/>
                <w:szCs w:val="18"/>
                <w:color w:val="auto"/>
              </w:rPr>
              <w:t>4.8</w:t>
            </w:r>
          </w:p>
        </w:tc>
        <w:tc>
          <w:tcPr>
            <w:tcW w:w="4340" w:type="dxa"/>
            <w:vAlign w:val="bottom"/>
            <w:gridSpan w:val="7"/>
          </w:tcPr>
          <w:p>
            <w:pPr>
              <w:ind w:left="60"/>
              <w:spacing w:after="0" w:line="194" w:lineRule="exact"/>
              <w:rPr>
                <w:sz w:val="20"/>
                <w:szCs w:val="20"/>
                <w:color w:val="auto"/>
              </w:rPr>
            </w:pPr>
            <w:r>
              <w:rPr>
                <w:rFonts w:ascii="Arial" w:cs="Arial" w:eastAsia="Arial" w:hAnsi="Arial"/>
                <w:sz w:val="18"/>
                <w:szCs w:val="18"/>
                <w:color w:val="auto"/>
              </w:rPr>
              <w:t>The Secretary</w:t>
            </w:r>
          </w:p>
        </w:tc>
        <w:tc>
          <w:tcPr>
            <w:tcW w:w="5720" w:type="dxa"/>
            <w:vAlign w:val="bottom"/>
          </w:tcPr>
          <w:p>
            <w:pPr>
              <w:jc w:val="right"/>
              <w:spacing w:after="0" w:line="194" w:lineRule="exact"/>
              <w:rPr>
                <w:sz w:val="20"/>
                <w:szCs w:val="20"/>
                <w:color w:val="auto"/>
              </w:rPr>
            </w:pPr>
            <w:r>
              <w:rPr>
                <w:rFonts w:ascii="Arial" w:cs="Arial" w:eastAsia="Arial" w:hAnsi="Arial"/>
                <w:sz w:val="18"/>
                <w:szCs w:val="18"/>
                <w:color w:val="FF0000"/>
                <w:strike w:val="1"/>
              </w:rPr>
              <w:t>22</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4.9</w:t>
            </w:r>
          </w:p>
        </w:tc>
        <w:tc>
          <w:tcPr>
            <w:tcW w:w="4340" w:type="dxa"/>
            <w:vAlign w:val="bottom"/>
            <w:gridSpan w:val="7"/>
            <w:vMerge w:val="restart"/>
          </w:tcPr>
          <w:p>
            <w:pPr>
              <w:ind w:left="60"/>
              <w:spacing w:after="0"/>
              <w:rPr>
                <w:sz w:val="20"/>
                <w:szCs w:val="20"/>
                <w:color w:val="auto"/>
              </w:rPr>
            </w:pPr>
            <w:r>
              <w:rPr>
                <w:rFonts w:ascii="Arial" w:cs="Arial" w:eastAsia="Arial" w:hAnsi="Arial"/>
                <w:sz w:val="18"/>
                <w:szCs w:val="18"/>
                <w:color w:val="auto"/>
              </w:rPr>
              <w:t>The Assistant Secretary</w:t>
            </w:r>
          </w:p>
        </w:tc>
        <w:tc>
          <w:tcPr>
            <w:tcW w:w="57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20" w:type="dxa"/>
            <w:vAlign w:val="bottom"/>
            <w:vMerge w:val="continue"/>
          </w:tcPr>
          <w:p>
            <w:pPr>
              <w:spacing w:after="0"/>
              <w:rPr>
                <w:sz w:val="15"/>
                <w:szCs w:val="15"/>
                <w:color w:val="auto"/>
              </w:rPr>
            </w:pPr>
          </w:p>
        </w:tc>
        <w:tc>
          <w:tcPr>
            <w:tcW w:w="4340" w:type="dxa"/>
            <w:vAlign w:val="bottom"/>
            <w:gridSpan w:val="7"/>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w w:val="96"/>
              </w:rPr>
              <w:t>4.10</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The Chief Financial Officer</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w w:val="96"/>
              </w:rPr>
              <w:t>4.11</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The Treasurer and Assistant Treasurers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360"/>
              <w:spacing w:after="0" w:line="194" w:lineRule="exact"/>
              <w:rPr>
                <w:sz w:val="20"/>
                <w:szCs w:val="20"/>
                <w:color w:val="auto"/>
              </w:rPr>
            </w:pPr>
            <w:r>
              <w:rPr>
                <w:rFonts w:ascii="Arial" w:cs="Arial" w:eastAsia="Arial" w:hAnsi="Arial"/>
                <w:sz w:val="18"/>
                <w:szCs w:val="18"/>
                <w:color w:val="auto"/>
                <w:w w:val="96"/>
              </w:rPr>
              <w:t>4.12</w:t>
            </w:r>
          </w:p>
        </w:tc>
        <w:tc>
          <w:tcPr>
            <w:tcW w:w="4340" w:type="dxa"/>
            <w:vAlign w:val="bottom"/>
            <w:gridSpan w:val="7"/>
          </w:tcPr>
          <w:p>
            <w:pPr>
              <w:ind w:left="60"/>
              <w:spacing w:after="0" w:line="194" w:lineRule="exact"/>
              <w:rPr>
                <w:sz w:val="20"/>
                <w:szCs w:val="20"/>
                <w:color w:val="auto"/>
              </w:rPr>
            </w:pPr>
            <w:r>
              <w:rPr>
                <w:rFonts w:ascii="Arial" w:cs="Arial" w:eastAsia="Arial" w:hAnsi="Arial"/>
                <w:sz w:val="18"/>
                <w:szCs w:val="18"/>
                <w:color w:val="auto"/>
              </w:rPr>
              <w:t>Bond</w:t>
            </w:r>
          </w:p>
        </w:tc>
        <w:tc>
          <w:tcPr>
            <w:tcW w:w="5720" w:type="dxa"/>
            <w:vAlign w:val="bottom"/>
          </w:tcPr>
          <w:p>
            <w:pPr>
              <w:jc w:val="right"/>
              <w:spacing w:after="0" w:line="194" w:lineRule="exact"/>
              <w:rPr>
                <w:sz w:val="20"/>
                <w:szCs w:val="20"/>
                <w:color w:val="auto"/>
              </w:rPr>
            </w:pPr>
            <w:r>
              <w:rPr>
                <w:rFonts w:ascii="Arial" w:cs="Arial" w:eastAsia="Arial" w:hAnsi="Arial"/>
                <w:sz w:val="18"/>
                <w:szCs w:val="18"/>
                <w:color w:val="FF0000"/>
                <w:strike w:val="1"/>
              </w:rPr>
              <w:t>23</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w w:val="96"/>
              </w:rPr>
              <w:t>4.13</w:t>
            </w:r>
          </w:p>
        </w:tc>
        <w:tc>
          <w:tcPr>
            <w:tcW w:w="4340" w:type="dxa"/>
            <w:vAlign w:val="bottom"/>
            <w:gridSpan w:val="7"/>
            <w:vMerge w:val="restart"/>
          </w:tcPr>
          <w:p>
            <w:pPr>
              <w:ind w:left="60"/>
              <w:spacing w:after="0"/>
              <w:rPr>
                <w:sz w:val="20"/>
                <w:szCs w:val="20"/>
                <w:color w:val="auto"/>
              </w:rPr>
            </w:pPr>
            <w:r>
              <w:rPr>
                <w:rFonts w:ascii="Arial" w:cs="Arial" w:eastAsia="Arial" w:hAnsi="Arial"/>
                <w:sz w:val="18"/>
                <w:szCs w:val="18"/>
                <w:color w:val="auto"/>
              </w:rPr>
              <w:t>Other Officers</w:t>
            </w:r>
          </w:p>
        </w:tc>
        <w:tc>
          <w:tcPr>
            <w:tcW w:w="57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720" w:type="dxa"/>
            <w:vAlign w:val="bottom"/>
            <w:vMerge w:val="continue"/>
          </w:tcPr>
          <w:p>
            <w:pPr>
              <w:spacing w:after="0"/>
              <w:rPr>
                <w:sz w:val="19"/>
                <w:szCs w:val="19"/>
                <w:color w:val="auto"/>
              </w:rPr>
            </w:pPr>
          </w:p>
        </w:tc>
        <w:tc>
          <w:tcPr>
            <w:tcW w:w="4340" w:type="dxa"/>
            <w:vAlign w:val="bottom"/>
            <w:gridSpan w:val="7"/>
            <w:vMerge w:val="continue"/>
          </w:tcPr>
          <w:p>
            <w:pPr>
              <w:spacing w:after="0"/>
              <w:rPr>
                <w:sz w:val="19"/>
                <w:szCs w:val="19"/>
                <w:color w:val="auto"/>
              </w:rPr>
            </w:pPr>
          </w:p>
        </w:tc>
        <w:tc>
          <w:tcPr>
            <w:tcW w:w="57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5060" w:type="dxa"/>
            <w:vAlign w:val="bottom"/>
            <w:gridSpan w:val="8"/>
          </w:tcPr>
          <w:p>
            <w:pPr>
              <w:spacing w:after="0"/>
              <w:rPr>
                <w:sz w:val="20"/>
                <w:szCs w:val="20"/>
                <w:color w:val="auto"/>
              </w:rPr>
            </w:pPr>
            <w:r>
              <w:rPr>
                <w:rFonts w:ascii="Arial" w:cs="Arial" w:eastAsia="Arial" w:hAnsi="Arial"/>
                <w:sz w:val="18"/>
                <w:szCs w:val="18"/>
                <w:color w:val="auto"/>
              </w:rPr>
              <w:t>ARTICLE 5 Notices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tcPr>
          <w:p>
            <w:pPr>
              <w:ind w:left="360"/>
              <w:spacing w:after="0"/>
              <w:rPr>
                <w:sz w:val="20"/>
                <w:szCs w:val="20"/>
                <w:color w:val="auto"/>
              </w:rPr>
            </w:pPr>
            <w:r>
              <w:rPr>
                <w:rFonts w:ascii="Arial" w:cs="Arial" w:eastAsia="Arial" w:hAnsi="Arial"/>
                <w:sz w:val="18"/>
                <w:szCs w:val="18"/>
                <w:color w:val="auto"/>
              </w:rPr>
              <w:t>5.1</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Delivery</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5.2</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Waiver of Notice</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60" w:type="dxa"/>
            <w:vAlign w:val="bottom"/>
            <w:gridSpan w:val="8"/>
          </w:tcPr>
          <w:p>
            <w:pPr>
              <w:spacing w:after="0"/>
              <w:rPr>
                <w:sz w:val="20"/>
                <w:szCs w:val="20"/>
                <w:color w:val="auto"/>
              </w:rPr>
            </w:pPr>
            <w:r>
              <w:rPr>
                <w:rFonts w:ascii="Arial" w:cs="Arial" w:eastAsia="Arial" w:hAnsi="Arial"/>
                <w:sz w:val="18"/>
                <w:szCs w:val="18"/>
                <w:color w:val="auto"/>
              </w:rPr>
              <w:t>ARTICLE 6 Indemnification and Insurance</w:t>
            </w:r>
          </w:p>
        </w:tc>
        <w:tc>
          <w:tcPr>
            <w:tcW w:w="5720" w:type="dxa"/>
            <w:vAlign w:val="bottom"/>
          </w:tcPr>
          <w:p>
            <w:pPr>
              <w:jc w:val="right"/>
              <w:spacing w:after="0"/>
              <w:rPr>
                <w:sz w:val="20"/>
                <w:szCs w:val="20"/>
                <w:color w:val="auto"/>
              </w:rPr>
            </w:pPr>
            <w:r>
              <w:rPr>
                <w:rFonts w:ascii="Arial" w:cs="Arial" w:eastAsia="Arial" w:hAnsi="Arial"/>
                <w:sz w:val="18"/>
                <w:szCs w:val="18"/>
                <w:color w:val="FF0000"/>
                <w:strike w:val="1"/>
              </w:rPr>
              <w:t>24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Indemnification</w:t>
            </w:r>
          </w:p>
        </w:tc>
        <w:tc>
          <w:tcPr>
            <w:tcW w:w="5720" w:type="dxa"/>
            <w:vAlign w:val="bottom"/>
          </w:tcPr>
          <w:p>
            <w:pPr>
              <w:jc w:val="right"/>
              <w:spacing w:after="0"/>
              <w:rPr>
                <w:sz w:val="20"/>
                <w:szCs w:val="20"/>
                <w:color w:val="auto"/>
              </w:rPr>
            </w:pPr>
            <w:r>
              <w:rPr>
                <w:rFonts w:ascii="Arial" w:cs="Arial" w:eastAsia="Arial" w:hAnsi="Arial"/>
                <w:sz w:val="18"/>
                <w:szCs w:val="18"/>
                <w:color w:val="FF0000"/>
                <w:strike w:val="1"/>
              </w:rPr>
              <w:t>24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6.2</w:t>
            </w:r>
          </w:p>
        </w:tc>
        <w:tc>
          <w:tcPr>
            <w:tcW w:w="4340" w:type="dxa"/>
            <w:vAlign w:val="bottom"/>
            <w:gridSpan w:val="7"/>
            <w:vMerge w:val="restart"/>
          </w:tcPr>
          <w:p>
            <w:pPr>
              <w:ind w:left="60"/>
              <w:spacing w:after="0"/>
              <w:rPr>
                <w:sz w:val="20"/>
                <w:szCs w:val="20"/>
                <w:color w:val="auto"/>
              </w:rPr>
            </w:pPr>
            <w:r>
              <w:rPr>
                <w:rFonts w:ascii="Arial" w:cs="Arial" w:eastAsia="Arial" w:hAnsi="Arial"/>
                <w:sz w:val="18"/>
                <w:szCs w:val="18"/>
                <w:color w:val="auto"/>
              </w:rPr>
              <w:t>Advance Payment</w:t>
            </w:r>
          </w:p>
        </w:tc>
        <w:tc>
          <w:tcPr>
            <w:tcW w:w="57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20" w:type="dxa"/>
            <w:vAlign w:val="bottom"/>
            <w:vMerge w:val="continue"/>
          </w:tcPr>
          <w:p>
            <w:pPr>
              <w:spacing w:after="0"/>
              <w:rPr>
                <w:sz w:val="15"/>
                <w:szCs w:val="15"/>
                <w:color w:val="auto"/>
              </w:rPr>
            </w:pPr>
          </w:p>
        </w:tc>
        <w:tc>
          <w:tcPr>
            <w:tcW w:w="4340" w:type="dxa"/>
            <w:vAlign w:val="bottom"/>
            <w:gridSpan w:val="7"/>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Non-Exclusivity and Survival of Rights; Amendments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Insurance</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360"/>
              <w:spacing w:after="0" w:line="194" w:lineRule="exact"/>
              <w:rPr>
                <w:sz w:val="20"/>
                <w:szCs w:val="20"/>
                <w:color w:val="auto"/>
              </w:rPr>
            </w:pPr>
            <w:r>
              <w:rPr>
                <w:rFonts w:ascii="Arial" w:cs="Arial" w:eastAsia="Arial" w:hAnsi="Arial"/>
                <w:sz w:val="18"/>
                <w:szCs w:val="18"/>
                <w:color w:val="auto"/>
              </w:rPr>
              <w:t>6.5</w:t>
            </w:r>
          </w:p>
        </w:tc>
        <w:tc>
          <w:tcPr>
            <w:tcW w:w="4340" w:type="dxa"/>
            <w:vAlign w:val="bottom"/>
            <w:gridSpan w:val="7"/>
          </w:tcPr>
          <w:p>
            <w:pPr>
              <w:ind w:left="60"/>
              <w:spacing w:after="0" w:line="194" w:lineRule="exact"/>
              <w:rPr>
                <w:sz w:val="20"/>
                <w:szCs w:val="20"/>
                <w:color w:val="auto"/>
              </w:rPr>
            </w:pPr>
            <w:r>
              <w:rPr>
                <w:rFonts w:ascii="Arial" w:cs="Arial" w:eastAsia="Arial" w:hAnsi="Arial"/>
                <w:sz w:val="18"/>
                <w:szCs w:val="18"/>
                <w:color w:val="auto"/>
              </w:rPr>
              <w:t>Severability</w:t>
            </w:r>
          </w:p>
        </w:tc>
        <w:tc>
          <w:tcPr>
            <w:tcW w:w="5720" w:type="dxa"/>
            <w:vAlign w:val="bottom"/>
          </w:tcPr>
          <w:p>
            <w:pPr>
              <w:jc w:val="right"/>
              <w:spacing w:after="0" w:line="194" w:lineRule="exact"/>
              <w:rPr>
                <w:sz w:val="20"/>
                <w:szCs w:val="20"/>
                <w:color w:val="auto"/>
              </w:rPr>
            </w:pPr>
            <w:r>
              <w:rPr>
                <w:rFonts w:ascii="Arial" w:cs="Arial" w:eastAsia="Arial" w:hAnsi="Arial"/>
                <w:sz w:val="18"/>
                <w:szCs w:val="18"/>
                <w:color w:val="FF0000"/>
                <w:strike w:val="1"/>
              </w:rPr>
              <w:t>28</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6.6</w:t>
            </w:r>
          </w:p>
        </w:tc>
        <w:tc>
          <w:tcPr>
            <w:tcW w:w="4340" w:type="dxa"/>
            <w:vAlign w:val="bottom"/>
            <w:gridSpan w:val="7"/>
            <w:vMerge w:val="restart"/>
          </w:tcPr>
          <w:p>
            <w:pPr>
              <w:ind w:left="60"/>
              <w:spacing w:after="0"/>
              <w:rPr>
                <w:sz w:val="20"/>
                <w:szCs w:val="20"/>
                <w:color w:val="auto"/>
              </w:rPr>
            </w:pPr>
            <w:r>
              <w:rPr>
                <w:rFonts w:ascii="Arial" w:cs="Arial" w:eastAsia="Arial" w:hAnsi="Arial"/>
                <w:sz w:val="18"/>
                <w:szCs w:val="18"/>
                <w:color w:val="auto"/>
              </w:rPr>
              <w:t>Definitions</w:t>
            </w:r>
          </w:p>
        </w:tc>
        <w:tc>
          <w:tcPr>
            <w:tcW w:w="57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720" w:type="dxa"/>
            <w:vAlign w:val="bottom"/>
            <w:vMerge w:val="continue"/>
          </w:tcPr>
          <w:p>
            <w:pPr>
              <w:spacing w:after="0"/>
              <w:rPr>
                <w:sz w:val="15"/>
                <w:szCs w:val="15"/>
                <w:color w:val="auto"/>
              </w:rPr>
            </w:pPr>
          </w:p>
        </w:tc>
        <w:tc>
          <w:tcPr>
            <w:tcW w:w="4340" w:type="dxa"/>
            <w:vAlign w:val="bottom"/>
            <w:gridSpan w:val="7"/>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w w:val="79"/>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360"/>
              <w:spacing w:after="0" w:line="194" w:lineRule="exact"/>
              <w:rPr>
                <w:sz w:val="20"/>
                <w:szCs w:val="20"/>
                <w:color w:val="auto"/>
              </w:rPr>
            </w:pPr>
            <w:r>
              <w:rPr>
                <w:rFonts w:ascii="Arial" w:cs="Arial" w:eastAsia="Arial" w:hAnsi="Arial"/>
                <w:sz w:val="18"/>
                <w:szCs w:val="18"/>
                <w:color w:val="auto"/>
              </w:rPr>
              <w:t>6.7</w:t>
            </w:r>
          </w:p>
        </w:tc>
        <w:tc>
          <w:tcPr>
            <w:tcW w:w="4340" w:type="dxa"/>
            <w:vAlign w:val="bottom"/>
            <w:gridSpan w:val="7"/>
          </w:tcPr>
          <w:p>
            <w:pPr>
              <w:ind w:left="60"/>
              <w:spacing w:after="0" w:line="194" w:lineRule="exact"/>
              <w:rPr>
                <w:sz w:val="20"/>
                <w:szCs w:val="20"/>
                <w:color w:val="auto"/>
              </w:rPr>
            </w:pPr>
            <w:r>
              <w:rPr>
                <w:rFonts w:ascii="Arial" w:cs="Arial" w:eastAsia="Arial" w:hAnsi="Arial"/>
                <w:sz w:val="18"/>
                <w:szCs w:val="18"/>
                <w:color w:val="auto"/>
              </w:rPr>
              <w:t>Notices</w:t>
            </w:r>
          </w:p>
        </w:tc>
        <w:tc>
          <w:tcPr>
            <w:tcW w:w="5720" w:type="dxa"/>
            <w:vAlign w:val="bottom"/>
          </w:tcPr>
          <w:p>
            <w:pPr>
              <w:jc w:val="right"/>
              <w:spacing w:after="0" w:line="194" w:lineRule="exact"/>
              <w:rPr>
                <w:sz w:val="20"/>
                <w:szCs w:val="20"/>
                <w:color w:val="auto"/>
              </w:rPr>
            </w:pPr>
            <w:r>
              <w:rPr>
                <w:rFonts w:ascii="Arial" w:cs="Arial" w:eastAsia="Arial" w:hAnsi="Arial"/>
                <w:sz w:val="18"/>
                <w:szCs w:val="18"/>
                <w:color w:val="FF0000"/>
                <w:strike w:val="1"/>
              </w:rPr>
              <w:t>30</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060" w:type="dxa"/>
            <w:vAlign w:val="bottom"/>
            <w:gridSpan w:val="8"/>
          </w:tcPr>
          <w:p>
            <w:pPr>
              <w:spacing w:after="0"/>
              <w:rPr>
                <w:sz w:val="20"/>
                <w:szCs w:val="20"/>
                <w:color w:val="auto"/>
              </w:rPr>
            </w:pPr>
            <w:r>
              <w:rPr>
                <w:rFonts w:ascii="Arial" w:cs="Arial" w:eastAsia="Arial" w:hAnsi="Arial"/>
                <w:sz w:val="18"/>
                <w:szCs w:val="18"/>
                <w:color w:val="auto"/>
              </w:rPr>
              <w:t>ARTICLE 7 Capital Stock</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Certificates for Shares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ind w:left="360"/>
              <w:spacing w:after="0" w:line="194" w:lineRule="exact"/>
              <w:rPr>
                <w:sz w:val="20"/>
                <w:szCs w:val="20"/>
                <w:color w:val="auto"/>
              </w:rPr>
            </w:pPr>
            <w:r>
              <w:rPr>
                <w:rFonts w:ascii="Arial" w:cs="Arial" w:eastAsia="Arial" w:hAnsi="Arial"/>
                <w:sz w:val="18"/>
                <w:szCs w:val="18"/>
                <w:color w:val="auto"/>
              </w:rPr>
              <w:t>7.2</w:t>
            </w:r>
          </w:p>
        </w:tc>
        <w:tc>
          <w:tcPr>
            <w:tcW w:w="4340" w:type="dxa"/>
            <w:vAlign w:val="bottom"/>
            <w:gridSpan w:val="7"/>
          </w:tcPr>
          <w:p>
            <w:pPr>
              <w:ind w:left="60"/>
              <w:spacing w:after="0" w:line="194" w:lineRule="exact"/>
              <w:rPr>
                <w:sz w:val="20"/>
                <w:szCs w:val="20"/>
                <w:color w:val="auto"/>
              </w:rPr>
            </w:pPr>
            <w:r>
              <w:rPr>
                <w:rFonts w:ascii="Arial" w:cs="Arial" w:eastAsia="Arial" w:hAnsi="Arial"/>
                <w:sz w:val="18"/>
                <w:szCs w:val="18"/>
                <w:color w:val="auto"/>
              </w:rPr>
              <w:t>Signatures on Certificates</w:t>
            </w:r>
          </w:p>
        </w:tc>
        <w:tc>
          <w:tcPr>
            <w:tcW w:w="5720" w:type="dxa"/>
            <w:vAlign w:val="bottom"/>
          </w:tcPr>
          <w:p>
            <w:pPr>
              <w:jc w:val="right"/>
              <w:spacing w:after="0" w:line="194" w:lineRule="exact"/>
              <w:rPr>
                <w:sz w:val="20"/>
                <w:szCs w:val="20"/>
                <w:color w:val="auto"/>
              </w:rPr>
            </w:pPr>
            <w:r>
              <w:rPr>
                <w:rFonts w:ascii="Arial" w:cs="Arial" w:eastAsia="Arial" w:hAnsi="Arial"/>
                <w:sz w:val="18"/>
                <w:szCs w:val="18"/>
                <w:color w:val="FF0000"/>
                <w:strike w:val="1"/>
              </w:rPr>
              <w:t>31</w:t>
            </w:r>
          </w:p>
        </w:tc>
        <w:tc>
          <w:tcPr>
            <w:tcW w:w="18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7.3</w:t>
            </w:r>
          </w:p>
        </w:tc>
        <w:tc>
          <w:tcPr>
            <w:tcW w:w="4340" w:type="dxa"/>
            <w:vAlign w:val="bottom"/>
            <w:gridSpan w:val="7"/>
            <w:vMerge w:val="restart"/>
          </w:tcPr>
          <w:p>
            <w:pPr>
              <w:ind w:left="60"/>
              <w:spacing w:after="0" w:line="196" w:lineRule="exact"/>
              <w:rPr>
                <w:sz w:val="20"/>
                <w:szCs w:val="20"/>
                <w:color w:val="auto"/>
              </w:rPr>
            </w:pPr>
            <w:r>
              <w:rPr>
                <w:rFonts w:ascii="Arial" w:cs="Arial" w:eastAsia="Arial" w:hAnsi="Arial"/>
                <w:sz w:val="18"/>
                <w:szCs w:val="18"/>
                <w:color w:val="auto"/>
              </w:rPr>
              <w:t>Transfer of Stock</w:t>
            </w:r>
          </w:p>
        </w:tc>
        <w:tc>
          <w:tcPr>
            <w:tcW w:w="572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rPr>
              <w:t>31</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720" w:type="dxa"/>
            <w:vAlign w:val="bottom"/>
            <w:vMerge w:val="continue"/>
          </w:tcPr>
          <w:p>
            <w:pPr>
              <w:spacing w:after="0"/>
              <w:rPr>
                <w:sz w:val="13"/>
                <w:szCs w:val="13"/>
                <w:color w:val="auto"/>
              </w:rPr>
            </w:pPr>
          </w:p>
        </w:tc>
        <w:tc>
          <w:tcPr>
            <w:tcW w:w="4340" w:type="dxa"/>
            <w:vAlign w:val="bottom"/>
            <w:gridSpan w:val="7"/>
            <w:vMerge w:val="continue"/>
          </w:tcPr>
          <w:p>
            <w:pPr>
              <w:spacing w:after="0"/>
              <w:rPr>
                <w:sz w:val="13"/>
                <w:szCs w:val="13"/>
                <w:color w:val="auto"/>
              </w:rPr>
            </w:pPr>
          </w:p>
        </w:tc>
        <w:tc>
          <w:tcPr>
            <w:tcW w:w="572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7.4</w:t>
            </w:r>
          </w:p>
        </w:tc>
        <w:tc>
          <w:tcPr>
            <w:tcW w:w="4340" w:type="dxa"/>
            <w:vAlign w:val="bottom"/>
            <w:gridSpan w:val="7"/>
            <w:vMerge w:val="restart"/>
          </w:tcPr>
          <w:p>
            <w:pPr>
              <w:ind w:left="60"/>
              <w:spacing w:after="0"/>
              <w:rPr>
                <w:sz w:val="20"/>
                <w:szCs w:val="20"/>
                <w:color w:val="auto"/>
              </w:rPr>
            </w:pPr>
            <w:r>
              <w:rPr>
                <w:rFonts w:ascii="Arial" w:cs="Arial" w:eastAsia="Arial" w:hAnsi="Arial"/>
                <w:sz w:val="18"/>
                <w:szCs w:val="18"/>
                <w:color w:val="auto"/>
              </w:rPr>
              <w:t>Registered Stockholders</w:t>
            </w:r>
          </w:p>
        </w:tc>
        <w:tc>
          <w:tcPr>
            <w:tcW w:w="57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20" w:type="dxa"/>
            <w:vAlign w:val="bottom"/>
            <w:vMerge w:val="continue"/>
          </w:tcPr>
          <w:p>
            <w:pPr>
              <w:spacing w:after="0"/>
              <w:rPr>
                <w:sz w:val="15"/>
                <w:szCs w:val="15"/>
                <w:color w:val="auto"/>
              </w:rPr>
            </w:pPr>
          </w:p>
        </w:tc>
        <w:tc>
          <w:tcPr>
            <w:tcW w:w="4340" w:type="dxa"/>
            <w:vAlign w:val="bottom"/>
            <w:gridSpan w:val="7"/>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7.5</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Lost, Stolen or Destroyed Certificates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60" w:type="dxa"/>
            <w:vAlign w:val="bottom"/>
            <w:gridSpan w:val="8"/>
          </w:tcPr>
          <w:p>
            <w:pPr>
              <w:spacing w:after="0"/>
              <w:rPr>
                <w:sz w:val="20"/>
                <w:szCs w:val="20"/>
                <w:color w:val="auto"/>
              </w:rPr>
            </w:pPr>
            <w:r>
              <w:rPr>
                <w:rFonts w:ascii="Arial" w:cs="Arial" w:eastAsia="Arial" w:hAnsi="Arial"/>
                <w:sz w:val="18"/>
                <w:szCs w:val="18"/>
                <w:color w:val="auto"/>
              </w:rPr>
              <w:t>ARTICLE 8 General Provisions</w:t>
            </w:r>
          </w:p>
        </w:tc>
        <w:tc>
          <w:tcPr>
            <w:tcW w:w="5720" w:type="dxa"/>
            <w:vAlign w:val="bottom"/>
          </w:tcPr>
          <w:p>
            <w:pPr>
              <w:jc w:val="right"/>
              <w:spacing w:after="0"/>
              <w:rPr>
                <w:sz w:val="20"/>
                <w:szCs w:val="20"/>
                <w:color w:val="auto"/>
              </w:rPr>
            </w:pPr>
            <w:r>
              <w:rPr>
                <w:rFonts w:ascii="Arial" w:cs="Arial" w:eastAsia="Arial" w:hAnsi="Arial"/>
                <w:sz w:val="18"/>
                <w:szCs w:val="18"/>
                <w:color w:val="FF0000"/>
                <w:strike w:val="1"/>
              </w:rPr>
              <w:t>32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360"/>
              <w:spacing w:after="0"/>
              <w:rPr>
                <w:sz w:val="20"/>
                <w:szCs w:val="20"/>
                <w:color w:val="auto"/>
              </w:rPr>
            </w:pPr>
            <w:r>
              <w:rPr>
                <w:rFonts w:ascii="Arial" w:cs="Arial" w:eastAsia="Arial" w:hAnsi="Arial"/>
                <w:sz w:val="18"/>
                <w:szCs w:val="18"/>
                <w:color w:val="auto"/>
              </w:rPr>
              <w:t>8.1</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Dividends</w:t>
            </w:r>
          </w:p>
        </w:tc>
        <w:tc>
          <w:tcPr>
            <w:tcW w:w="5720" w:type="dxa"/>
            <w:vAlign w:val="bottom"/>
          </w:tcPr>
          <w:p>
            <w:pPr>
              <w:jc w:val="right"/>
              <w:spacing w:after="0"/>
              <w:rPr>
                <w:sz w:val="20"/>
                <w:szCs w:val="20"/>
                <w:color w:val="auto"/>
              </w:rPr>
            </w:pPr>
            <w:r>
              <w:rPr>
                <w:rFonts w:ascii="Arial" w:cs="Arial" w:eastAsia="Arial" w:hAnsi="Arial"/>
                <w:sz w:val="18"/>
                <w:szCs w:val="18"/>
                <w:color w:val="FF0000"/>
                <w:strike w:val="1"/>
              </w:rPr>
              <w:t>32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8.2</w:t>
            </w:r>
          </w:p>
        </w:tc>
        <w:tc>
          <w:tcPr>
            <w:tcW w:w="4340" w:type="dxa"/>
            <w:vAlign w:val="bottom"/>
            <w:gridSpan w:val="7"/>
            <w:vMerge w:val="restart"/>
          </w:tcPr>
          <w:p>
            <w:pPr>
              <w:ind w:left="60"/>
              <w:spacing w:after="0" w:line="196" w:lineRule="exact"/>
              <w:rPr>
                <w:sz w:val="20"/>
                <w:szCs w:val="20"/>
                <w:color w:val="auto"/>
              </w:rPr>
            </w:pPr>
            <w:r>
              <w:rPr>
                <w:rFonts w:ascii="Arial" w:cs="Arial" w:eastAsia="Arial" w:hAnsi="Arial"/>
                <w:sz w:val="18"/>
                <w:szCs w:val="18"/>
                <w:color w:val="auto"/>
              </w:rPr>
              <w:t>Dividend Reserve</w:t>
            </w:r>
          </w:p>
        </w:tc>
        <w:tc>
          <w:tcPr>
            <w:tcW w:w="572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rPr>
              <w:t>32</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720" w:type="dxa"/>
            <w:vAlign w:val="bottom"/>
            <w:vMerge w:val="continue"/>
          </w:tcPr>
          <w:p>
            <w:pPr>
              <w:spacing w:after="0"/>
              <w:rPr>
                <w:sz w:val="13"/>
                <w:szCs w:val="13"/>
                <w:color w:val="auto"/>
              </w:rPr>
            </w:pPr>
          </w:p>
        </w:tc>
        <w:tc>
          <w:tcPr>
            <w:tcW w:w="4340" w:type="dxa"/>
            <w:vAlign w:val="bottom"/>
            <w:gridSpan w:val="7"/>
            <w:vMerge w:val="continue"/>
          </w:tcPr>
          <w:p>
            <w:pPr>
              <w:spacing w:after="0"/>
              <w:rPr>
                <w:sz w:val="13"/>
                <w:szCs w:val="13"/>
                <w:color w:val="auto"/>
              </w:rPr>
            </w:pPr>
          </w:p>
        </w:tc>
        <w:tc>
          <w:tcPr>
            <w:tcW w:w="572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20" w:type="dxa"/>
            <w:vAlign w:val="bottom"/>
            <w:vMerge w:val="restart"/>
          </w:tcPr>
          <w:p>
            <w:pPr>
              <w:ind w:left="360"/>
              <w:spacing w:after="0"/>
              <w:rPr>
                <w:sz w:val="20"/>
                <w:szCs w:val="20"/>
                <w:color w:val="auto"/>
              </w:rPr>
            </w:pPr>
            <w:r>
              <w:rPr>
                <w:rFonts w:ascii="Arial" w:cs="Arial" w:eastAsia="Arial" w:hAnsi="Arial"/>
                <w:sz w:val="18"/>
                <w:szCs w:val="18"/>
                <w:color w:val="auto"/>
              </w:rPr>
              <w:t>8.3</w:t>
            </w:r>
          </w:p>
        </w:tc>
        <w:tc>
          <w:tcPr>
            <w:tcW w:w="4340" w:type="dxa"/>
            <w:vAlign w:val="bottom"/>
            <w:gridSpan w:val="7"/>
            <w:vMerge w:val="restart"/>
          </w:tcPr>
          <w:p>
            <w:pPr>
              <w:ind w:left="60"/>
              <w:spacing w:after="0"/>
              <w:rPr>
                <w:sz w:val="20"/>
                <w:szCs w:val="20"/>
                <w:color w:val="auto"/>
              </w:rPr>
            </w:pPr>
            <w:r>
              <w:rPr>
                <w:rFonts w:ascii="Arial" w:cs="Arial" w:eastAsia="Arial" w:hAnsi="Arial"/>
                <w:sz w:val="18"/>
                <w:szCs w:val="18"/>
                <w:color w:val="auto"/>
              </w:rPr>
              <w:t>Checks</w:t>
            </w:r>
          </w:p>
        </w:tc>
        <w:tc>
          <w:tcPr>
            <w:tcW w:w="572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20" w:type="dxa"/>
            <w:vAlign w:val="bottom"/>
            <w:vMerge w:val="continue"/>
          </w:tcPr>
          <w:p>
            <w:pPr>
              <w:spacing w:after="0"/>
              <w:rPr>
                <w:sz w:val="15"/>
                <w:szCs w:val="15"/>
                <w:color w:val="auto"/>
              </w:rPr>
            </w:pPr>
          </w:p>
        </w:tc>
        <w:tc>
          <w:tcPr>
            <w:tcW w:w="4340" w:type="dxa"/>
            <w:vAlign w:val="bottom"/>
            <w:gridSpan w:val="7"/>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8.4</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Fiscal Year</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8.5</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Corporate Seal</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8.6</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Execution of Corporate Contracts and Instruments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8.7</w:t>
            </w:r>
          </w:p>
        </w:tc>
        <w:tc>
          <w:tcPr>
            <w:tcW w:w="4340" w:type="dxa"/>
            <w:vAlign w:val="bottom"/>
            <w:gridSpan w:val="7"/>
          </w:tcPr>
          <w:p>
            <w:pPr>
              <w:ind w:left="60"/>
              <w:spacing w:after="0"/>
              <w:rPr>
                <w:sz w:val="20"/>
                <w:szCs w:val="20"/>
                <w:color w:val="auto"/>
              </w:rPr>
            </w:pPr>
            <w:r>
              <w:rPr>
                <w:rFonts w:ascii="Arial" w:cs="Arial" w:eastAsia="Arial" w:hAnsi="Arial"/>
                <w:sz w:val="18"/>
                <w:szCs w:val="18"/>
                <w:color w:val="auto"/>
              </w:rPr>
              <w:t>Representation of Shares of Other Corporations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60" w:type="dxa"/>
            <w:vAlign w:val="bottom"/>
            <w:gridSpan w:val="8"/>
          </w:tcPr>
          <w:p>
            <w:pPr>
              <w:spacing w:after="0"/>
              <w:rPr>
                <w:sz w:val="20"/>
                <w:szCs w:val="20"/>
                <w:color w:val="auto"/>
              </w:rPr>
            </w:pPr>
            <w:r>
              <w:rPr>
                <w:rFonts w:ascii="Arial" w:cs="Arial" w:eastAsia="Arial" w:hAnsi="Arial"/>
                <w:sz w:val="18"/>
                <w:szCs w:val="18"/>
                <w:color w:val="auto"/>
              </w:rPr>
              <w:t>ARTICLE 9 Amendments</w:t>
            </w:r>
          </w:p>
        </w:tc>
        <w:tc>
          <w:tcPr>
            <w:tcW w:w="5720" w:type="dxa"/>
            <w:vAlign w:val="bottom"/>
          </w:tcPr>
          <w:p>
            <w:pPr>
              <w:jc w:val="right"/>
              <w:spacing w:after="0"/>
              <w:rPr>
                <w:sz w:val="20"/>
                <w:szCs w:val="20"/>
                <w:color w:val="auto"/>
              </w:rPr>
            </w:pPr>
            <w:r>
              <w:rPr>
                <w:rFonts w:ascii="Arial" w:cs="Arial" w:eastAsia="Arial" w:hAnsi="Arial"/>
                <w:sz w:val="18"/>
                <w:szCs w:val="18"/>
                <w:color w:val="FF0000"/>
                <w:strike w:val="1"/>
              </w:rPr>
              <w:t>33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920" w:type="dxa"/>
            <w:vAlign w:val="bottom"/>
            <w:gridSpan w:val="3"/>
          </w:tcPr>
          <w:p>
            <w:pPr>
              <w:ind w:left="4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472"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99" w:name="page100"/>
    <w:bookmarkEnd w:id="9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FOURTH AMENDED AND RESTATED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BIOGEN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 xml:space="preserve">(Adopted as of October 13, 2008; as amended through </w:t>
      </w:r>
      <w:r>
        <w:rPr>
          <w:rFonts w:ascii="Arial" w:cs="Arial" w:eastAsia="Arial" w:hAnsi="Arial"/>
          <w:sz w:val="18"/>
          <w:szCs w:val="18"/>
          <w:i w:val="1"/>
          <w:iCs w:val="1"/>
          <w:color w:val="FF0000"/>
          <w:strike w:val="1"/>
        </w:rPr>
        <w:t>April 12</w:t>
      </w:r>
      <w:r>
        <w:rPr>
          <w:rFonts w:ascii="Arial" w:cs="Arial" w:eastAsia="Arial" w:hAnsi="Arial"/>
          <w:sz w:val="18"/>
          <w:szCs w:val="18"/>
          <w:b w:val="1"/>
          <w:bCs w:val="1"/>
          <w:i w:val="1"/>
          <w:iCs w:val="1"/>
          <w:u w:val="single" w:color="auto"/>
          <w:color w:val="0000FF"/>
        </w:rPr>
        <w:t>July 28</w:t>
      </w:r>
      <w:r>
        <w:rPr>
          <w:rFonts w:ascii="Arial" w:cs="Arial" w:eastAsia="Arial" w:hAnsi="Arial"/>
          <w:sz w:val="18"/>
          <w:szCs w:val="18"/>
          <w:i w:val="1"/>
          <w:iCs w:val="1"/>
          <w:color w:val="auto"/>
        </w:rPr>
        <w:t>, 2023)</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registered office of the corporation shall be set forth in the certificate of incorporation of the corporation, as may be amended and restated from time to time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corporation may also have offices at such other places, either within or without the State of Delaware, as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may from time to time designate or the business of the corporation may require.</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Meeting of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Meetings of stockholders may be held at such place, either within or without of the State of Delaware, as may be designated by or in the manner provided in these bylaws, or, if not so designated, as determined by the Board. The Board may, in its sole discretion, determine that a meeting of the stockholders shall not be held at any place, but may instead be held solely by means of remote communication in the manner authorized by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p>
    <w:p>
      <w:pPr>
        <w:spacing w:after="0" w:line="11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Annual meetings of stockholders shall be held each year at such place, date and time as shall be designated from time to time by the Board and stated in the notice of the meeting. At each such annual meeting, the stockholders shall elect directors to hold office until the next annual meeting of stockholders after their election and until their successors are duly elected and qualified or until their earlier resignation, removal from office, death or incapacity. The stockholders shall also transact such other business as may properly be brought before the meeting.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440" w:top="486" w:right="579" w:bottom="1440" w:gutter="0" w:footer="0" w:header="0"/>
        </w:sectPr>
      </w:pPr>
    </w:p>
    <w:bookmarkStart w:id="100" w:name="page101"/>
    <w:bookmarkEnd w:id="100"/>
    <w:p>
      <w:pPr>
        <w:ind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To be properly brought before the annual meeting, nominations of persons for election to the Board must be made in accordance with the procedures set forth in </w:t>
      </w:r>
      <w:r>
        <w:rPr>
          <w:rFonts w:ascii="Arial" w:cs="Arial" w:eastAsia="Arial" w:hAnsi="Arial"/>
          <w:sz w:val="18"/>
          <w:szCs w:val="18"/>
          <w:u w:val="single" w:color="auto"/>
          <w:color w:val="auto"/>
        </w:rPr>
        <w:t>Section 3.1 or 3.1A</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Subject to the last paragraph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to be properly brought before the annual meeting, business other than nominations of persons for election to the Board must be (a) specified in the notice of meeting (or any supplement thereto) given by or at the direction of the Board or the Chair of the Board or the Chief Executive Officer, (b) otherwise properly brought before the meeting by or at the direction of the Board (or any committee thereof) or the Chair of the Board or the Chief Executive Officer, or (c) otherwise properly brought before the meeting by a stockholder of record of the corporation at the time of giving of notice of meeting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at the time of the meeting, who is entitled to vote at the meeting and who otherwise complies with this </w:t>
      </w:r>
      <w:r>
        <w:rPr>
          <w:rFonts w:ascii="Arial" w:cs="Arial" w:eastAsia="Arial" w:hAnsi="Arial"/>
          <w:sz w:val="17"/>
          <w:szCs w:val="17"/>
          <w:u w:val="single" w:color="auto"/>
          <w:color w:val="auto"/>
        </w:rPr>
        <w:t>Section 2.2</w:t>
      </w:r>
      <w:r>
        <w:rPr>
          <w:rFonts w:ascii="Arial" w:cs="Arial" w:eastAsia="Arial" w:hAnsi="Arial"/>
          <w:sz w:val="17"/>
          <w:szCs w:val="17"/>
          <w:color w:val="auto"/>
        </w:rPr>
        <w:t>. For any proposed business to be properly brought before an annual meeting by a stockholder pursuant to clause (c) above of this paragraph, the proposed business must constitute a proper matter for stockholder action. Any such stockholder may propose business to be brought before a meeting only if such stockholder has given timely notice to the Secretary of the corporation in proper written form of the stockholder’s intent to propose such business.</w:t>
      </w:r>
    </w:p>
    <w:p>
      <w:pPr>
        <w:spacing w:after="0" w:line="18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To be timely, the stockholder’s notice must be delivered by a nationally recognized courier service or mailed by first class United States mail, postage or delivery charges prepaid, or other method of delivery approved by the Board, and received at the principal executive offices of the corporation addressed to the attention of the Secretary of the corporation not less than ninety (90) days nor more than one hundred twenty (120) days in advance of the first anniversary of the date of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no annual meeting was held in the previous year or the date of the annual meeting is more than thirty (30) days before or more than sixty (60) days after the first anniversary of the previous year’s annual meeting of stockholders, notice by the stockholder must be received by the Secretary of the corporation not earlier than the close of business on the one hundred twentieth (120th) day prior to such annual meeting and not later than the close of business on the later of (x) the ninetieth (90th) day prior to such annual meeting and (y) the tenth (10th) day following the day on which public announcement of the date of such meeting is first made. For the purposes of these bylaws, “</w:t>
      </w:r>
      <w:r>
        <w:rPr>
          <w:rFonts w:ascii="Arial" w:cs="Arial" w:eastAsia="Arial" w:hAnsi="Arial"/>
          <w:sz w:val="16"/>
          <w:szCs w:val="16"/>
          <w:b w:val="1"/>
          <w:bCs w:val="1"/>
          <w:color w:val="auto"/>
        </w:rPr>
        <w:t>public announcement</w:t>
      </w:r>
      <w:r>
        <w:rPr>
          <w:rFonts w:ascii="Arial" w:cs="Arial" w:eastAsia="Arial" w:hAnsi="Arial"/>
          <w:sz w:val="16"/>
          <w:szCs w:val="16"/>
          <w:color w:val="auto"/>
        </w:rPr>
        <w:t>” shall mean disclosure in a press release reported by the Dow Jones News Service, Associated Press or a comparable national news service or in a document publicly filed by the corporation with the Securities and Exchange Commission. In no event shall the public announcement of an adjournment or postponement of an annual meeting commence a new time period (or extend any time period) for the giving of stockholder’s notice as described above.</w:t>
      </w:r>
    </w:p>
    <w:p>
      <w:pPr>
        <w:spacing w:after="0" w:line="168"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To be in proper form, a stockholder’s notice to the Secretary must set forth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(ii) the name and record address of the stockholder proposing such business and the beneficial owner, if any, on whose behalf the proposal is made, (iii) the class, series and number of shares of capital stock of the corporation that are owned beneficially and of record by the stockholder and such beneficial owner, (iv) any option, warrant, convertible security, stock appreciation right, or similar right with an exercise or conversion privilege or a settlement payment or mechanism at a price related to any class or series of shares of capital stock of the corporation or with a value derived in whole or in part from the value of any class or series of shares of capital stock of the corporation, whether or not such instrument or right shall be subject to settlement in the underlying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490" w:right="479" w:bottom="1440" w:gutter="0" w:footer="0" w:header="0"/>
        </w:sectPr>
      </w:pPr>
    </w:p>
    <w:bookmarkStart w:id="101" w:name="page102"/>
    <w:bookmarkEnd w:id="101"/>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class or series of capital stock of the corporation or otherwise (a “</w:t>
      </w:r>
      <w:r>
        <w:rPr>
          <w:rFonts w:ascii="Arial" w:cs="Arial" w:eastAsia="Arial" w:hAnsi="Arial"/>
          <w:sz w:val="16"/>
          <w:szCs w:val="16"/>
          <w:b w:val="1"/>
          <w:bCs w:val="1"/>
          <w:color w:val="auto"/>
        </w:rPr>
        <w:t>Derivative Instrument</w:t>
      </w:r>
      <w:r>
        <w:rPr>
          <w:rFonts w:ascii="Arial" w:cs="Arial" w:eastAsia="Arial" w:hAnsi="Arial"/>
          <w:sz w:val="16"/>
          <w:szCs w:val="16"/>
          <w:color w:val="auto"/>
        </w:rPr>
        <w:t>”) directly or indirectly owned beneficially by such stockholder and any other direct or indirect opportunity to profit or share in any profit derived from any increase or decrease in the value of shares of the capital stock of the corporation, (v) a description of any agreement, arrangement or understanding with respect to the proposal of business between or among such stockholder and such beneficial owner, any of their respective affiliates or associates, and any others acting in concert with any of the foregoing,</w:t>
      </w:r>
    </w:p>
    <w:p>
      <w:pPr>
        <w:spacing w:after="0" w:line="2" w:lineRule="exact"/>
        <w:rPr>
          <w:sz w:val="20"/>
          <w:szCs w:val="20"/>
          <w:color w:val="auto"/>
        </w:rPr>
      </w:pPr>
    </w:p>
    <w:p>
      <w:pPr>
        <w:ind w:left="304" w:hanging="304"/>
        <w:spacing w:after="0"/>
        <w:tabs>
          <w:tab w:leader="none" w:pos="30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description of any material interest of the stockholder and the beneficial owner, if any, on whose behalf the proposal is made, in such business,</w:t>
      </w:r>
    </w:p>
    <w:p>
      <w:pPr>
        <w:spacing w:after="0" w:line="32" w:lineRule="exact"/>
        <w:rPr>
          <w:rFonts w:ascii="Arial" w:cs="Arial" w:eastAsia="Arial" w:hAnsi="Arial"/>
          <w:sz w:val="16"/>
          <w:szCs w:val="16"/>
          <w:color w:val="auto"/>
        </w:rPr>
      </w:pPr>
    </w:p>
    <w:p>
      <w:pPr>
        <w:ind w:left="4" w:hanging="4"/>
        <w:spacing w:after="0" w:line="252" w:lineRule="auto"/>
        <w:tabs>
          <w:tab w:leader="none" w:pos="3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stock of the corporation entitled to vote at such meeting and intends to appear in person or by proxy at the meeting to propose such business, (viii)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and/or (b) otherwise to solicit proxies from stockholders in support of such proposal and (ix) any other information that is required to be provided by the stockholder pursuant to Section 14 of the Securities Exchange Act of 1934 and the rules and regulations promulgated thereunder as amended from time to time (collectively, the “</w:t>
      </w:r>
      <w:r>
        <w:rPr>
          <w:rFonts w:ascii="Arial" w:cs="Arial" w:eastAsia="Arial" w:hAnsi="Arial"/>
          <w:sz w:val="18"/>
          <w:szCs w:val="18"/>
          <w:b w:val="1"/>
          <w:bCs w:val="1"/>
          <w:color w:val="auto"/>
        </w:rPr>
        <w:t>1934 Act</w:t>
      </w:r>
      <w:r>
        <w:rPr>
          <w:rFonts w:ascii="Arial" w:cs="Arial" w:eastAsia="Arial" w:hAnsi="Arial"/>
          <w:sz w:val="18"/>
          <w:szCs w:val="18"/>
          <w:color w:val="auto"/>
        </w:rPr>
        <w:t>”) in such stockholder’s capacity as a proponent of a stockholder proposal.</w:t>
      </w:r>
    </w:p>
    <w:p>
      <w:pPr>
        <w:spacing w:after="0" w:line="192"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true and correct as of the record date for determining the stockholders entitled to receive notice of the annual meeting and such update or supplement shall be delivered to, and received by, the Secretary at the principal executive offices of the corporation not later than five (5) business days after the later of (i) the record date for determining the stockholders entitled to receive notice of the annual meeting and (ii) the date notice of such record date is first publicly disclosed.</w:t>
      </w:r>
    </w:p>
    <w:p>
      <w:pPr>
        <w:spacing w:after="0" w:line="161"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 xml:space="preserve">Except as otherwise provided by law, if the Chair of the Board (or such other person presiding at the meeting in accordance with these bylaws) determines in good faith that business was not properly brought before the meeting in accordance with the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w:t>
      </w:r>
    </w:p>
    <w:p>
      <w:pPr>
        <w:spacing w:after="0" w:line="1" w:lineRule="exact"/>
        <w:rPr>
          <w:sz w:val="20"/>
          <w:szCs w:val="20"/>
          <w:color w:val="auto"/>
        </w:rPr>
      </w:pPr>
    </w:p>
    <w:p>
      <w:pPr>
        <w:ind w:left="4" w:right="100" w:hanging="4"/>
        <w:spacing w:after="0" w:line="288" w:lineRule="auto"/>
        <w:tabs>
          <w:tab w:leader="none" w:pos="40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above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 or she may so declare to the meeting and any such business shall not be transacted. Notwithstanding the foregoing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unless otherwise required by law, if the stockholder (or a qualified representative of the stockholder) does not appear at the meeting to present proposed business, such proposed business shall not be transacted, notwithstanding that proxies in respect of such proposed business may have been received by the corporation. For purposes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86" w:right="459" w:bottom="1440" w:gutter="0" w:footer="0" w:header="0"/>
        </w:sectPr>
      </w:pPr>
    </w:p>
    <w:bookmarkStart w:id="102" w:name="page103"/>
    <w:bookmarkEnd w:id="102"/>
    <w:p>
      <w:pPr>
        <w:ind w:right="2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Compliance with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3.1 and 3.1A</w:t>
      </w:r>
      <w:r>
        <w:rPr>
          <w:rFonts w:ascii="Arial" w:cs="Arial" w:eastAsia="Arial" w:hAnsi="Arial"/>
          <w:sz w:val="18"/>
          <w:szCs w:val="18"/>
          <w:color w:val="auto"/>
        </w:rPr>
        <w:t xml:space="preserve"> shall be the exclusive means for a stockholder to make nominations for director or submit other business to stockholders at an annual meeting (other than matters brought properly under and in compliance with Rule 14a-8 or other applicable rules and regulations under the 1934 Act).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Special Meetings Called by Directors or Officers</w:t>
      </w:r>
    </w:p>
    <w:p>
      <w:pPr>
        <w:spacing w:after="0" w:line="117" w:lineRule="exact"/>
        <w:rPr>
          <w:sz w:val="20"/>
          <w:szCs w:val="20"/>
          <w:color w:val="auto"/>
        </w:rPr>
      </w:pPr>
    </w:p>
    <w:p>
      <w:pPr>
        <w:jc w:val="both"/>
        <w:ind w:right="220" w:firstLine="440"/>
        <w:spacing w:after="0" w:line="279" w:lineRule="auto"/>
        <w:rPr>
          <w:sz w:val="20"/>
          <w:szCs w:val="20"/>
          <w:color w:val="auto"/>
        </w:rPr>
      </w:pPr>
      <w:r>
        <w:rPr>
          <w:rFonts w:ascii="Arial" w:cs="Arial" w:eastAsia="Arial" w:hAnsi="Arial"/>
          <w:sz w:val="17"/>
          <w:szCs w:val="17"/>
          <w:color w:val="auto"/>
        </w:rPr>
        <w:t>Special meetings of the stockholders shall be called for any purpose or purposes, unless otherwise prescribed by statute or by the Certificate of Incorporation, by the Secretary at the request of the Chair of the Board, the Chief Executive Officer or by a resolution duly adopted by the affirmative vote of a majority of the Board. Such request shall state the purpose or purposes of the proposed meeting. Business transacted at any special meeting shall be limited to matters relating to the purpose or purposes stated in the notice of meeting.</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2.3A </w:t>
      </w:r>
      <w:r>
        <w:rPr>
          <w:rFonts w:ascii="Arial" w:cs="Arial" w:eastAsia="Arial" w:hAnsi="Arial"/>
          <w:sz w:val="18"/>
          <w:szCs w:val="18"/>
          <w:u w:val="single" w:color="auto"/>
          <w:color w:val="auto"/>
        </w:rPr>
        <w:t>Special Meetings Called by Stockholders</w:t>
      </w:r>
    </w:p>
    <w:p>
      <w:pPr>
        <w:spacing w:after="0" w:line="113" w:lineRule="exact"/>
        <w:rPr>
          <w:sz w:val="20"/>
          <w:szCs w:val="20"/>
          <w:color w:val="auto"/>
        </w:rPr>
      </w:pPr>
    </w:p>
    <w:p>
      <w:pPr>
        <w:ind w:right="40" w:firstLine="436"/>
        <w:spacing w:after="0" w:line="256" w:lineRule="auto"/>
        <w:tabs>
          <w:tab w:leader="none" w:pos="68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Special meetings of the stockholders (each a “</w:t>
      </w:r>
      <w:r>
        <w:rPr>
          <w:rFonts w:ascii="Arial" w:cs="Arial" w:eastAsia="Arial" w:hAnsi="Arial"/>
          <w:sz w:val="18"/>
          <w:szCs w:val="18"/>
          <w:b w:val="1"/>
          <w:bCs w:val="1"/>
          <w:color w:val="auto"/>
        </w:rPr>
        <w:t>Stockholder Requested Special Meeting</w:t>
      </w:r>
      <w:r>
        <w:rPr>
          <w:rFonts w:ascii="Arial" w:cs="Arial" w:eastAsia="Arial" w:hAnsi="Arial"/>
          <w:sz w:val="18"/>
          <w:szCs w:val="18"/>
          <w:color w:val="auto"/>
        </w:rPr>
        <w:t>”) shall also be called by the Secretary upon the written request of a stockholder (or a group of stockholders formed for the purpose of making such request) who or which has Net Long Beneficial Ownership (as defined below) of 25% or more of the outstanding shares of common stock of the corporation (the “</w:t>
      </w:r>
      <w:r>
        <w:rPr>
          <w:rFonts w:ascii="Arial" w:cs="Arial" w:eastAsia="Arial" w:hAnsi="Arial"/>
          <w:sz w:val="18"/>
          <w:szCs w:val="18"/>
          <w:b w:val="1"/>
          <w:bCs w:val="1"/>
          <w:color w:val="auto"/>
        </w:rPr>
        <w:t>Requisite Percent</w:t>
      </w:r>
      <w:r>
        <w:rPr>
          <w:rFonts w:ascii="Arial" w:cs="Arial" w:eastAsia="Arial" w:hAnsi="Arial"/>
          <w:sz w:val="18"/>
          <w:szCs w:val="18"/>
          <w:color w:val="auto"/>
        </w:rPr>
        <w:t xml:space="preserve">”) as of the date of submission of the request, subject to </w:t>
      </w:r>
      <w:r>
        <w:rPr>
          <w:rFonts w:ascii="Arial" w:cs="Arial" w:eastAsia="Arial" w:hAnsi="Arial"/>
          <w:sz w:val="18"/>
          <w:szCs w:val="18"/>
          <w:u w:val="single" w:color="auto"/>
          <w:color w:val="auto"/>
        </w:rPr>
        <w:t>Section 2.3A(b)</w:t>
      </w:r>
      <w:r>
        <w:rPr>
          <w:rFonts w:ascii="Arial" w:cs="Arial" w:eastAsia="Arial" w:hAnsi="Arial"/>
          <w:sz w:val="18"/>
          <w:szCs w:val="18"/>
          <w:color w:val="auto"/>
        </w:rPr>
        <w:t xml:space="preserve"> below. Compliance by the requesting stockholder or group of stockholders with the requirements of this section and related provisions of these bylaws shall be determined in good faith by the Board, which determination shall be conclusive and binding on the corporation and the stockholders.</w:t>
      </w:r>
    </w:p>
    <w:p>
      <w:pPr>
        <w:spacing w:after="0" w:line="18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Long Beneficial Ownership</w:t>
      </w:r>
      <w:r>
        <w:rPr>
          <w:rFonts w:ascii="Arial" w:cs="Arial" w:eastAsia="Arial" w:hAnsi="Arial"/>
          <w:sz w:val="16"/>
          <w:szCs w:val="16"/>
          <w:color w:val="auto"/>
        </w:rPr>
        <w:t>” (and its correlative terms), when used to describe the nature of a stockholder’s ownership of common stock of the corporation, shall mean those shares of common stock of the corporation as to which the stockholder in question possesses (a) the sole power to vote or direct the voting, (b) the sole economic incidents of ownership (including the sole right to profits and the sole risk of loss), and (c) the sole power to dispose of or direct the disposition. The number of shares calculated in accordance with clauses (a), (b) and (c) shall not include any shares (i) sold by such stockholder in any transaction that has not been settled or closed, (ii) borrowed by such stockholder for any purposes or purchased by such stockholder pursuant to an agreement to resell or (iii) subject to any option, warrant, derivative or other agreement or understanding, whether any such arrangement is to be settled with shares of common stock of the corporation or with cash based on the notional amount of shares subject thereto, in any such case which has, or is intended to have, the purpose or effect of (A) reducing in any manner, to any extent or at any time in the future, such stockholder’s rights to vote or direct the voting and full rights to dispose or direct the disposition of any of such shares or (B) offsetting to any degree gain or loss arising from the sole economic ownership of such shares by such stockholder.</w:t>
      </w:r>
    </w:p>
    <w:p>
      <w:pPr>
        <w:spacing w:after="0" w:line="57" w:lineRule="exact"/>
        <w:rPr>
          <w:sz w:val="20"/>
          <w:szCs w:val="20"/>
          <w:color w:val="auto"/>
        </w:rPr>
      </w:pPr>
    </w:p>
    <w:p>
      <w:pPr>
        <w:ind w:firstLine="436"/>
        <w:spacing w:after="0" w:line="254"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request for a Stockholder Requested Special Meeting must be signed by the stockholders (or their duly authorized agents) having Net Long Beneficial Ownership of the Requisite Percent and be delivered to the Secretary at the principal executive offices of the corporation by a nationally recognized courier service or mailed by first class United States mail, postage or delivery charges prepaid, or other method of delivery approved by the Board. Such request shall (i) set forth a statement of the specific purpose or purposes of the meeting and the matters proposed to be acted on at such special meeting, (ii) bear the date of signature of each such stockholder (or duly authorized agent) signing the request, (iii) as to each stockholder signing such request (or on whose behalf the request is signed), (A) set forth the name and address, as it appears in the corporation’s stock ledger, (B) set forth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490" w:right="459" w:bottom="1440" w:gutter="0" w:footer="0" w:header="0"/>
        </w:sectPr>
      </w:pPr>
    </w:p>
    <w:bookmarkStart w:id="103" w:name="page104"/>
    <w:bookmarkEnd w:id="10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class, if applicable, and the number of shares of common stock of the corporation as to which such stockholder has Net Long Beneficial Ownership,</w:t>
      </w:r>
    </w:p>
    <w:p>
      <w:pPr>
        <w:spacing w:after="0" w:line="46" w:lineRule="exact"/>
        <w:rPr>
          <w:sz w:val="20"/>
          <w:szCs w:val="20"/>
          <w:color w:val="auto"/>
        </w:rPr>
      </w:pPr>
    </w:p>
    <w:p>
      <w:pPr>
        <w:ind w:left="4" w:hanging="4"/>
        <w:spacing w:after="0" w:line="285" w:lineRule="auto"/>
        <w:tabs>
          <w:tab w:leader="none" w:pos="28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include evidence of the fact of such stockholder’s beneficial ownership of such stock consistent with that which is required under Regulation 14A under the 1934 Act and (D) include a certification that the stockholder satisfies the Net Long Beneficial Ownership requirement of these bylaws, and (iv) include an acknowledgment by each stockholder signing such request (or on whose behalf the request is signed) and any duly authorized agent that any disposition of shares of common stock of the corporation as to which such stockholder has Net Long Beneficial Ownership as of the date of delivery of the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such stockholder’s request for a special meeting at any time by written revocation delivered to the Secretary at the principal executive offices of the corporation. If, following such revocation at any time before the date of the Stockholder Requested Special Meeting, the remaining stockholders signing such request (or on whose behalf the request is signed) have Net Long Beneficial Ownership in the aggregate of less than the Requisite Percent, the Board, in its sole discretion, may cancel the Stockholder Requested Special Meeting or the stockholder(s’) proposed business at the meeting.</w:t>
      </w:r>
    </w:p>
    <w:p>
      <w:pPr>
        <w:spacing w:after="0" w:line="66" w:lineRule="exact"/>
        <w:rPr>
          <w:rFonts w:ascii="Arial" w:cs="Arial" w:eastAsia="Arial" w:hAnsi="Arial"/>
          <w:sz w:val="16"/>
          <w:szCs w:val="16"/>
          <w:color w:val="auto"/>
        </w:rPr>
      </w:pPr>
    </w:p>
    <w:p>
      <w:pPr>
        <w:ind w:left="4" w:right="40" w:firstLine="436"/>
        <w:spacing w:after="0" w:line="269" w:lineRule="auto"/>
        <w:tabs>
          <w:tab w:leader="none" w:pos="689" w:val="left"/>
        </w:tabs>
        <w:numPr>
          <w:ilvl w:val="1"/>
          <w:numId w:val="125"/>
        </w:numPr>
        <w:rPr>
          <w:rFonts w:ascii="Arial" w:cs="Arial" w:eastAsia="Arial" w:hAnsi="Arial"/>
          <w:sz w:val="17"/>
          <w:szCs w:val="17"/>
          <w:color w:val="auto"/>
        </w:rPr>
      </w:pPr>
      <w:r>
        <w:rPr>
          <w:rFonts w:ascii="Arial" w:cs="Arial" w:eastAsia="Arial" w:hAnsi="Arial"/>
          <w:sz w:val="17"/>
          <w:szCs w:val="17"/>
          <w:color w:val="auto"/>
        </w:rPr>
        <w:t>Notwithstanding the foregoing, the Secretary shall not be required to call a special meeting of stockholders if (i) the Board has called or calls an annual or special meeting of stockholders to be held not later than sixty (60) days after the date on which a valid request has been delivered to the Secretary (the “</w:t>
      </w:r>
      <w:r>
        <w:rPr>
          <w:rFonts w:ascii="Arial" w:cs="Arial" w:eastAsia="Arial" w:hAnsi="Arial"/>
          <w:sz w:val="17"/>
          <w:szCs w:val="17"/>
          <w:b w:val="1"/>
          <w:bCs w:val="1"/>
          <w:color w:val="auto"/>
        </w:rPr>
        <w:t>Delivery Date</w:t>
      </w:r>
      <w:r>
        <w:rPr>
          <w:rFonts w:ascii="Arial" w:cs="Arial" w:eastAsia="Arial" w:hAnsi="Arial"/>
          <w:sz w:val="17"/>
          <w:szCs w:val="17"/>
          <w:color w:val="auto"/>
        </w:rPr>
        <w:t>”) where the request contains the same item as any item on the agenda for such annual or special meeting; or (ii) the request (A) is received by the Secretary during the period commencing one hundred twenty (120) days prior to the first anniversary of the date of the prior year’s annual meeting and ending on the date of the next annual meeting; (B) contains an identical or substantially similar item (a “</w:t>
      </w:r>
      <w:r>
        <w:rPr>
          <w:rFonts w:ascii="Arial" w:cs="Arial" w:eastAsia="Arial" w:hAnsi="Arial"/>
          <w:sz w:val="17"/>
          <w:szCs w:val="17"/>
          <w:b w:val="1"/>
          <w:bCs w:val="1"/>
          <w:color w:val="auto"/>
        </w:rPr>
        <w:t>Similar Item</w:t>
      </w:r>
      <w:r>
        <w:rPr>
          <w:rFonts w:ascii="Arial" w:cs="Arial" w:eastAsia="Arial" w:hAnsi="Arial"/>
          <w:sz w:val="17"/>
          <w:szCs w:val="17"/>
          <w:color w:val="auto"/>
        </w:rPr>
        <w:t>”) to an item that was presented at any meeting of stockholders held within thirty (30) days prior to the Delivery Date (and, for purposes of this clause (B) the election of directors shall be deemed a “</w:t>
      </w:r>
      <w:r>
        <w:rPr>
          <w:rFonts w:ascii="Arial" w:cs="Arial" w:eastAsia="Arial" w:hAnsi="Arial"/>
          <w:sz w:val="17"/>
          <w:szCs w:val="17"/>
          <w:b w:val="1"/>
          <w:bCs w:val="1"/>
          <w:color w:val="auto"/>
        </w:rPr>
        <w:t>Similar Item</w:t>
      </w:r>
      <w:r>
        <w:rPr>
          <w:rFonts w:ascii="Arial" w:cs="Arial" w:eastAsia="Arial" w:hAnsi="Arial"/>
          <w:sz w:val="17"/>
          <w:szCs w:val="17"/>
          <w:color w:val="auto"/>
        </w:rPr>
        <w:t>” with respect to all items of business involving the election or removal of directors), excluding, for purposes of determining what constitutes a Similar Item, ancillary items that are contained in the request solely to support the primary item(s) of such request; (C) relates to an item of business that is not a proper subject for action by the stockholders of the corporation under applicable law; or (D) was made in a manner that involved a violation of applicable law.</w:t>
      </w:r>
    </w:p>
    <w:p>
      <w:pPr>
        <w:spacing w:after="0" w:line="77" w:lineRule="exact"/>
        <w:rPr>
          <w:rFonts w:ascii="Arial" w:cs="Arial" w:eastAsia="Arial" w:hAnsi="Arial"/>
          <w:sz w:val="17"/>
          <w:szCs w:val="17"/>
          <w:color w:val="auto"/>
        </w:rPr>
      </w:pPr>
    </w:p>
    <w:p>
      <w:pPr>
        <w:ind w:left="4" w:firstLine="436"/>
        <w:spacing w:after="0" w:line="287" w:lineRule="auto"/>
        <w:tabs>
          <w:tab w:leader="none" w:pos="68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Any Stockholder Requested Special Meeting shall be held at such date, time and place within or without the State of Delaware as may be fixed by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date of any Stockholder Requested Special Meeting shall be not more than sixty (60) days after the record date for such meeting (the “</w:t>
      </w:r>
      <w:r>
        <w:rPr>
          <w:rFonts w:ascii="Arial" w:cs="Arial" w:eastAsia="Arial" w:hAnsi="Arial"/>
          <w:sz w:val="16"/>
          <w:szCs w:val="16"/>
          <w:b w:val="1"/>
          <w:bCs w:val="1"/>
          <w:color w:val="auto"/>
        </w:rPr>
        <w:t>Meeting Record Date</w:t>
      </w:r>
      <w:r>
        <w:rPr>
          <w:rFonts w:ascii="Arial" w:cs="Arial" w:eastAsia="Arial" w:hAnsi="Arial"/>
          <w:sz w:val="16"/>
          <w:szCs w:val="16"/>
          <w:color w:val="auto"/>
        </w:rPr>
        <w:t xml:space="preserve">”), which shall be fixed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these bylaws and if the Board fails to designate, within ten (10) days after the Delivery Date, the Meeting Record Date, then such Meeting Record Date shall be twenty (20) days after the Delivery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Board fails to designate, within ten (10) days after the Delivery Date, a date and time for a Stockholder Requested Special Meeting, then such meeting shall be held at 9:00 a.m. local time on the sixtieth (60th) day after the Meeting Record Date (or, if that day shall not be a business day, then on the next preceding business day);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event that the Board fails to designate a place for a Stockholder Requested Special Meeting within ten (10) days after the Delivery Date, then such meeting shall be held at the corporation’s principal executive offices. In fixing a date and time for any Stockholder Requested Special Meeting, the Board may consider such factors as it deems relevant within the good faith exercise of business judgment, including, without limitation, the nature of the matters to be considered, the facts and circumstances surrounding any request for meeting and any plan of the Board to call an annual meeting or a special meeting.</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90" w:right="459" w:bottom="1440" w:gutter="0" w:footer="0" w:header="0"/>
        </w:sectPr>
      </w:pPr>
    </w:p>
    <w:bookmarkStart w:id="104" w:name="page105"/>
    <w:bookmarkEnd w:id="104"/>
    <w:p>
      <w:pPr>
        <w:jc w:val="both"/>
        <w:ind w:left="4" w:right="160" w:firstLine="436"/>
        <w:spacing w:after="0" w:line="342" w:lineRule="auto"/>
        <w:tabs>
          <w:tab w:leader="none" w:pos="689"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Business transacted at any Stockholder Requested Special Meeting shall be limited to the purpose(s) stated in the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herein shall prohibit the corporation from submitting matters to a vote of the stockholders at any Stockholder Requested Special Meeting.</w:t>
      </w:r>
    </w:p>
    <w:p>
      <w:pPr>
        <w:spacing w:after="0" w:line="124"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 xml:space="preserve">A stockholder providing notice of business proposed to be brought before a Stockholder Requested Special Meeting shall further update and supplement such notice, if necessary, so that the information provided or required to be provided in such notice pursuant to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shall be true and correct as of the record date for determining the stockholders entitled to receive notice of the special meeting and such update or supplement shall be delivered to, and received by, the Secretary at the principal executive offices of the corporation not later than five (5) business days after the later of (i) the record date for determining the stockholders entitled to receive notice of the special meeting and (ii) the date notice of such record date is first publicly disclosed.</w:t>
      </w:r>
    </w:p>
    <w:p>
      <w:pPr>
        <w:spacing w:after="0" w:line="19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Except as otherwise provided by law, if the Chair of the Board (or such other person presiding at the Stockholder Requested Special Meeting in accordance with these bylaws) determines in good faith that business was not properly brought before the Stockholder Requested Special Meeting in accordance with the provisions of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(viii) above of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 or she may so declare to the meeting and any such business shall not be transacted. Notwithstanding the foregoing provisions of this </w:t>
      </w:r>
      <w:r>
        <w:rPr>
          <w:rFonts w:ascii="Arial" w:cs="Arial" w:eastAsia="Arial" w:hAnsi="Arial"/>
          <w:sz w:val="17"/>
          <w:szCs w:val="17"/>
          <w:u w:val="single" w:color="auto"/>
          <w:color w:val="auto"/>
        </w:rPr>
        <w:t>Section 2.3A</w:t>
      </w:r>
      <w:r>
        <w:rPr>
          <w:rFonts w:ascii="Arial" w:cs="Arial" w:eastAsia="Arial" w:hAnsi="Arial"/>
          <w:sz w:val="17"/>
          <w:szCs w:val="17"/>
          <w:color w:val="auto"/>
        </w:rPr>
        <w:t>, unless otherwise required by applicable law, if the stockholder (or a qualified representative of the stockholder) does not appear at the meeting to present proposed business, such proposed business shall not be transacted, notwithstanding that proxies in respect of such proposed business may have been received by the corporation. For purposes of this provision,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Meetings</w:t>
      </w:r>
    </w:p>
    <w:p>
      <w:pPr>
        <w:spacing w:after="0" w:line="117" w:lineRule="exact"/>
        <w:rPr>
          <w:sz w:val="20"/>
          <w:szCs w:val="20"/>
          <w:color w:val="auto"/>
        </w:rPr>
      </w:pPr>
    </w:p>
    <w:p>
      <w:pPr>
        <w:jc w:val="both"/>
        <w:ind w:left="4" w:right="100" w:firstLine="440"/>
        <w:spacing w:after="0" w:line="279" w:lineRule="auto"/>
        <w:rPr>
          <w:sz w:val="20"/>
          <w:szCs w:val="20"/>
          <w:color w:val="auto"/>
        </w:rPr>
      </w:pPr>
      <w:r>
        <w:rPr>
          <w:rFonts w:ascii="Arial" w:cs="Arial" w:eastAsia="Arial" w:hAnsi="Arial"/>
          <w:sz w:val="17"/>
          <w:szCs w:val="17"/>
          <w:color w:val="auto"/>
        </w:rPr>
        <w:t>Except as otherwise provided by law, written notice of each meeting of stockholders, annual or special, stating the place, if any, date and time of the meeting, the means of remote communications, if any, by which stockholders and proxy holders may be deemed to be present in person and vote at such meeting, and, in the case of a special meeting, the purpose or purposes for which such special meeting is called, shall be given to each stockholder entitled to vote at such meeting not less than ten (10) nor more than sixty (60) days before the date of the meeting.</w:t>
      </w:r>
    </w:p>
    <w:p>
      <w:pPr>
        <w:spacing w:after="0" w:line="171"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 xml:space="preserve">When a meeting is adjourned to another place, date or time, notice need not be given of the adjourned meeting if the place, date and time thereof are announced at the meeting at which the adjournment is taken;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date of any adjourned meeting is more than thirty</w:t>
      </w:r>
    </w:p>
    <w:p>
      <w:pPr>
        <w:ind w:left="4" w:right="80" w:hanging="4"/>
        <w:spacing w:after="0" w:line="255" w:lineRule="auto"/>
        <w:tabs>
          <w:tab w:leader="none" w:pos="3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days after the date for which the meeting was originally noticed, or if a new record date is fixed for the adjourned meeting, written notice of the place, if any, date, time and means of remote communications, if any, of the adjourned meeting shall be given in conformity herewith. At any adjourned meeting, any business may be transacted that might have been transacted at the original meeting.</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490" w:right="459" w:bottom="1440" w:gutter="0" w:footer="0" w:header="0"/>
        </w:sectPr>
      </w:pPr>
    </w:p>
    <w:bookmarkStart w:id="105" w:name="page106"/>
    <w:bookmarkEnd w:id="1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2.5 </w:t>
      </w:r>
      <w:r>
        <w:rPr>
          <w:rFonts w:ascii="Arial" w:cs="Arial" w:eastAsia="Arial" w:hAnsi="Arial"/>
          <w:sz w:val="18"/>
          <w:szCs w:val="18"/>
          <w:u w:val="single" w:color="auto"/>
          <w:color w:val="auto"/>
        </w:rPr>
        <w:t>List of Stockholders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The officer in charge of the stock ledger of the corporation or the transfer agent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gain access to such list shall be provided with the notice of the meeting.</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Organization and Conduct of Business</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Chair of the Board or, in his or her absence, the Chief Executive Officer or President of the corporation or, in their absence, such person as the Board may have designated or, in the absence of such a person, such person as may be chosen by the holders of a majority of the shares entitled to vote who are 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7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chair of any meeting of stockholders shall determine the order of business and the procedure at the meeting, including such regulation of the manner of voting and the conduct of discussion as seems to him or her in order.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Quorum</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Except where otherwise provided by law or the Certificate of Incorporation or these bylaws, the holders of a majority of the capital stock of the corporation issued and outstanding and entitled to vote, present in person or represented in proxy, shall constitute a quorum at all meetings of the stockholders.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Adjournments</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Any meeting of stockholders may be adjourned from time to time to any other time and to any other place at which a meeting of stockholders may be held under these bylaws, which time and place shall be announced at the meeting, by either the Chair of the Board or the holders of a majority of the shares of capital stock of the corporation present in person or represented by proxy at the meeting and entitled to vote, whether or not a quorum is present, without notice other than announcement at the meeting. At such adjourned meeting at which a quorum shall be present or represented, any business may be transacted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90" w:right="459" w:bottom="1440" w:gutter="0" w:footer="0" w:header="0"/>
        </w:sectPr>
      </w:pPr>
    </w:p>
    <w:bookmarkStart w:id="106" w:name="page107"/>
    <w:bookmarkEnd w:id="1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2.9 </w:t>
      </w:r>
      <w:r>
        <w:rPr>
          <w:rFonts w:ascii="Arial" w:cs="Arial" w:eastAsia="Arial" w:hAnsi="Arial"/>
          <w:sz w:val="18"/>
          <w:szCs w:val="18"/>
          <w:u w:val="single" w:color="auto"/>
          <w:color w:val="auto"/>
        </w:rPr>
        <w:t>Voting Rights</w:t>
      </w:r>
    </w:p>
    <w:p>
      <w:pPr>
        <w:spacing w:after="0" w:line="11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Unless otherwise provided in the Certificate of Incorporation, stockholders represented at a meeting of the stockholders shall be entitled to cast one vote for each share of the capital stock of the corporation entitled to vote thereat having voting power held by such stockholder. For purposes of these bylaws, “</w:t>
      </w:r>
      <w:r>
        <w:rPr>
          <w:rFonts w:ascii="Arial" w:cs="Arial" w:eastAsia="Arial" w:hAnsi="Arial"/>
          <w:sz w:val="16"/>
          <w:szCs w:val="16"/>
          <w:b w:val="1"/>
          <w:bCs w:val="1"/>
          <w:color w:val="auto"/>
        </w:rPr>
        <w:t>votes cast</w:t>
      </w:r>
      <w:r>
        <w:rPr>
          <w:rFonts w:ascii="Arial" w:cs="Arial" w:eastAsia="Arial" w:hAnsi="Arial"/>
          <w:sz w:val="16"/>
          <w:szCs w:val="16"/>
          <w:color w:val="auto"/>
        </w:rPr>
        <w:t>” do not include abstentions or shares as to which a stockholder gives no authority or discretion, including “broker non-votes.”</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Voting</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When a quorum is present at any meeting other than with regard to the election of directors, a majority of the total number of votes of the corporation’s capital stock having voting power present in person or represented by proxy at the meeting and entitled to vote on such question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With respect to the election of directors, the voting standard shall be as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these bylaws.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Record Date for Stockholder Notice, Voting, Payment and Written Consent</w:t>
      </w:r>
    </w:p>
    <w:p>
      <w:pPr>
        <w:spacing w:after="0" w:line="117" w:lineRule="exact"/>
        <w:rPr>
          <w:sz w:val="20"/>
          <w:szCs w:val="20"/>
          <w:color w:val="auto"/>
        </w:rPr>
      </w:pPr>
    </w:p>
    <w:p>
      <w:pPr>
        <w:ind w:firstLine="436"/>
        <w:spacing w:after="0" w:line="269" w:lineRule="auto"/>
        <w:tabs>
          <w:tab w:leader="none" w:pos="68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For purposes of determining the stockholders entitled to notice of, or to vote at, any meeting of stockholders or any adjournment thereof, or entitled to receive payment of any dividend or other distribution or allotment of any rights, or entitled to exercise any right in respect of any change, conversion or exchange of shares of capital stock of the corporation or for the purpose of any other lawful action (other than the taking of action by written consent of the stockholders without a meeting which is governed by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below), the Board may fix, in advance, a record date, which shall not be more than sixty (60) days nor less than ten (10) days before the date of any such meeting nor more than sixty (60) days before any other action to which the record date relates.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Board may fix a new record date for the adjourned meeting. If the Board does not so fix a record date, then: (i) the record date for determining stockholders entitled to notice of or to vote at a meeting of stockholders shall be at the close of business on the business day next preceding the day on which notice is given or, if notice is waived, at the close of business on the business day next preceding the day on which the meeting is held; and (ii) the record date for determining stockholders for any other purpose shall be at the close of business on the day on which the Board adopts the resolution relating to such purpose.</w:t>
      </w:r>
    </w:p>
    <w:p>
      <w:pPr>
        <w:spacing w:after="0" w:line="73" w:lineRule="exact"/>
        <w:rPr>
          <w:rFonts w:ascii="Arial" w:cs="Arial" w:eastAsia="Arial" w:hAnsi="Arial"/>
          <w:sz w:val="17"/>
          <w:szCs w:val="17"/>
          <w:color w:val="auto"/>
        </w:rPr>
      </w:pPr>
    </w:p>
    <w:p>
      <w:pPr>
        <w:jc w:val="both"/>
        <w:ind w:right="140" w:firstLine="436"/>
        <w:spacing w:after="0" w:line="275" w:lineRule="auto"/>
        <w:tabs>
          <w:tab w:leader="none" w:pos="69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For purposes of determining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Any stockholder of record seeking to have the stockholders authorize or take corporate action by written consent shall, by written notice to the Secretary, request the Board to fix a record date. The Board shall, within ten (10) days after the date on which such written notice is received,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107" w:name="page108"/>
    <w:bookmarkEnd w:id="107"/>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adopt a resolution fixing the record date. If no record date has been fixed by the Board within ten (10) days after receipt of such written notice, when no prior action by the Board is required by applicable law, the record date for determining stockholders entitled to consent to corporate action in writing without a meeting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to the attention of the Secretary. Delivery shall be by hand or by certified or registered mail, return receipt requested. If no record date has been fixed by the Board and prior action by the Board is required by applicable law, the record date for determining stockholders entitled to consent to corporate action in writing without a meeting shall be at the close of business on the day on which the Board adopts the resolution taking such prior action.</w:t>
      </w:r>
    </w:p>
    <w:p>
      <w:pPr>
        <w:spacing w:after="0" w:line="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Proxies</w:t>
      </w:r>
    </w:p>
    <w:p>
      <w:pPr>
        <w:spacing w:after="0" w:line="117"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 xml:space="preserve">Each stockholder entitled to vote at a meeting of stockholders may authorize another person or persons to act for such stockholder by proxy, but no such proxy shall be voted or acted upon after three (3) years from its date unless the proxy provides for a longer period. Subject to the limitation set forth in the last clause of the first sentence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a duly executed proxy that does not state that it is irrevocable shall continue in full force and effect unless (i) revoked by the person executing it, before the vote pursuant to that proxy, by a writing delivered to the corporation stating that the proxy is revoked or by a subsequent proxy executed by, or attendance at the meeting and voting in person by, the person executing the proxy, or</w:t>
      </w:r>
    </w:p>
    <w:p>
      <w:pPr>
        <w:spacing w:after="0" w:line="2" w:lineRule="exact"/>
        <w:rPr>
          <w:sz w:val="20"/>
          <w:szCs w:val="20"/>
          <w:color w:val="auto"/>
        </w:rPr>
      </w:pPr>
    </w:p>
    <w:p>
      <w:pPr>
        <w:ind w:left="444" w:right="180" w:hanging="444"/>
        <w:spacing w:after="0" w:line="367" w:lineRule="auto"/>
        <w:tabs>
          <w:tab w:leader="none" w:pos="26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written notice of the death or incapacity of the maker of that proxy is received by the corporation before the vote pursuant to that proxy is counted. 2.13 </w:t>
      </w:r>
      <w:r>
        <w:rPr>
          <w:rFonts w:ascii="Arial" w:cs="Arial" w:eastAsia="Arial" w:hAnsi="Arial"/>
          <w:sz w:val="18"/>
          <w:szCs w:val="18"/>
          <w:u w:val="single" w:color="auto"/>
          <w:color w:val="auto"/>
        </w:rPr>
        <w:t>Inspectors of Election</w:t>
      </w:r>
    </w:p>
    <w:p>
      <w:pPr>
        <w:spacing w:after="0" w:line="1"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The corporation shall, in advance of any meeting of stockholders, appoint one or more 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Inspectors of Written Consent</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In the event of the delivery, in the manner prescribed by law or in these bylaws, to the corporation of the requisite written consent or consents to take corporate action or any related revocations thereof, the corporation may designate one or more persons for the purpose of promptly performing a ministerial review of the validity of such consents and revocations. The corporation may designate one or more persons to act as alternate inspectors to replace any inspector who fails to act. Each inspector, before discharging his or her duties, shall take and sign an oath faithfully to execute the duties of inspector with strict impartiality and according to the best of his or her ability. For the purpose of permitting the inspectors to perform such review, no action by written consent without a meeting shall be effective until such date as the independent inspectors certify to the corporation that the consents delivered to the corporation in accordance with applicable law and these bylaws represent at least the minimum number of votes that would be necessary to take the corporate action. Nothing contained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affect the right of the Board or any stockholder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490" w:right="4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Election, Tenure and Qualifications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directors that constitute the entire Board shall be fixed from time to time by resolution adopted by a majority of the entire Board.</w:t>
      </w:r>
    </w:p>
    <w:p>
      <w:pPr>
        <w:spacing w:after="0" w:line="24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below or at a special meeting of stockholders held for the purpose of electing directors, directors shall be elected at each annual meeting of stockholders and each director elected shall hold office until the next annual meeting of stockholders and until such director’s successor is duly elected and qualified, or until such director’s earlier resignation, removal from office, death or incapacity. Except in a contested election, the vote required for the election of a director by the stockholders shall be a majority of the votes cast in favor of the nominee. In a contested election, a director shall be elected by a plurality of the votes so cast in favor of the nominee. A contested election shall be one in which there are more nominees than positions on the Board to be filled at the meeting as of the fifth (5th) day prior to the date on which the corporation files its definitive proxy statement with the Securities and Exchange Commission. Any subsequent amendment or supplement of the definitive proxy statement shall not affect the status of the election.</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Subject to the last paragraph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subject to the rights of holders of any class or series of preferred stock of the corporation, if any, to nominate and elect a specified number of directors in certain circumstances, nominations of persons for election to the Board may be made (a) by or at the direction of the Board, (b) by any stockholder of the corporation (A) who was a stockholder of record at the time of giving of notice of meeting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at the time of the meeting, (B) who is entitled to vote for the election of directors at the applicable meeting, and (C) who complies with the notice procedures set forth in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(c) by any person who meets the requirements of and complies with the procedures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Such nominations, other than those made by or at the direction of the Board or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 shall be made pursuant to timely notice in proper written form to the Secretary of the corporation.</w:t>
      </w:r>
    </w:p>
    <w:p>
      <w:pPr>
        <w:spacing w:after="0" w:line="177"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To be timely, a stockholder’s notice shall be delivered by a nationally recognized courier service or mailed by first class United States mail, postage or delivery charges prepaid, or other method of delivery approved by the Board, and received at the principal executive offices of the corporation addressed to the attention of the Secretary of the corporation in the case of an annual meeting not less than ninety (90) days nor more than one hundred twenty (120) days in advance of the first anniversary of the date of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no annual meeting was held in the previous year or the date of the annual meeting is more than thirty (30) days before or more than sixty (60) days after the first anniversary of the previous year’s annual meeting of stockholders, notice by the stockholder must be received by the Secretary of the corporation not earlier than the close of business on the one hundred twentieth (120th) day prior to such annual meeting and not later than the close of business on the later of (x) the ninetieth (90th) day prior to such annual meeting and (y) the tenth (10th) day following the day on which public announcement of the date of such meeting is first made. In no event shall the public announcement of an adjournment or postponement of an annual meeting commence a new time period (or extend any time period) for the giving of a stockholder’s notice as described above.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109" w:name="page110"/>
    <w:bookmarkEnd w:id="109"/>
    <w:p>
      <w:pPr>
        <w:jc w:val="both"/>
        <w:ind w:left="4" w:right="16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be in proper form, a stockholder’s notice to the Secretary must set forth (a) as to each person whom the stockholder proposes to nominate for election or reelection as a director, (i) the name, age, business address and residence address of the person, (ii) the principal occupation or employment of the person, (iii) the class, series and number of shares of capital stock of the corporation that are owned beneficially and of record by the person,</w:t>
      </w:r>
    </w:p>
    <w:p>
      <w:pPr>
        <w:spacing w:after="0" w:line="2" w:lineRule="exact"/>
        <w:rPr>
          <w:sz w:val="20"/>
          <w:szCs w:val="20"/>
          <w:color w:val="auto"/>
        </w:rPr>
      </w:pPr>
    </w:p>
    <w:p>
      <w:pPr>
        <w:ind w:left="4" w:right="260" w:hanging="4"/>
        <w:spacing w:after="0" w:line="281" w:lineRule="auto"/>
        <w:tabs>
          <w:tab w:leader="none" w:pos="30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statement as to the person’s citizenship, (v) the completed and signed representation and agreement described below, (vi) any other information relating to the person that is required to be disclosed in solicitations for proxies for election of directors pursuant to Section 14 of the 1934 Act, and</w:t>
      </w:r>
    </w:p>
    <w:p>
      <w:pPr>
        <w:spacing w:after="0" w:line="1" w:lineRule="exact"/>
        <w:rPr>
          <w:rFonts w:ascii="Arial" w:cs="Arial" w:eastAsia="Arial" w:hAnsi="Arial"/>
          <w:sz w:val="16"/>
          <w:szCs w:val="16"/>
          <w:color w:val="auto"/>
        </w:rPr>
      </w:pPr>
    </w:p>
    <w:p>
      <w:pPr>
        <w:ind w:left="4" w:right="20" w:hanging="4"/>
        <w:spacing w:after="0" w:line="285" w:lineRule="auto"/>
        <w:tabs>
          <w:tab w:leader="none" w:pos="35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such person’s written consent to being named in the proxy statement as a nominee and to serving as a director if elected, and (b) as to the stockholder giving the notice and the beneficial owner, if any, on whose behalf the nomination is made, (i) the name and record address of the stockholder and of such beneficial owner, if any, (ii) the class, series and number of shares of capital stock of the corporation that are owned beneficially and of record by the stockholder and such beneficial owner, (iii) any Derivative Instrument directly or indirectly owned beneficially by such stockholder and any other direct or indirect opportunity to profit or share in any profit derived from any increase or decrease in the value of shares of the capital stock of the corporation, (iv) a description of any agreement, arrangement or understanding with respect to the nomination between or among such stockholder and such beneficial owner, any of their respective affiliates or associates, and any others acting in concert with any of the foregoing, (v) a representation that the stockholder is a holder of record of stock of the corporation entitled to vote at such meeting and intends to appear in person or by proxy at the meeting to propose such nomination, and (vi) a representation whether the stockholder or the beneficial owner, if any, (a </w:t>
      </w:r>
      <w:r>
        <w:rPr>
          <w:rFonts w:ascii="Arial" w:cs="Arial" w:eastAsia="Arial" w:hAnsi="Arial"/>
          <w:sz w:val="16"/>
          <w:szCs w:val="16"/>
          <w:b w:val="1"/>
          <w:bCs w:val="1"/>
          <w:color w:val="auto"/>
        </w:rPr>
        <w:t>“Stockholder’s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Representation”</w:t>
      </w:r>
      <w:r>
        <w:rPr>
          <w:rFonts w:ascii="Arial" w:cs="Arial" w:eastAsia="Arial" w:hAnsi="Arial"/>
          <w:sz w:val="16"/>
          <w:szCs w:val="16"/>
          <w:color w:val="auto"/>
        </w:rPr>
        <w:t>) intends or is part of a group which intends (A) to deliver a proxy statement and/or form of proxy to holders of at least the percentage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corporation’s outstanding shares of capital stock required to elect the nominee and/or (B) otherwise to solicit proxies from stockholders in support of such nomination. The corporation may require any proposed nominee to furnish such other information as may reasonably be required by the corporation to determine the eligibility of such proposed nominee to serve as director of the corporation.</w:t>
      </w:r>
    </w:p>
    <w:p>
      <w:pPr>
        <w:spacing w:after="0" w:line="169"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To be eligible to be a nominee for election or reelection as a director of the corporation, a person must deliver (in accordance with the time periods prescribed for delivery of notice under this </w:t>
      </w:r>
      <w:r>
        <w:rPr>
          <w:rFonts w:ascii="Arial" w:cs="Arial" w:eastAsia="Arial" w:hAnsi="Arial"/>
          <w:sz w:val="16"/>
          <w:szCs w:val="16"/>
          <w:u w:val="single" w:color="auto"/>
          <w:color w:val="auto"/>
        </w:rPr>
        <w:t>Section 3.1</w:t>
      </w:r>
      <w:r>
        <w:rPr>
          <w:rFonts w:ascii="Arial" w:cs="Arial" w:eastAsia="Arial" w:hAnsi="Arial"/>
          <w:sz w:val="16"/>
          <w:szCs w:val="16"/>
          <w:color w:val="auto"/>
        </w:rPr>
        <w:t>) to the Secretary of the corporation at the principal executive offices of the corporation a written representation and agreement that such person (i) is not and will not become a party to (A) 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color w:val="auto"/>
        </w:rPr>
        <w:t>Voting Commitment</w:t>
      </w:r>
      <w:r>
        <w:rPr>
          <w:rFonts w:ascii="Arial" w:cs="Arial" w:eastAsia="Arial" w:hAnsi="Arial"/>
          <w:sz w:val="16"/>
          <w:szCs w:val="16"/>
          <w:color w:val="auto"/>
        </w:rPr>
        <w:t>”) that has not been disclosed to the corporation or (B) any Voting Commitment that could limit or interfere with such person’s ability to comply, if elected as a director of the corporation, with such person’s fiduciary duties under applicable law, (ii) is not and has not agreed to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in such written representation and agreement and agrees to promptly disclose to the Board any such agreement, arrangement or understanding (whether written or oral) with any person or entity other than the corporation with respect to any direct or indirect compensation, reimbursement or indemnification in</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490" w:right="459" w:bottom="1440" w:gutter="0" w:footer="0" w:header="0"/>
        </w:sectPr>
      </w:pPr>
    </w:p>
    <w:bookmarkStart w:id="110" w:name="page111"/>
    <w:bookmarkEnd w:id="110"/>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connection with service or action as a director that such person becomes a party to at any time after the delivery of such written representation and agreement, and (iii) in such person’s individual capacity and on behalf of any person or entity on whose behalf the nomination is being made, would be in compliance, if elected as a director of the corporation, and will comply with, applicable law and all applicable rules of the securities exchanges upon which the securities of the corporation are listed and publicly disclosed corporate governance, conflict of interest, confidentiality and stock ownership and trading policies and guidelines of the corporation</w:t>
      </w:r>
      <w:r>
        <w:rPr>
          <w:rFonts w:ascii="Arial" w:cs="Arial" w:eastAsia="Arial" w:hAnsi="Arial"/>
          <w:sz w:val="17"/>
          <w:szCs w:val="17"/>
          <w:b w:val="1"/>
          <w:bCs w:val="1"/>
          <w:u w:val="single" w:color="auto"/>
          <w:color w:val="0000FF"/>
        </w:rPr>
        <w:t>, including the Company’s Code of Business Conduct and Corporate Governance Principles</w:t>
      </w:r>
      <w:r>
        <w:rPr>
          <w:rFonts w:ascii="Arial" w:cs="Arial" w:eastAsia="Arial" w:hAnsi="Arial"/>
          <w:sz w:val="17"/>
          <w:szCs w:val="17"/>
          <w:color w:val="auto"/>
        </w:rPr>
        <w:t xml:space="preserve">. At the request of the corporation, each nominee for election as a director of the corporation must submit to the Secretary of the corporation all completed and signed questionnaires required of directors and officers. With respect to any nominee for election as a director of the corporation, such nominee shall agree to the conditional resignation policy as set forth in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of these bylaws.</w:t>
      </w:r>
    </w:p>
    <w:p>
      <w:pPr>
        <w:spacing w:after="0" w:line="178"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 xml:space="preserve">Notwithstanding anything in the fourth paragraph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to the contrary, in the event that the number of directors to be elected to the Board is increased effective at the annual meeting and there is no public announcement by the corporation naming the nominees for the additional directorships at least one hundred twenty (120) days prior to the first anniversary of the date of the previous year’s annual meeting of stockholders, a stockholder’s notice required by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also be considered timely, but only with respect to nominees for the additional directorships, if it shall be received by the Secretary at the principal executive offices of the corporation not later than the close of business on the tenth (10th) day following the day on which such public announcement is first made by the corporation.</w:t>
      </w:r>
    </w:p>
    <w:p>
      <w:pPr>
        <w:spacing w:after="0" w:line="178"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Nominations of persons for election to the Board may be made at a special meeting of stockholders at which directors are to be elected pursuant to the corporation’s notice of meeting (1) by or at the direction of the Board or any committee thereof or (2)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has determined that directors shall be elected at such meeting, by any stockholder of the corporation who is a stockholder of record at the time of giving of notice of meeting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at the time of the meeting, who is entitled to vote at the meeting and upon such election and who complies with the notice procedures set forth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required by the third paragraph of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be received by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Nominations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these bylaws may not be made in connection with a special meeting of stockholders.</w:t>
      </w:r>
    </w:p>
    <w:p>
      <w:pPr>
        <w:spacing w:after="0" w:line="174"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6"/>
          <w:szCs w:val="16"/>
          <w:color w:val="auto"/>
        </w:rPr>
        <w:t xml:space="preserve">A stockholder providing notice of any nomination proposed to be made at an annual meeting or special meeting of stockholders shall further update and supplement such notice, if necessary, so that the information provided or required to be provided in such notice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be true and correct as of the record date for determining the stockholders entitled to receive notice of the annual meeting or special meeting and such update or supplement shall be delivered to, and received by, the Secretary at the principal executive offices of the corporation not later than five</w:t>
      </w:r>
    </w:p>
    <w:p>
      <w:pPr>
        <w:spacing w:after="0" w:line="1" w:lineRule="exact"/>
        <w:rPr>
          <w:sz w:val="20"/>
          <w:szCs w:val="20"/>
          <w:color w:val="auto"/>
        </w:rPr>
      </w:pPr>
    </w:p>
    <w:p>
      <w:pPr>
        <w:ind w:left="4" w:right="60" w:hanging="4"/>
        <w:spacing w:after="0" w:line="260" w:lineRule="auto"/>
        <w:tabs>
          <w:tab w:leader="none" w:pos="2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business days after the later of (i) the record date for determining the stockholders entitled to receive notice of the annual meeting or special meeting and (ii) the date notice of such record date is first publicly disclosed.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490" w:right="459" w:bottom="1440" w:gutter="0" w:footer="0" w:header="0"/>
        </w:sectPr>
      </w:pPr>
    </w:p>
    <w:bookmarkStart w:id="111" w:name="page112"/>
    <w:bookmarkEnd w:id="111"/>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connection with any annual meeting of the stockholders (or, if and as applicable, any special meeting of the stockholders), if the Chair of the Board (or such other person presiding at such meeting in accordance with these bylaws) determines in good faith that a nomination was not made in accordance with the foregoing procedure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he or she shall so declare to the meeting and the defective nomination shall be disregarded by the Board. Notwithstanding the foregoing provisions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w:t>
      </w:r>
      <w:r>
        <w:rPr>
          <w:rFonts w:ascii="Arial" w:cs="Arial" w:eastAsia="Arial" w:hAnsi="Arial"/>
          <w:sz w:val="17"/>
          <w:szCs w:val="17"/>
          <w:u w:val="single" w:color="auto"/>
          <w:color w:val="auto"/>
        </w:rPr>
        <w:t>Section 3.1</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Compliance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the exclusive means for a stockholder to make nominations for director or submit other business to the stockholders at an annual meeting (other than matters brought properly under and in compliance with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or Rule 14a-8 or other applicable rules and regulations under the 1934 Act).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3.1A </w:t>
      </w:r>
      <w:r>
        <w:rPr>
          <w:rFonts w:ascii="Arial" w:cs="Arial" w:eastAsia="Arial" w:hAnsi="Arial"/>
          <w:sz w:val="18"/>
          <w:szCs w:val="18"/>
          <w:u w:val="single" w:color="auto"/>
          <w:color w:val="auto"/>
        </w:rPr>
        <w:t>Proxy Access for Director Nominations.</w:t>
      </w:r>
    </w:p>
    <w:p>
      <w:pPr>
        <w:spacing w:after="0" w:line="117" w:lineRule="exact"/>
        <w:rPr>
          <w:sz w:val="20"/>
          <w:szCs w:val="20"/>
          <w:color w:val="auto"/>
        </w:rPr>
      </w:pPr>
    </w:p>
    <w:p>
      <w:pPr>
        <w:ind w:firstLine="436"/>
        <w:spacing w:after="0" w:line="268" w:lineRule="auto"/>
        <w:tabs>
          <w:tab w:leader="none" w:pos="685"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Proxy Access</w:t>
      </w:r>
      <w:r>
        <w:rPr>
          <w:rFonts w:ascii="Arial" w:cs="Arial" w:eastAsia="Arial" w:hAnsi="Arial"/>
          <w:sz w:val="17"/>
          <w:szCs w:val="17"/>
          <w:color w:val="auto"/>
        </w:rPr>
        <w:t xml:space="preserve">. Whenever the Board solicits proxies with respect to the election of directors at an annual meeting of stockholders, subject to the provisions of this </w:t>
      </w:r>
      <w:r>
        <w:rPr>
          <w:rFonts w:ascii="Arial" w:cs="Arial" w:eastAsia="Arial" w:hAnsi="Arial"/>
          <w:sz w:val="17"/>
          <w:szCs w:val="17"/>
          <w:u w:val="single" w:color="auto"/>
          <w:color w:val="auto"/>
        </w:rPr>
        <w:t>Section 3.1A</w:t>
      </w:r>
      <w:r>
        <w:rPr>
          <w:rFonts w:ascii="Arial" w:cs="Arial" w:eastAsia="Arial" w:hAnsi="Arial"/>
          <w:sz w:val="17"/>
          <w:szCs w:val="17"/>
          <w:color w:val="auto"/>
        </w:rPr>
        <w:t>, the corporation shall include in its proxy statement for such annual meeting, in addition to any persons nominated for election by the Board, the name, together with the Required Information (as defined below), of any person nominated for election (the “</w:t>
      </w:r>
      <w:r>
        <w:rPr>
          <w:rFonts w:ascii="Arial" w:cs="Arial" w:eastAsia="Arial" w:hAnsi="Arial"/>
          <w:sz w:val="17"/>
          <w:szCs w:val="17"/>
          <w:b w:val="1"/>
          <w:bCs w:val="1"/>
          <w:color w:val="auto"/>
        </w:rPr>
        <w:t>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Nominee</w:t>
      </w:r>
      <w:r>
        <w:rPr>
          <w:rFonts w:ascii="Arial" w:cs="Arial" w:eastAsia="Arial" w:hAnsi="Arial"/>
          <w:sz w:val="17"/>
          <w:szCs w:val="17"/>
          <w:color w:val="auto"/>
        </w:rPr>
        <w:t>”) to the Board by any stockholder or group of no more than twenty (20) stockholders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a group of funds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management and investment control shall be treated as one stockholder) that satisfies the requirements of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(such stockholder or stockholders, and any person on whose behalf they are acting, the “</w:t>
      </w:r>
      <w:r>
        <w:rPr>
          <w:rFonts w:ascii="Arial" w:cs="Arial" w:eastAsia="Arial" w:hAnsi="Arial"/>
          <w:sz w:val="17"/>
          <w:szCs w:val="17"/>
          <w:b w:val="1"/>
          <w:bCs w:val="1"/>
          <w:color w:val="auto"/>
        </w:rPr>
        <w:t>Eligible Stockholder</w:t>
      </w:r>
      <w:r>
        <w:rPr>
          <w:rFonts w:ascii="Arial" w:cs="Arial" w:eastAsia="Arial" w:hAnsi="Arial"/>
          <w:sz w:val="17"/>
          <w:szCs w:val="17"/>
          <w:color w:val="auto"/>
        </w:rPr>
        <w:t xml:space="preserve">”), and who expressly elects at the time of providing the notice required by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(the “</w:t>
      </w:r>
      <w:r>
        <w:rPr>
          <w:rFonts w:ascii="Arial" w:cs="Arial" w:eastAsia="Arial" w:hAnsi="Arial"/>
          <w:sz w:val="17"/>
          <w:szCs w:val="17"/>
          <w:b w:val="1"/>
          <w:bCs w:val="1"/>
          <w:color w:val="auto"/>
        </w:rPr>
        <w:t>Notice of Proxy Access Nomination</w:t>
      </w:r>
      <w:r>
        <w:rPr>
          <w:rFonts w:ascii="Arial" w:cs="Arial" w:eastAsia="Arial" w:hAnsi="Arial"/>
          <w:sz w:val="17"/>
          <w:szCs w:val="17"/>
          <w:color w:val="auto"/>
        </w:rPr>
        <w:t xml:space="preserve">”) to have its nominee included in the corporation’s proxy materials (including the proxy card) pursuant to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3.1A</w:t>
      </w:r>
      <w:r>
        <w:rPr>
          <w:rFonts w:ascii="Arial" w:cs="Arial" w:eastAsia="Arial" w:hAnsi="Arial"/>
          <w:sz w:val="17"/>
          <w:szCs w:val="17"/>
          <w:color w:val="auto"/>
        </w:rPr>
        <w:t>, the “</w:t>
      </w:r>
      <w:r>
        <w:rPr>
          <w:rFonts w:ascii="Arial" w:cs="Arial" w:eastAsia="Arial" w:hAnsi="Arial"/>
          <w:sz w:val="17"/>
          <w:szCs w:val="17"/>
          <w:b w:val="1"/>
          <w:bCs w:val="1"/>
          <w:color w:val="auto"/>
        </w:rPr>
        <w:t>Required Information</w:t>
      </w:r>
      <w:r>
        <w:rPr>
          <w:rFonts w:ascii="Arial" w:cs="Arial" w:eastAsia="Arial" w:hAnsi="Arial"/>
          <w:sz w:val="17"/>
          <w:szCs w:val="17"/>
          <w:color w:val="auto"/>
        </w:rPr>
        <w:t>” that the corporation will include in its proxy statement shall be the information provided to the Secretary of the corporation concerning each Stockholder Nominee and Eligible Stockholder that is required to be disclosed in the corporation’s proxy statement pursuant to Section 14 of the 1934 Act, and if the Eligible Stockholder so elects, a written statement, not to exceed 500 words, in support of the Stockholder Nominee(s)’ candidacy (the “</w:t>
      </w:r>
      <w:r>
        <w:rPr>
          <w:rFonts w:ascii="Arial" w:cs="Arial" w:eastAsia="Arial" w:hAnsi="Arial"/>
          <w:sz w:val="17"/>
          <w:szCs w:val="17"/>
          <w:b w:val="1"/>
          <w:bCs w:val="1"/>
          <w:color w:val="auto"/>
        </w:rPr>
        <w:t>Statement</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Section 3.1A</w:t>
      </w:r>
      <w:r>
        <w:rPr>
          <w:rFonts w:ascii="Arial" w:cs="Arial" w:eastAsia="Arial" w:hAnsi="Arial"/>
          <w:sz w:val="17"/>
          <w:szCs w:val="17"/>
          <w:color w:val="auto"/>
        </w:rPr>
        <w:t>, the corporation may omit from its proxy materials any information or Statement (or portion thereof) that it, in good faith, believes would violate any applicable law or regulation.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490" w:right="499" w:bottom="1440" w:gutter="0" w:footer="0" w:header="0"/>
        </w:sectPr>
      </w:pPr>
    </w:p>
    <w:bookmarkStart w:id="112" w:name="page113"/>
    <w:bookmarkEnd w:id="112"/>
    <w:p>
      <w:pPr>
        <w:ind w:left="-20" w:firstLine="436"/>
        <w:spacing w:after="0" w:line="271" w:lineRule="auto"/>
        <w:tabs>
          <w:tab w:leader="none" w:pos="672"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Timeliness of Notice</w:t>
      </w:r>
      <w:r>
        <w:rPr>
          <w:rFonts w:ascii="Arial" w:cs="Arial" w:eastAsia="Arial" w:hAnsi="Arial"/>
          <w:sz w:val="17"/>
          <w:szCs w:val="17"/>
          <w:color w:val="auto"/>
        </w:rPr>
        <w:t xml:space="preserve">. To be timely, the Notice of Proxy Access Nomination must be delivered to, or received by, the Secretary of the corporation no earlier than one hundred fifty (150) days and no later than one hundred twenty (120) days before the anniversary of the date that the corporation filed its proxy statement for the previous year’s annual meeting of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date of the annual meeting of stockholders is called for more than thirty (30) days earlier or later than the anniversary date of the most recent annual meeting of stockholders, then not later than the close of business on the earlier of (i) the tenth (10th) day after public announcement of the meeting date, or (ii) the sixtieth (60th) day prior to the date the corporation files its proxy statement in connection with the annual meeting of stockholders. In no event shall the public announcement of an adjournment or postponement of an annual meeting of stockholders commence a new time period (or extend any time period) for the giving of a stockholder’s notice as described above.</w:t>
      </w:r>
    </w:p>
    <w:p>
      <w:pPr>
        <w:spacing w:after="0" w:line="70" w:lineRule="exact"/>
        <w:rPr>
          <w:rFonts w:ascii="Arial" w:cs="Arial" w:eastAsia="Arial" w:hAnsi="Arial"/>
          <w:sz w:val="17"/>
          <w:szCs w:val="17"/>
          <w:color w:val="auto"/>
        </w:rPr>
      </w:pPr>
    </w:p>
    <w:p>
      <w:pPr>
        <w:ind w:left="660" w:hanging="244"/>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Maximum Number of Stockholder Nominees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419"/>
        <w:spacing w:after="0" w:line="291" w:lineRule="auto"/>
        <w:tabs>
          <w:tab w:leader="none" w:pos="1058"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Maximum Number of Stockholder Nominees</w:t>
      </w:r>
      <w:r>
        <w:rPr>
          <w:rFonts w:ascii="Arial" w:cs="Arial" w:eastAsia="Arial" w:hAnsi="Arial"/>
          <w:sz w:val="16"/>
          <w:szCs w:val="16"/>
          <w:color w:val="auto"/>
        </w:rPr>
        <w:t xml:space="preserve">. The maximum number of Stockholder Nominees nominated by all Eligible Stockholders that will be included in the corporation’s proxy materials with respect to an annual meeting of stockholders shall not exceed 25% of the number of directors in office as of the last day on which a Notice of Proxy Access Nomination may be delivered pursuant to and in accordance with this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(the “</w:t>
      </w:r>
      <w:r>
        <w:rPr>
          <w:rFonts w:ascii="Arial" w:cs="Arial" w:eastAsia="Arial" w:hAnsi="Arial"/>
          <w:sz w:val="16"/>
          <w:szCs w:val="16"/>
          <w:b w:val="1"/>
          <w:bCs w:val="1"/>
          <w:color w:val="auto"/>
        </w:rPr>
        <w:t>Final Proxy Access Nomination Date</w:t>
      </w:r>
      <w:r>
        <w:rPr>
          <w:rFonts w:ascii="Arial" w:cs="Arial" w:eastAsia="Arial" w:hAnsi="Arial"/>
          <w:sz w:val="16"/>
          <w:szCs w:val="16"/>
          <w:color w:val="auto"/>
        </w:rPr>
        <w:t>”), or if such amount is not a whole number, the closest whole number below 25%, but not less than one. In the event that one or more vacancies for any reason occurs on the Board after the Final Proxy Access Nomination Date but before the date of the annual meeting and the Board resolves to reduce the size of the Board in connection therewith, the maximum number of Stockholder Nominees included in the corporation’s proxy materials shall be calculated based on the number of directors in office as so reduced.</w:t>
      </w:r>
    </w:p>
    <w:p>
      <w:pPr>
        <w:spacing w:after="0" w:line="58" w:lineRule="exact"/>
        <w:rPr>
          <w:rFonts w:ascii="Arial" w:cs="Arial" w:eastAsia="Arial" w:hAnsi="Arial"/>
          <w:sz w:val="16"/>
          <w:szCs w:val="16"/>
          <w:color w:val="auto"/>
        </w:rPr>
      </w:pPr>
    </w:p>
    <w:p>
      <w:pPr>
        <w:ind w:left="420" w:right="40" w:firstLine="419"/>
        <w:spacing w:after="0" w:line="254" w:lineRule="auto"/>
        <w:tabs>
          <w:tab w:leader="none" w:pos="110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Persons Considered in Calculation of Maximum Number of Stockholder Nominees</w:t>
      </w:r>
      <w:r>
        <w:rPr>
          <w:rFonts w:ascii="Arial" w:cs="Arial" w:eastAsia="Arial" w:hAnsi="Arial"/>
          <w:sz w:val="18"/>
          <w:szCs w:val="18"/>
          <w:color w:val="auto"/>
        </w:rPr>
        <w:t xml:space="preserve">. The following persons shall be considered Stockholder Nominees for purposes of determining when the maximum number of Stockholder Nominees provided for in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has been reached: (1) any Stockholder Nominee whom the Board decides to nominate as a Board nominee, (2) with respect to any stockholder meeting, any individual with respect to whom the corporation receives notice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these bylaws that a stockholder intends to nominate for election at such meeting, (3) any Stockholder Nominee who is subsequently withdrawn and (4) any director who had been a Stockholder Nominee at any of the preceding three annual meetings and whose reelection at the upcoming annual meeting is being recommended by the Board.</w:t>
      </w:r>
    </w:p>
    <w:p>
      <w:pPr>
        <w:spacing w:after="0" w:line="86" w:lineRule="exact"/>
        <w:rPr>
          <w:rFonts w:ascii="Arial" w:cs="Arial" w:eastAsia="Arial" w:hAnsi="Arial"/>
          <w:sz w:val="18"/>
          <w:szCs w:val="18"/>
          <w:color w:val="auto"/>
        </w:rPr>
      </w:pPr>
    </w:p>
    <w:p>
      <w:pPr>
        <w:ind w:left="420" w:firstLine="419"/>
        <w:spacing w:after="0" w:line="254" w:lineRule="auto"/>
        <w:tabs>
          <w:tab w:leader="none" w:pos="115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Ranking Stockholder Nominees</w:t>
      </w:r>
      <w:r>
        <w:rPr>
          <w:rFonts w:ascii="Arial" w:cs="Arial" w:eastAsia="Arial" w:hAnsi="Arial"/>
          <w:sz w:val="18"/>
          <w:szCs w:val="18"/>
          <w:color w:val="auto"/>
        </w:rPr>
        <w:t xml:space="preserve">. Any Eligible Stockholder submitting more than one Stockholder Nominee for inclusion in the corporation’s proxy materials pursuant to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shall rank such Stockholder Nominees based on the order that the Eligible Stockholder desires such Stockholder Nominees to be selected for inclusion in the corporation’s proxy statement. In the event that the number of Stockholder Nominees submitted by Eligible Stockholders pursuant to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exceeds the maximum number of nominees provided for in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the highest ranking Stockholder Nominee who meets the requirements of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from each Eligible Stockholder will be selected for inclusion in the corporation’s proxy materials until the maximum number is reached, whereby Eligible Stockholders disclosing the largest ownership of shares of common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490" w:right="479" w:bottom="1440" w:gutter="0" w:footer="0" w:header="0"/>
        </w:sectPr>
      </w:pPr>
    </w:p>
    <w:bookmarkStart w:id="113" w:name="page114"/>
    <w:bookmarkEnd w:id="113"/>
    <w:p>
      <w:pPr>
        <w:ind w:left="44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stock of the corporation in their respective Notice of Proxy Access Nomination submitted to the corporation receive priority based on the number of shares of common stock each Eligible Stockholder so disclosed as owned. If the maximum number is not reached after the highest ranking Stockholder Nominee who meets the requirements of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from each Eligible Stockholder has been selected, this process will continue as many times as necessary, following the same order each time, until the maximum number is reached.</w:t>
      </w:r>
    </w:p>
    <w:p>
      <w:pPr>
        <w:spacing w:after="0" w:line="63" w:lineRule="exact"/>
        <w:rPr>
          <w:sz w:val="20"/>
          <w:szCs w:val="20"/>
          <w:color w:val="auto"/>
        </w:rPr>
      </w:pPr>
    </w:p>
    <w:p>
      <w:pPr>
        <w:ind w:right="280" w:firstLine="436"/>
        <w:spacing w:after="0" w:line="263"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 Eligible Stockholder shall be deemed to “own” only those outstanding shares of common stock of the corporation as to which the stockholder possesses Net Long Beneficial Ownership, as computed pursuant to the second paragraph of </w:t>
      </w:r>
      <w:r>
        <w:rPr>
          <w:rFonts w:ascii="Arial" w:cs="Arial" w:eastAsia="Arial" w:hAnsi="Arial"/>
          <w:sz w:val="18"/>
          <w:szCs w:val="18"/>
          <w:u w:val="single" w:color="auto"/>
          <w:color w:val="auto"/>
        </w:rPr>
        <w:t>Section 2.3A(a)</w:t>
      </w:r>
      <w:r>
        <w:rPr>
          <w:rFonts w:ascii="Arial" w:cs="Arial" w:eastAsia="Arial" w:hAnsi="Arial"/>
          <w:sz w:val="18"/>
          <w:szCs w:val="18"/>
          <w:color w:val="auto"/>
        </w:rPr>
        <w:t xml:space="preserve"> of these bylaws.</w:t>
      </w:r>
    </w:p>
    <w:p>
      <w:pPr>
        <w:spacing w:after="0" w:line="75" w:lineRule="exact"/>
        <w:rPr>
          <w:rFonts w:ascii="Arial" w:cs="Arial" w:eastAsia="Arial" w:hAnsi="Arial"/>
          <w:sz w:val="18"/>
          <w:szCs w:val="18"/>
          <w:color w:val="auto"/>
        </w:rPr>
      </w:pPr>
    </w:p>
    <w:p>
      <w:pPr>
        <w:ind w:right="140" w:firstLine="436"/>
        <w:spacing w:after="0" w:line="273" w:lineRule="auto"/>
        <w:tabs>
          <w:tab w:leader="none" w:pos="685"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Required Ownership Percentage; Minimum Holding Period</w:t>
      </w:r>
      <w:r>
        <w:rPr>
          <w:rFonts w:ascii="Arial" w:cs="Arial" w:eastAsia="Arial" w:hAnsi="Arial"/>
          <w:sz w:val="17"/>
          <w:szCs w:val="17"/>
          <w:color w:val="auto"/>
        </w:rPr>
        <w:t xml:space="preserve">. In order to make a nomination pursuant to this </w:t>
      </w:r>
      <w:r>
        <w:rPr>
          <w:rFonts w:ascii="Arial" w:cs="Arial" w:eastAsia="Arial" w:hAnsi="Arial"/>
          <w:sz w:val="17"/>
          <w:szCs w:val="17"/>
          <w:u w:val="single" w:color="auto"/>
          <w:color w:val="auto"/>
        </w:rPr>
        <w:t>Section 3.1A</w:t>
      </w:r>
      <w:r>
        <w:rPr>
          <w:rFonts w:ascii="Arial" w:cs="Arial" w:eastAsia="Arial" w:hAnsi="Arial"/>
          <w:sz w:val="17"/>
          <w:szCs w:val="17"/>
          <w:color w:val="auto"/>
        </w:rPr>
        <w:t>, an Eligible Stockholder must have owned the Required Ownership Percentage (as defined below) of the corporation’s outstanding common stock (the “</w:t>
      </w:r>
      <w:r>
        <w:rPr>
          <w:rFonts w:ascii="Arial" w:cs="Arial" w:eastAsia="Arial" w:hAnsi="Arial"/>
          <w:sz w:val="17"/>
          <w:szCs w:val="17"/>
          <w:b w:val="1"/>
          <w:bCs w:val="1"/>
          <w:color w:val="auto"/>
        </w:rPr>
        <w:t>Required</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continuously for the Minimum Holding Period (as defined below) as of both the date the Notice of Proxy Access Nomination is received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Secretary of the corporation in accordance with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the record date for determining the stockholders entitled to vote at the annual meeting and must continue to own the Required Shares through the meeting date. For purposes of this </w:t>
      </w:r>
      <w:r>
        <w:rPr>
          <w:rFonts w:ascii="Arial" w:cs="Arial" w:eastAsia="Arial" w:hAnsi="Arial"/>
          <w:sz w:val="17"/>
          <w:szCs w:val="17"/>
          <w:u w:val="single" w:color="auto"/>
          <w:color w:val="auto"/>
        </w:rPr>
        <w:t>Section 3.1A</w:t>
      </w:r>
      <w:r>
        <w:rPr>
          <w:rFonts w:ascii="Arial" w:cs="Arial" w:eastAsia="Arial" w:hAnsi="Arial"/>
          <w:sz w:val="17"/>
          <w:szCs w:val="17"/>
          <w:color w:val="auto"/>
        </w:rPr>
        <w:t>, the “</w:t>
      </w:r>
      <w:r>
        <w:rPr>
          <w:rFonts w:ascii="Arial" w:cs="Arial" w:eastAsia="Arial" w:hAnsi="Arial"/>
          <w:sz w:val="17"/>
          <w:szCs w:val="17"/>
          <w:b w:val="1"/>
          <w:bCs w:val="1"/>
          <w:color w:val="auto"/>
        </w:rPr>
        <w:t>Required Ownership</w:t>
      </w:r>
      <w:r>
        <w:rPr>
          <w:rFonts w:ascii="Arial" w:cs="Arial" w:eastAsia="Arial" w:hAnsi="Arial"/>
          <w:sz w:val="17"/>
          <w:szCs w:val="17"/>
          <w:color w:val="auto"/>
        </w:rPr>
        <w:t xml:space="preserve"> </w:t>
      </w:r>
      <w:r>
        <w:rPr>
          <w:rFonts w:ascii="Arial" w:cs="Arial" w:eastAsia="Arial" w:hAnsi="Arial"/>
          <w:sz w:val="17"/>
          <w:szCs w:val="17"/>
          <w:b w:val="1"/>
          <w:bCs w:val="1"/>
          <w:color w:val="auto"/>
        </w:rPr>
        <w:t>Percentage</w:t>
      </w:r>
      <w:r>
        <w:rPr>
          <w:rFonts w:ascii="Arial" w:cs="Arial" w:eastAsia="Arial" w:hAnsi="Arial"/>
          <w:sz w:val="17"/>
          <w:szCs w:val="17"/>
          <w:color w:val="auto"/>
        </w:rPr>
        <w:t>” is 3% or more, and the “</w:t>
      </w:r>
      <w:r>
        <w:rPr>
          <w:rFonts w:ascii="Arial" w:cs="Arial" w:eastAsia="Arial" w:hAnsi="Arial"/>
          <w:sz w:val="17"/>
          <w:szCs w:val="17"/>
          <w:b w:val="1"/>
          <w:bCs w:val="1"/>
          <w:color w:val="auto"/>
        </w:rPr>
        <w:t>Minimum Holding Period</w:t>
      </w:r>
      <w:r>
        <w:rPr>
          <w:rFonts w:ascii="Arial" w:cs="Arial" w:eastAsia="Arial" w:hAnsi="Arial"/>
          <w:sz w:val="17"/>
          <w:szCs w:val="17"/>
          <w:color w:val="auto"/>
        </w:rPr>
        <w:t>” is 3 years.</w:t>
      </w:r>
    </w:p>
    <w:p>
      <w:pPr>
        <w:spacing w:after="0" w:line="69" w:lineRule="exact"/>
        <w:rPr>
          <w:rFonts w:ascii="Arial" w:cs="Arial" w:eastAsia="Arial" w:hAnsi="Arial"/>
          <w:sz w:val="17"/>
          <w:szCs w:val="17"/>
          <w:color w:val="auto"/>
        </w:rPr>
      </w:pPr>
    </w:p>
    <w:p>
      <w:pPr>
        <w:ind w:left="660" w:hanging="224"/>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Information to be Provided</w:t>
      </w:r>
      <w:r>
        <w:rPr>
          <w:rFonts w:ascii="Arial" w:cs="Arial" w:eastAsia="Arial" w:hAnsi="Arial"/>
          <w:sz w:val="18"/>
          <w:szCs w:val="18"/>
          <w:color w:val="auto"/>
        </w:rPr>
        <w:t>.</w:t>
      </w:r>
    </w:p>
    <w:p>
      <w:pPr>
        <w:spacing w:after="0" w:line="117" w:lineRule="exact"/>
        <w:rPr>
          <w:sz w:val="20"/>
          <w:szCs w:val="20"/>
          <w:color w:val="auto"/>
        </w:rPr>
      </w:pPr>
    </w:p>
    <w:p>
      <w:pPr>
        <w:ind w:left="440" w:right="340" w:firstLine="419"/>
        <w:spacing w:after="0" w:line="342" w:lineRule="auto"/>
        <w:tabs>
          <w:tab w:leader="none" w:pos="1078"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Information to be Provided by Eligible Stockholder</w:t>
      </w:r>
      <w:r>
        <w:rPr>
          <w:rFonts w:ascii="Arial" w:cs="Arial" w:eastAsia="Arial" w:hAnsi="Arial"/>
          <w:sz w:val="16"/>
          <w:szCs w:val="16"/>
          <w:color w:val="auto"/>
        </w:rPr>
        <w:t xml:space="preserve">. Within the time period specified in this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for delivering the Notice of Proxy Access Nomination, an Eligible Stockholder must provide the following information in writing to the Secretary of the corporation:</w:t>
      </w:r>
    </w:p>
    <w:p>
      <w:pPr>
        <w:spacing w:after="0" w:line="16" w:lineRule="exact"/>
        <w:rPr>
          <w:sz w:val="20"/>
          <w:szCs w:val="20"/>
          <w:color w:val="auto"/>
        </w:rPr>
      </w:pPr>
    </w:p>
    <w:p>
      <w:pPr>
        <w:ind w:left="440" w:firstLine="419"/>
        <w:spacing w:after="0" w:line="255" w:lineRule="auto"/>
        <w:tabs>
          <w:tab w:leader="none" w:pos="11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shares (and from each intermediary through which the shares are or have been held during the Minimum Holding Period) verifying that, as of a date within seven calendar days prior to the date the Notice of Proxy Access Nomination is delivered to, and received by, the Secretary of the corporation, the Eligible Stockholder owns, and has owned continuously for the Minimum Holding Period, the Required Shares, and the Eligible Stockholder’s agreement to provide, within five (5) business days after the record date for the annual meeting, written statements from the record holder and intermediaries verifying the Eligible Stockholder’s continuous ownership of the Required Shares through the record date;</w:t>
      </w:r>
    </w:p>
    <w:p>
      <w:pPr>
        <w:spacing w:after="0" w:line="84" w:lineRule="exact"/>
        <w:rPr>
          <w:rFonts w:ascii="Arial" w:cs="Arial" w:eastAsia="Arial" w:hAnsi="Arial"/>
          <w:sz w:val="18"/>
          <w:szCs w:val="18"/>
          <w:color w:val="auto"/>
        </w:rPr>
      </w:pPr>
    </w:p>
    <w:p>
      <w:pPr>
        <w:ind w:left="1140" w:hanging="281"/>
        <w:spacing w:after="0"/>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copy of the Schedule 14N that has been filed with the Securities and Exchange Commission as required by Rule 14a-18 under the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1934 Act;</w:t>
      </w:r>
    </w:p>
    <w:p>
      <w:pPr>
        <w:spacing w:after="0" w:line="102" w:lineRule="exact"/>
        <w:rPr>
          <w:rFonts w:ascii="Arial" w:cs="Arial" w:eastAsia="Arial" w:hAnsi="Arial"/>
          <w:sz w:val="16"/>
          <w:szCs w:val="16"/>
          <w:color w:val="auto"/>
        </w:rPr>
      </w:pPr>
    </w:p>
    <w:p>
      <w:pPr>
        <w:ind w:left="440" w:firstLine="419"/>
        <w:spacing w:after="0" w:line="277" w:lineRule="auto"/>
        <w:tabs>
          <w:tab w:leader="none" w:pos="11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information, representations and agreements that are the same as those that would be required to be set forth in a stockholder’s notice of nomination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these bylaws;</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consent of each Stockholder Nominee to being named in the proxy statement as a nominee and to serving as a director if elected;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490" w:right="459" w:bottom="1440" w:gutter="0" w:footer="0" w:header="0"/>
        </w:sectPr>
      </w:pPr>
    </w:p>
    <w:bookmarkStart w:id="114" w:name="page115"/>
    <w:bookmarkEnd w:id="114"/>
    <w:p>
      <w:pPr>
        <w:ind w:left="444" w:right="100" w:firstLine="419"/>
        <w:spacing w:after="0" w:line="257" w:lineRule="auto"/>
        <w:tabs>
          <w:tab w:leader="none" w:pos="11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representation that the Eligible Stockholder (1) presently intends to maintain qualifying ownership of the Required Shares through the date of the annual meeting, (2) has not engaged and will not engage in, and has not and will not be a “participant” in another person’s, “solicitation” within the meaning of Rule 14a-1(l) under the 1934 Act in support of the election of any individual as a director at the annual meeting other than its Stockholder Nominee(s) or a nominee of the Board, and (3) agrees to comply with all applicable laws and regulations applicable to the use, if any, of soliciting material;</w:t>
      </w:r>
    </w:p>
    <w:p>
      <w:pPr>
        <w:spacing w:after="0" w:line="79" w:lineRule="exact"/>
        <w:rPr>
          <w:rFonts w:ascii="Arial" w:cs="Arial" w:eastAsia="Arial" w:hAnsi="Arial"/>
          <w:sz w:val="18"/>
          <w:szCs w:val="18"/>
          <w:color w:val="auto"/>
        </w:rPr>
      </w:pPr>
    </w:p>
    <w:p>
      <w:pPr>
        <w:ind w:left="444" w:right="140" w:firstLine="419"/>
        <w:spacing w:after="0" w:line="277" w:lineRule="auto"/>
        <w:tabs>
          <w:tab w:leader="none" w:pos="11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representation as to the Eligible Stockholder’s intentions with respect to maintaining qualifying ownership of the Required Shares for at least one year following the annual meeting;</w:t>
      </w:r>
    </w:p>
    <w:p>
      <w:pPr>
        <w:spacing w:after="0" w:line="62" w:lineRule="exact"/>
        <w:rPr>
          <w:sz w:val="20"/>
          <w:szCs w:val="20"/>
          <w:color w:val="auto"/>
        </w:rPr>
      </w:pPr>
    </w:p>
    <w:p>
      <w:pPr>
        <w:ind w:left="444" w:right="40" w:firstLine="423"/>
        <w:spacing w:after="0" w:line="255" w:lineRule="auto"/>
        <w:rPr>
          <w:sz w:val="20"/>
          <w:szCs w:val="20"/>
          <w:color w:val="auto"/>
        </w:rPr>
      </w:pPr>
      <w:r>
        <w:rPr>
          <w:rFonts w:ascii="Arial" w:cs="Arial" w:eastAsia="Arial" w:hAnsi="Arial"/>
          <w:sz w:val="18"/>
          <w:szCs w:val="18"/>
          <w:color w:val="auto"/>
        </w:rPr>
        <w:t xml:space="preserve">(G)an undertaking that the Eligible Stockholder agrees to (1) assume all liability stemming from any legal or regulatory violation arising out of the Eligible Stockholder’s communications with the stockholders of the corporation or out of the information that the Eligible Stockholder provided to the corporation and (2)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84" w:lineRule="exact"/>
        <w:rPr>
          <w:sz w:val="20"/>
          <w:szCs w:val="20"/>
          <w:color w:val="auto"/>
        </w:rPr>
      </w:pPr>
    </w:p>
    <w:p>
      <w:pPr>
        <w:jc w:val="both"/>
        <w:ind w:left="444" w:right="180" w:firstLine="419"/>
        <w:spacing w:after="0" w:line="263" w:lineRule="auto"/>
        <w:tabs>
          <w:tab w:leader="none" w:pos="1132"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Information to be Provided by Stockholder Nominee</w:t>
      </w:r>
      <w:r>
        <w:rPr>
          <w:rFonts w:ascii="Arial" w:cs="Arial" w:eastAsia="Arial" w:hAnsi="Arial"/>
          <w:sz w:val="18"/>
          <w:szCs w:val="18"/>
          <w:color w:val="auto"/>
        </w:rPr>
        <w:t xml:space="preserve">. Within the time period specified in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for delivering the Notice of Proxy Access Nomination, each Stockholder Nominee must deliver to the Secretary of the corporation the representations, agreements and other information required by the sixth paragraph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these bylaws.</w:t>
      </w:r>
    </w:p>
    <w:p>
      <w:pPr>
        <w:spacing w:after="0" w:line="75" w:lineRule="exact"/>
        <w:rPr>
          <w:rFonts w:ascii="Arial" w:cs="Arial" w:eastAsia="Arial" w:hAnsi="Arial"/>
          <w:sz w:val="18"/>
          <w:szCs w:val="18"/>
          <w:color w:val="auto"/>
        </w:rPr>
      </w:pPr>
    </w:p>
    <w:p>
      <w:pPr>
        <w:ind w:left="4" w:firstLine="436"/>
        <w:spacing w:after="0" w:line="257" w:lineRule="auto"/>
        <w:tabs>
          <w:tab w:leader="none" w:pos="699"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Notice of Defect</w:t>
      </w:r>
      <w:r>
        <w:rPr>
          <w:rFonts w:ascii="Arial" w:cs="Arial" w:eastAsia="Arial" w:hAnsi="Arial"/>
          <w:sz w:val="18"/>
          <w:szCs w:val="18"/>
          <w:color w:val="auto"/>
        </w:rPr>
        <w:t>. In the event that any information or communications provided by the Eligible Stockholder or the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Stockholder Nominee, as the case may be, shall promptly notify the Secretary of the corporation of any defect in such previously provided information and of the information that is required to correct any such defect.</w:t>
      </w:r>
    </w:p>
    <w:p>
      <w:pPr>
        <w:spacing w:after="0" w:line="79" w:lineRule="exact"/>
        <w:rPr>
          <w:rFonts w:ascii="Arial" w:cs="Arial" w:eastAsia="Arial" w:hAnsi="Arial"/>
          <w:sz w:val="18"/>
          <w:szCs w:val="18"/>
          <w:color w:val="auto"/>
        </w:rPr>
      </w:pPr>
    </w:p>
    <w:p>
      <w:pPr>
        <w:ind w:left="704" w:hanging="264"/>
        <w:spacing w:after="0"/>
        <w:tabs>
          <w:tab w:leader="none" w:pos="70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The corporation shall not be required to include in its proxy materials for any meeting of stockholders, pursuant to this</w:t>
      </w:r>
    </w:p>
    <w:p>
      <w:pPr>
        <w:spacing w:after="0" w:line="23"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a Stockholder Nominee (i) for which the Secretary of the corporation receives a notice that a stockholder has nominated such Stockholder Nominee for election to the Board pursuant to the advance notice requirements for Stockholder Nominees for director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these bylaws, (ii) whose election as a member of the Board would cause the corporation to be in violation of the rules and listing standards of the principal securities exchanges upon which the shares of common stock of the corporation are traded, or any applicable state or federal law, rule or regulation,</w:t>
      </w:r>
    </w:p>
    <w:p>
      <w:pPr>
        <w:spacing w:after="0" w:line="2" w:lineRule="exact"/>
        <w:rPr>
          <w:sz w:val="20"/>
          <w:szCs w:val="20"/>
          <w:color w:val="auto"/>
        </w:rPr>
      </w:pPr>
    </w:p>
    <w:p>
      <w:pPr>
        <w:ind w:left="4" w:right="160" w:hanging="4"/>
        <w:spacing w:after="0" w:line="281" w:lineRule="auto"/>
        <w:tabs>
          <w:tab w:leader="none" w:pos="3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who is an officer or director of a competitor, as defined in Section 8 of the Clayton Antitrust Act of 1914, (iv) who is a named subject of a pending criminal proceeding (excluding traffic violations and other minor offenses) or has been convicted in such a criminal proceeding within the past ten</w:t>
      </w:r>
    </w:p>
    <w:p>
      <w:pPr>
        <w:spacing w:after="0" w:line="1" w:lineRule="exact"/>
        <w:rPr>
          <w:rFonts w:ascii="Arial" w:cs="Arial" w:eastAsia="Arial" w:hAnsi="Arial"/>
          <w:sz w:val="16"/>
          <w:szCs w:val="16"/>
          <w:color w:val="auto"/>
        </w:rPr>
      </w:pPr>
    </w:p>
    <w:p>
      <w:pPr>
        <w:ind w:left="4" w:right="8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(10) years, (v) if such Stockholder Nominee or the applicable Eligible Stockholder shall have provided information to the corporation in respect to such nomination that was untrue in any material respect or omitted to state a material fact necessary in order to make the statements made, in light of the circumstances under which they were made, not misleading, as determined by the Board or any committee thereof, or (vi) the Eligible Stockholder or applicable Stockholder Nominee fails to comply with its obligations pursuant to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in all material respects.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490" w:right="459" w:bottom="1440" w:gutter="0" w:footer="0" w:header="0"/>
        </w:sectPr>
      </w:pPr>
    </w:p>
    <w:bookmarkStart w:id="115" w:name="page116"/>
    <w:bookmarkEnd w:id="115"/>
    <w:p>
      <w:pPr>
        <w:ind w:right="80" w:firstLine="436"/>
        <w:spacing w:after="0" w:line="275" w:lineRule="auto"/>
        <w:tabs>
          <w:tab w:leader="none" w:pos="65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Invalidity</w:t>
      </w:r>
      <w:r>
        <w:rPr>
          <w:rFonts w:ascii="Arial" w:cs="Arial" w:eastAsia="Arial" w:hAnsi="Arial"/>
          <w:sz w:val="17"/>
          <w:szCs w:val="17"/>
          <w:color w:val="auto"/>
        </w:rPr>
        <w:t xml:space="preserve">. Notwithstanding anything to the contrary set forth herein, the Board or the chair of the meeting of stockholders shall declare a nomination by an Eligible Stockholder to be invalid, and such nomination shall be disregarded notwithstanding that proxies in respect of such vote may have been received by the corporation, if (i) the Stockholder Nominee(s) and/or the applicable Eligible Stockholder shall have breached its or their obligations under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as determined by the Board or the chair of the meeting or (ii) the Eligible Stockholder (or a qualified representative thereof) does not appear at the meeting of stockholders to present any nomination pursuant to this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660" w:hanging="224"/>
        <w:spacing w:after="0"/>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Group Membership</w:t>
      </w:r>
      <w:r>
        <w:rPr>
          <w:rFonts w:ascii="Arial" w:cs="Arial" w:eastAsia="Arial" w:hAnsi="Arial"/>
          <w:sz w:val="17"/>
          <w:szCs w:val="17"/>
          <w:color w:val="auto"/>
        </w:rPr>
        <w:t>. No person may be a member of more than one group of persons constituting an Eligible Stockholder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03" w:lineRule="exact"/>
        <w:rPr>
          <w:sz w:val="20"/>
          <w:szCs w:val="20"/>
          <w:color w:val="auto"/>
        </w:rPr>
      </w:pPr>
    </w:p>
    <w:p>
      <w:pPr>
        <w:ind w:right="100" w:firstLine="436"/>
        <w:spacing w:after="0" w:line="275" w:lineRule="auto"/>
        <w:tabs>
          <w:tab w:leader="none" w:pos="695"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Restrictions on Successive Nominations</w:t>
      </w:r>
      <w:r>
        <w:rPr>
          <w:rFonts w:ascii="Arial" w:cs="Arial" w:eastAsia="Arial" w:hAnsi="Arial"/>
          <w:sz w:val="17"/>
          <w:szCs w:val="17"/>
          <w:color w:val="auto"/>
        </w:rPr>
        <w:t xml:space="preserve">. Any Stockholder Nominee who is included in the corporation’s proxy materials for a particular annual meeting of stockholders but either (i) withdraws from or becomes ineligible or unavailable for election at the annual meeting, or (ii) does not receive at least 25% of the votes cast in favor of such Stockholder Nominee’s election, will be ineligible to be a Stockholder Nominee pursuant to this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for the next two annual meetings. For the avoidance of doubt, this </w:t>
      </w:r>
      <w:r>
        <w:rPr>
          <w:rFonts w:ascii="Arial" w:cs="Arial" w:eastAsia="Arial" w:hAnsi="Arial"/>
          <w:sz w:val="17"/>
          <w:szCs w:val="17"/>
          <w:u w:val="single" w:color="auto"/>
          <w:color w:val="auto"/>
        </w:rPr>
        <w:t>Section 3.1A(k)</w:t>
      </w:r>
      <w:r>
        <w:rPr>
          <w:rFonts w:ascii="Arial" w:cs="Arial" w:eastAsia="Arial" w:hAnsi="Arial"/>
          <w:sz w:val="17"/>
          <w:szCs w:val="17"/>
          <w:color w:val="auto"/>
        </w:rPr>
        <w:t xml:space="preserve"> shall not prevent any stockholder from nominating any person to the Board pursuant to and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these bylaws.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Enlargement and Vacancies</w:t>
      </w:r>
    </w:p>
    <w:p>
      <w:pPr>
        <w:spacing w:after="0" w:line="11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The number of members of the Board may be increased at any time as provided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above. Sole power to fill vacancies and newly created directorships resulting from any increase in the authorized number of directors shall be vested in the Board, and any directors so elected shall hold office until the next annual meeting of stockholders after their election and until their successors are duly elected and qualified or until their earlier resignation, removal from office, death or incapacity;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either the Board or the stockholders may fill any vacancy resulting from stockholder removal of a director. If there are no directors in office, then an election of directors may be held in the manner provided by statute. In the event of one or more vacancies in the Board, the remaining directors, except as otherwise provided by law or these bylaws, may exercise the powers of the full Board until the vacancies are filled.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Resignation and Removal</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director may resign at any time upon written notice to the corporation at its principal place of business or to the Chief Executive Officer or the Secretary. Such resignation shall be effective upon receipt of such notice unless the notice specifies such resignation to be effective at some other time or upon the happening of some other event. Any director or the entire Board may be removed, with or without cause, by the holders of a majority of the shares then entitled to vote at an election of directors, unless otherwise specified in the Certificate of Incorporation.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490" w:right="459" w:bottom="1440" w:gutter="0" w:footer="0" w:header="0"/>
        </w:sectPr>
      </w:pPr>
    </w:p>
    <w:bookmarkStart w:id="116" w:name="page117"/>
    <w:bookmarkEnd w:id="1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3.4 </w:t>
      </w:r>
      <w:r>
        <w:rPr>
          <w:rFonts w:ascii="Arial" w:cs="Arial" w:eastAsia="Arial" w:hAnsi="Arial"/>
          <w:sz w:val="18"/>
          <w:szCs w:val="18"/>
          <w:u w:val="single" w:color="auto"/>
          <w:color w:val="auto"/>
        </w:rPr>
        <w:t>Powers</w:t>
      </w:r>
    </w:p>
    <w:p>
      <w:pPr>
        <w:spacing w:after="0" w:line="11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The business of the corporation shall be managed by or under the direction of the Board, which may exercise all such powers of the corporation and do all such lawful acts and things as are not by statute or by the Certificate of Incorporation or by these bylaws directed or required to be exercised or done by the stockholders.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Place of Meetings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hold meetings, both regular and special, either within or without the State of Delaware.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Organizational Meetings</w:t>
      </w:r>
    </w:p>
    <w:p>
      <w:pPr>
        <w:spacing w:after="0" w:line="117"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There shall be an organizational meeting of the Board each year for the purposes of organization, the appointment of officers and the transaction of other business. Organizational meetings shall be held at such time and place as may be determined from time to time by the Board.</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Regular Meetings</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Regular meetings of the Board may be held without notice at such time and place as may be determined from time to time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director who is absent when such a determination is made shall be given prompt notice of such determination.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Special Meetings</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Special meetings of the Board may be called by the Chair of the Board, the Lead Director (if any), the Chief Executive Officer or the President, or by the Secretary on the written request of two or more directors, or by one director in the event that there is only one director in office. Notice of the time and place, if any, of special meetings shall be delivered personally or by telephone to each director, or sent by first- class mail or commercial delivery service, or by electronic mail or other electronic means, charges prepaid, to such director’s business or home address as they appear upon the records of the corporation. In case such notice is mailed, at least two (2) days’ notice shall be provided to each director prior to the time of holding of the meeting. In case such notice is delivered personally or by telephone or by commercial delivery service, or electronic mail or other electronic means, at least twenty-four (24) hours’ notice shall be provided to each director prior to the time of the holding of the meeting. A notice or waiver of notice of a meeting of the Board need not specify the purposes of the meeting.</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Quorum, Action at Meeting, Adjournments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At all meetings of the Board, a majority of directors then in office, but in no event less than one- third (1/3) of the entire Board, shall constitute a quorum for the transaction of business and the act of a majority of the directors present at any meeting at which there is a quorum shall be the act of the Board, except as may be otherwise specifically provided by law or by the Certificate of Incorporation. For purposes of this </w:t>
      </w:r>
      <w:r>
        <w:rPr>
          <w:rFonts w:ascii="Arial" w:cs="Arial" w:eastAsia="Arial" w:hAnsi="Arial"/>
          <w:sz w:val="18"/>
          <w:szCs w:val="18"/>
          <w:u w:val="single" w:color="auto"/>
          <w:color w:val="auto"/>
        </w:rPr>
        <w:t>Section 3.9</w:t>
      </w:r>
      <w:r>
        <w:rPr>
          <w:rFonts w:ascii="Arial" w:cs="Arial" w:eastAsia="Arial" w:hAnsi="Arial"/>
          <w:sz w:val="18"/>
          <w:szCs w:val="18"/>
          <w:color w:val="auto"/>
        </w:rPr>
        <w:t>, the term “</w:t>
      </w:r>
      <w:r>
        <w:rPr>
          <w:rFonts w:ascii="Arial" w:cs="Arial" w:eastAsia="Arial" w:hAnsi="Arial"/>
          <w:sz w:val="18"/>
          <w:szCs w:val="18"/>
          <w:b w:val="1"/>
          <w:bCs w:val="1"/>
          <w:color w:val="auto"/>
        </w:rPr>
        <w:t>entire</w:t>
      </w:r>
      <w:r>
        <w:rPr>
          <w:rFonts w:ascii="Arial" w:cs="Arial" w:eastAsia="Arial" w:hAnsi="Arial"/>
          <w:sz w:val="18"/>
          <w:szCs w:val="18"/>
          <w:color w:val="auto"/>
        </w:rPr>
        <w:t xml:space="preserve"> </w:t>
      </w:r>
      <w:r>
        <w:rPr>
          <w:rFonts w:ascii="Arial" w:cs="Arial" w:eastAsia="Arial" w:hAnsi="Arial"/>
          <w:sz w:val="18"/>
          <w:szCs w:val="18"/>
          <w:b w:val="1"/>
          <w:bCs w:val="1"/>
          <w:color w:val="auto"/>
        </w:rPr>
        <w:t>Board</w:t>
      </w:r>
      <w:r>
        <w:rPr>
          <w:rFonts w:ascii="Arial" w:cs="Arial" w:eastAsia="Arial" w:hAnsi="Arial"/>
          <w:sz w:val="18"/>
          <w:szCs w:val="18"/>
          <w:color w:val="auto"/>
        </w:rPr>
        <w:t>” shall mean the number of directors last fixed by directors in accordance with these bylaws. If a quorum shall not be present at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 majority of the directors present thereat may adjourn the meeting from time to time, without notice other than announcement at the meeting, until a quorum shall be present.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490" w:right="45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3.10 </w:t>
      </w:r>
      <w:r>
        <w:rPr>
          <w:rFonts w:ascii="Arial" w:cs="Arial" w:eastAsia="Arial" w:hAnsi="Arial"/>
          <w:sz w:val="18"/>
          <w:szCs w:val="18"/>
          <w:u w:val="single" w:color="auto"/>
          <w:color w:val="auto"/>
        </w:rPr>
        <w:t>Action Without Meeting</w:t>
      </w:r>
    </w:p>
    <w:p>
      <w:pPr>
        <w:spacing w:after="0" w:line="117"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writings or electronic transmissions are filed with the minutes of proceedings of the Board or committee.</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Telephone Meetings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member of the Board or any committee thereof may participate in a meeting of the Board or of any committee, as the case may be, by means of conference telephone or by any form of communications equipment by means of which all persons participating in the meeting can hear each other, and such participation in a meeting shall constitute presence in person at the meeting.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Committees</w:t>
      </w:r>
    </w:p>
    <w:p>
      <w:pPr>
        <w:spacing w:after="0" w:line="117" w:lineRule="exact"/>
        <w:rPr>
          <w:sz w:val="20"/>
          <w:szCs w:val="20"/>
          <w:color w:val="auto"/>
        </w:rPr>
      </w:pPr>
    </w:p>
    <w:p>
      <w:pPr>
        <w:ind w:right="100" w:firstLine="440"/>
        <w:spacing w:after="0" w:line="268" w:lineRule="auto"/>
        <w:rPr>
          <w:sz w:val="20"/>
          <w:szCs w:val="20"/>
          <w:color w:val="auto"/>
        </w:rPr>
      </w:pPr>
      <w:r>
        <w:rPr>
          <w:rFonts w:ascii="Arial" w:cs="Arial" w:eastAsia="Arial" w:hAnsi="Arial"/>
          <w:sz w:val="17"/>
          <w:szCs w:val="17"/>
          <w:color w:val="auto"/>
        </w:rPr>
        <w:t>The Board may, by resolution,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of these bylaws. Any such committee shall have such name as may be determined from time to time by resolution adopted by the Board. Each committee shall keep regular minutes of its meetings and make such reports to the Board as the Board may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Fees and Compensation of Directors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of directors. The directors may be paid their expenses, if any, of attendance at each meeting of the Board and may be paid a fixed sum for attendance at each meeting of the Board or a stated salary as director, or such other compensation as may be determined by the Board. No such payment shall preclude any director from serving the corporation in any other capacity and receiving compensation therefor. Members of special or standing committees may be allowed like compensation for attending committee meetings.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490" w:right="439" w:bottom="1440" w:gutter="0" w:footer="0" w:header="0"/>
        </w:sectPr>
      </w:pPr>
    </w:p>
    <w:bookmarkStart w:id="118" w:name="page119"/>
    <w:bookmarkEnd w:id="1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3.14 </w:t>
      </w:r>
      <w:r>
        <w:rPr>
          <w:rFonts w:ascii="Arial" w:cs="Arial" w:eastAsia="Arial" w:hAnsi="Arial"/>
          <w:sz w:val="18"/>
          <w:szCs w:val="18"/>
          <w:u w:val="single" w:color="auto"/>
          <w:color w:val="auto"/>
        </w:rPr>
        <w:t>Rights of Inspection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director shall have the right to examine the corporation’s stock ledger, a list of its stockholders and its other books and records.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Lead Director</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Board may designate a Lead Director from among its members from time to time, who shall be an independent director, with such duties and authority as determined by the Board.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Conditional Resignation</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Board shall not nominate for election as director any candidate who has not agreed to tender, promptly following the annual meeting at which he or she is elected as director, an irrevocable resignation that will be effective upon (a) the failure to receive the required number of votes for reelection at the next annual meeting of stockholders at which he or she faces reelection, and (b) acceptance of such resignation by the Board. In addition, the Board shall not fill a director vacancy or newly created directorship with any candidate who has not agreed to tender, promptly following his or her appointment to the Board, the same form of resignation.</w:t>
      </w:r>
    </w:p>
    <w:p>
      <w:pPr>
        <w:spacing w:after="0" w:line="18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an incumbent director fails to receive the number of votes required for reelection, the Board (excluding the director in question) shall, within ninety (90) days after certification of the election results, decide whether to accept the director’s resignation, taking into account such factors as it deems relevant. Such factors may include, without limitation, the stated reason or reasons why stockholders voted against such director’s reelection, the qualifications of the director (including, for example, whether the director is an “audit committee financial expert”), and whether accepting the resignation would cause the corporation to fail to meet any applicable listing standards or would violate state law. The Board shall promptly disclose its decision and, if applicable, the reasons for rejecting the resignation in a filing with the Securities and Exchange Commission.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Officers Designated</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The officers of the corporation shall be chosen by the Board and shall include a Chief Executive Officer, a Secretary and a Chief Financial Officer or Treasurer. The Board may elect from among its members a </w:t>
      </w:r>
      <w:r>
        <w:rPr>
          <w:rFonts w:ascii="Arial" w:cs="Arial" w:eastAsia="Arial" w:hAnsi="Arial"/>
          <w:sz w:val="16"/>
          <w:szCs w:val="16"/>
          <w:color w:val="FF0000"/>
          <w:strike w:val="1"/>
        </w:rPr>
        <w:t>Chair of the Board and a Vice</w:t>
      </w:r>
      <w:r>
        <w:rPr>
          <w:rFonts w:ascii="Arial" w:cs="Arial" w:eastAsia="Arial" w:hAnsi="Arial"/>
          <w:sz w:val="16"/>
          <w:szCs w:val="16"/>
          <w:color w:val="auto"/>
        </w:rPr>
        <w:t xml:space="preserve"> Chair of the Board. The Board may also choose a President, one or more Vice Presidents, one or more assistant Secretaries or assistant Treasurers and such other officers as the Board deems appropriate from time to time. Any number of offices may be held by the same person, unless the Certificate of Incorporation or these bylaws otherwise provide.</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Appointment</w:t>
      </w:r>
    </w:p>
    <w:p>
      <w:pPr>
        <w:spacing w:after="0" w:line="11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Board at its organizational meeting shall choose a Chief Executive Officer, a Secretary and a Chief Financial Officer or Treasurer. Other officers may be appointed by the Board at such meeting, at any other meeting, or by written consent, or in such other manner as is determined by the Board.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490" w:right="479" w:bottom="1440" w:gutter="0" w:footer="0" w:header="0"/>
        </w:sectPr>
      </w:pPr>
    </w:p>
    <w:bookmarkStart w:id="119" w:name="page120"/>
    <w:bookmarkEnd w:id="119"/>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4.3</w:t>
      </w:r>
      <w:r>
        <w:rPr>
          <w:sz w:val="20"/>
          <w:szCs w:val="20"/>
          <w:color w:val="auto"/>
        </w:rPr>
        <w:tab/>
      </w:r>
      <w:r>
        <w:rPr>
          <w:rFonts w:ascii="Arial" w:cs="Arial" w:eastAsia="Arial" w:hAnsi="Arial"/>
          <w:sz w:val="15"/>
          <w:szCs w:val="15"/>
          <w:u w:val="single" w:color="auto"/>
          <w:color w:val="auto"/>
        </w:rPr>
        <w:t>Tenure</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Each officer of the corporation shall hold office until such officer’s successor is appointed and qualified, unless a different term is specified in the vote choosing or appointing such officer, or until such officer’s earlier death, resignation, removal or incapacity. Any officer may be removed with or without cause at any time by the Board. Any vacancy occurring in any office of the corporation may be filled by the Board, at its discretion. Any officer may resign by delivering such officer’s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 xml:space="preserve">Chair and </w:t>
      </w:r>
      <w:r>
        <w:rPr>
          <w:rFonts w:ascii="Arial" w:cs="Arial" w:eastAsia="Arial" w:hAnsi="Arial"/>
          <w:sz w:val="16"/>
          <w:szCs w:val="16"/>
          <w:color w:val="FF0000"/>
          <w:strike w:val="1"/>
        </w:rPr>
        <w:t>Vice</w:t>
      </w:r>
      <w:r>
        <w:rPr>
          <w:rFonts w:ascii="Arial" w:cs="Arial" w:eastAsia="Arial" w:hAnsi="Arial"/>
          <w:sz w:val="16"/>
          <w:szCs w:val="16"/>
          <w:u w:val="single" w:color="auto"/>
          <w:color w:val="auto"/>
        </w:rPr>
        <w:t xml:space="preserve"> Chair </w:t>
      </w:r>
      <w:r>
        <w:rPr>
          <w:rFonts w:ascii="Arial" w:cs="Arial" w:eastAsia="Arial" w:hAnsi="Arial"/>
          <w:sz w:val="16"/>
          <w:szCs w:val="16"/>
          <w:b w:val="1"/>
          <w:bCs w:val="1"/>
          <w:u w:val="single" w:color="auto"/>
          <w:color w:val="0000FF"/>
        </w:rPr>
        <w:t>Pro Tem</w:t>
      </w:r>
    </w:p>
    <w:p>
      <w:pPr>
        <w:spacing w:after="0" w:line="10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The Chair of the Board, if any, shall preside at all meetings of the Board and of the stockholders at which he or she shall be present. The Chair of the Board shall have and may exercise such powers as are, from time to time, assigned to him or her by the Board and as may be provided by law. In the absence of the Chair of the Board, </w:t>
      </w:r>
      <w:r>
        <w:rPr>
          <w:rFonts w:ascii="Arial" w:cs="Arial" w:eastAsia="Arial" w:hAnsi="Arial"/>
          <w:sz w:val="17"/>
          <w:szCs w:val="17"/>
          <w:b w:val="1"/>
          <w:bCs w:val="1"/>
          <w:u w:val="single" w:color="auto"/>
          <w:color w:val="0000FF"/>
        </w:rPr>
        <w:t>a Chair Pro Tem, designated by</w:t>
      </w:r>
      <w:r>
        <w:rPr>
          <w:rFonts w:ascii="Arial" w:cs="Arial" w:eastAsia="Arial" w:hAnsi="Arial"/>
          <w:sz w:val="17"/>
          <w:szCs w:val="17"/>
          <w:color w:val="auto"/>
        </w:rPr>
        <w:t xml:space="preserve"> the </w:t>
      </w:r>
      <w:r>
        <w:rPr>
          <w:rFonts w:ascii="Arial" w:cs="Arial" w:eastAsia="Arial" w:hAnsi="Arial"/>
          <w:sz w:val="17"/>
          <w:szCs w:val="17"/>
          <w:color w:val="FF0000"/>
          <w:strike w:val="1"/>
        </w:rPr>
        <w:t>Vice</w:t>
      </w:r>
      <w:r>
        <w:rPr>
          <w:rFonts w:ascii="Arial" w:cs="Arial" w:eastAsia="Arial" w:hAnsi="Arial"/>
          <w:sz w:val="17"/>
          <w:szCs w:val="17"/>
          <w:color w:val="auto"/>
        </w:rPr>
        <w:t xml:space="preserve"> Chair of the Board</w:t>
      </w:r>
      <w:r>
        <w:rPr>
          <w:rFonts w:ascii="Arial" w:cs="Arial" w:eastAsia="Arial" w:hAnsi="Arial"/>
          <w:sz w:val="17"/>
          <w:szCs w:val="17"/>
          <w:color w:val="FF0000"/>
          <w:strike w:val="1"/>
        </w:rPr>
        <w:t>, if any,</w:t>
      </w:r>
      <w:r>
        <w:rPr>
          <w:rFonts w:ascii="Arial" w:cs="Arial" w:eastAsia="Arial" w:hAnsi="Arial"/>
          <w:sz w:val="17"/>
          <w:szCs w:val="17"/>
          <w:color w:val="auto"/>
        </w:rPr>
        <w:t xml:space="preserve"> shall preside at all meetings of the Board and of the stockholders at which he or she shall be present. </w:t>
      </w:r>
      <w:r>
        <w:rPr>
          <w:rFonts w:ascii="Arial" w:cs="Arial" w:eastAsia="Arial" w:hAnsi="Arial"/>
          <w:sz w:val="17"/>
          <w:szCs w:val="17"/>
          <w:color w:val="FF0000"/>
          <w:strike w:val="1"/>
        </w:rPr>
        <w:t>The Vice Chair of the Board</w:t>
      </w:r>
      <w:r>
        <w:rPr>
          <w:rFonts w:ascii="Arial" w:cs="Arial" w:eastAsia="Arial" w:hAnsi="Arial"/>
          <w:sz w:val="17"/>
          <w:szCs w:val="17"/>
          <w:b w:val="1"/>
          <w:bCs w:val="1"/>
          <w:u w:val="single" w:color="auto"/>
          <w:color w:val="0000FF"/>
        </w:rPr>
        <w:t>If the Chair has not designated a Chair Pro Tem, in the absence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the Chair of the Board, a majority of the quorum at a meeting can appoint a Chair Pro Tem. The Chair Pro Tem</w:t>
      </w:r>
      <w:r>
        <w:rPr>
          <w:rFonts w:ascii="Arial" w:cs="Arial" w:eastAsia="Arial" w:hAnsi="Arial"/>
          <w:sz w:val="17"/>
          <w:szCs w:val="17"/>
          <w:b w:val="1"/>
          <w:bCs w:val="1"/>
          <w:color w:val="0000FF"/>
        </w:rPr>
        <w:t xml:space="preserve"> </w:t>
      </w:r>
      <w:r>
        <w:rPr>
          <w:rFonts w:ascii="Arial" w:cs="Arial" w:eastAsia="Arial" w:hAnsi="Arial"/>
          <w:sz w:val="17"/>
          <w:szCs w:val="17"/>
          <w:color w:val="000000"/>
        </w:rPr>
        <w:t>shall have and may exercise</w:t>
      </w:r>
      <w:r>
        <w:rPr>
          <w:rFonts w:ascii="Arial" w:cs="Arial" w:eastAsia="Arial" w:hAnsi="Arial"/>
          <w:sz w:val="17"/>
          <w:szCs w:val="17"/>
          <w:b w:val="1"/>
          <w:bCs w:val="1"/>
          <w:color w:val="0000FF"/>
        </w:rPr>
        <w:t xml:space="preserve"> </w:t>
      </w:r>
      <w:r>
        <w:rPr>
          <w:rFonts w:ascii="Arial" w:cs="Arial" w:eastAsia="Arial" w:hAnsi="Arial"/>
          <w:sz w:val="17"/>
          <w:szCs w:val="17"/>
          <w:color w:val="000000"/>
        </w:rPr>
        <w:t>such powers as are, from time to time, assigned to him or her by the Board and as may be provided by law.</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The Chief Executive Officer</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Subject to such supervisory powers, if any, as may be given by the Board to the Chair of the Board, the Chief Executive Officer (who may also be designated by the title of “President” unless a separate President shall be appointed) shall preside at all meetings of the stockholders and the Board in the absence of the Chair of the Board or if there be none, shall have general and active management of the business of the corporation and shall see that all orders and resolutions of the Board are carried into effect. He or she shall execute bonds, mortgages and other contracts requiring a seal, under the seal of the corporation, except where required or permitted by law to be otherwise signed and executed and except to the extent that the other officers of the corporation may sign and execute documents when so authorized by these bylaws, the Board or the Chief Executive Officer.</w:t>
      </w:r>
    </w:p>
    <w:p>
      <w:pPr>
        <w:spacing w:after="0" w:line="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The President</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President, if any, shall, in the event there be no Chief Executive Officer or in the absence of the Chief Executive Officer or in the event of his or her disability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for such person by the Board, the Chair of the Board, the Chief Executive Officer or these bylaws.</w:t>
      </w:r>
    </w:p>
    <w:p>
      <w:pPr>
        <w:spacing w:after="0" w:line="7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The Vice President</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Vice President (or in the event there be more than one, the Vice Presidents in the order designated by the directors, or in the absence of any designation, in the order of their appointment), shall, in the absence of the President or in the event of his or her disability or refusal to act, perform the duties of the President, and when so acting, shall have the powers of and be subject to all the restrictions upon the President. The Vice President(s) shall perform such other duties and have such other powers as may from time to time be prescribed for them by the Board, the Chair of the Board, the Chief Executive Officer, the President or these bylaws.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120" w:name="page121"/>
    <w:bookmarkEnd w:id="120"/>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4.8</w:t>
      </w:r>
      <w:r>
        <w:rPr>
          <w:sz w:val="20"/>
          <w:szCs w:val="20"/>
          <w:color w:val="auto"/>
        </w:rPr>
        <w:tab/>
      </w:r>
      <w:r>
        <w:rPr>
          <w:rFonts w:ascii="Arial" w:cs="Arial" w:eastAsia="Arial" w:hAnsi="Arial"/>
          <w:sz w:val="15"/>
          <w:szCs w:val="15"/>
          <w:u w:val="single" w:color="auto"/>
          <w:color w:val="auto"/>
        </w:rPr>
        <w:t>The Secretary</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Secretary shall attend all meetings of the Board and the stockholders and record all votes and the proceedings of the meetings in a book to be kept for that purpose and shall perform like duties for the standing committees of the Board, when required. The Secretary shall give, or cause to be given, notice of all meetings of stockholders and special meetings of the Board, and shall perform such other duties as may from time to time be prescribed by the Board, the Chair of the Board, the Chief Executive Officer, the President or these bylaws. The Secretary shall have custody of the seal of the corporation, and the Secretary, or an Assistant Secretary, shall have authority to affix the same to any instrument requiring it, and, when so affixed, the seal may be attested by his or her signature or by the signature of such Assistant Secretary. The Board may give general authority to any other officer to affix the seal of the corporation and to attest the affixing thereof by his or her signature. The Secretary shall keep, or cause to be kept, at the principal executive office or at the office of the corporation’s transfer agent or registrar, as determined by resolution of the Board, a share register, or a duplicate share register, showing the names of all stockholders and their addresses, the number and classes of shares held by each, the number and date of certificates, if any, issued for the same and the number and date of cancellation of every certificate surrendered for cancellation.</w:t>
      </w:r>
    </w:p>
    <w:p>
      <w:pPr>
        <w:spacing w:after="0" w:line="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The Assistant Secretary</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Assistant Secretary, or if there be more than one, any Assistant Secretaries in the order designated by the Board (or in the absence of any designation, in the order of their appointment)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 the Chair of the Board, the Chief Executive Officer, the President or these bylaws.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The Chief Financial Officer</w:t>
      </w:r>
    </w:p>
    <w:p>
      <w:pPr>
        <w:spacing w:after="0" w:line="11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The Chief Financial Officer (who may also be designated by the separate title of “Treasurer” unless a separate Treasurer is appointed) shall consider the adequacy of, and make recommendations concerning, the capital resources available to the corporation to meet it projected obligations and business plans; report periodically to the Chief Executive Officer and the Board on financial results and trends affecting the business; have custody of the corporate funds and deposit and pay out such funds from time to time in such manner as may be prescribed by, or in accordance with the direction of, the Board; and shall perform such other duties and have such other powers as may from time to time be prescribed by the Board, the Chair of the Board, the Chief Executive Officer, the President or these bylaws.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490"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4.11  </w:t>
      </w:r>
      <w:r>
        <w:rPr>
          <w:rFonts w:ascii="Arial" w:cs="Arial" w:eastAsia="Arial" w:hAnsi="Arial"/>
          <w:sz w:val="18"/>
          <w:szCs w:val="18"/>
          <w:u w:val="single" w:color="auto"/>
          <w:color w:val="auto"/>
        </w:rPr>
        <w:t>The Treasurer and Assistant Treasurers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Treasurer (if one is appointed) shall, (i) if a Chief Financial Officer is appointed, have such duties as may be specified by the Chief Financial Officer to assist the Chief Financial Officer in the performance of his or her duties, and (ii) otherwise perform such duties and have other powers as may from time to time be prescribed by the Board, the Chair of the Board, the Chief Executive Officer, the President or these bylaws. It shall be the duty of any Assistant Treasurers to assist the Treasurer in the performance of his or her duties and to perform such other duties and have other powers as may from time to time be prescribed by the Board, the Chair of the Board, the Chief Executive Officer, the President or these bylaws.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Bond</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required by the Board, any officer shall give the corporation a bond in such sum and with such surety or sureties and upon such terms and conditions as shall be satisfactory to the Board, including without limitation a bond for the faithful performance of the duties of such officer’s office and for the restoration to the corporation of all books, papers, vouchers, money and other property of whatever kind in such officer’s possession or under such officer’s control and belonging to the corporation.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Other Officers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Such other officers as the Board may choose shall perform such duties and have such powers as from time to time may be assigned to them by the Board. The Board may delegate to any other officer of the corporation the power to choose such other officers and to prescribe their respective duties and powers.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Notices</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Delivery</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Whenever, under the provisions of law, or of the Certificate of Incorporation or these bylaws, written notice is required to be given to any director or stockholder, it shall not be construed to mean personal notice, but: (a) such notice may be given by mail, addressed to such director or stockholder, at such person’s address as it appears on the records of the corporation, with postage thereon prepaid, and such notice shall be deemed to be given at the time when the same shall be deposited in the United States mail or delivered to a nationally recognized courier service; and (b) unless written notice by mail is required by law, such notice may also be given by commercial delivery service, , electronic means or similar means addressed to such director or stockholder at such person’s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 notice or other in-hand delivery, in person or by telephone, shall be deemed given at the time it is actually given.</w:t>
      </w:r>
    </w:p>
    <w:p>
      <w:pPr>
        <w:spacing w:after="0" w:line="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Waiver of Notice</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Whenever any notice is required to be given under the provisions of law or of the Certificate of Incorporation or of these bylaws, a waiver thereof in writing, signed by the person or persons entitled to said notice, whether before or after the time stated therein, shall be deemed equivalent thereto. In addition to the foregoing, notice of a meeting need not be given to any director who signs a waiver of notice or a consent, or electronically transmits the same, to holding the meeting or an approval of the minutes thereof, whether before or after the meeting, or who attends the meeting without protesting, prior thereto or at its commencement, the lack of notice to such director. All such waivers, consents and approvals shall be filed with the corporate records or made a part of the minutes of the meeting.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490" w:right="499" w:bottom="1440" w:gutter="0" w:footer="0" w:header="0"/>
        </w:sectPr>
      </w:pPr>
    </w:p>
    <w:bookmarkStart w:id="122" w:name="page123"/>
    <w:bookmarkEnd w:id="12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Indemnification and Insurance</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Indemnification</w:t>
      </w:r>
    </w:p>
    <w:p>
      <w:pPr>
        <w:spacing w:after="0" w:line="117" w:lineRule="exact"/>
        <w:rPr>
          <w:sz w:val="20"/>
          <w:szCs w:val="20"/>
          <w:color w:val="auto"/>
        </w:rPr>
      </w:pPr>
    </w:p>
    <w:p>
      <w:pPr>
        <w:ind w:firstLine="436"/>
        <w:spacing w:after="0" w:line="268" w:lineRule="auto"/>
        <w:tabs>
          <w:tab w:leader="none" w:pos="68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person who was or is made a party or is threatened to be made a party to or is involved in (as a witness or otherwise) any action, suit, arbitration, alternate dispute resolution mechanism, investigation, inquiry, administrative hearing or any other proceeding, whether civil, criminal, administrative or investigative in nature (hereinafter a “</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by reason of the fact that he or she or a person of whom he or she is the legal representative (in the event of death or disability of such person) is or was a director or officer of the corporation (or any predecessor) or is or was serving at the request of the corporation (or any predecessor) as a director, officer, employee, fiduciary, representative, partner or agent of another corporation or of a partnership, joint venture, trust, employee benefit plan sponsored or maintained by the corporation, or other enterprise (or any predecessor of any of such entities), whether the basis of such proceeding is alleged action or inaction in an official capacity as a director, officer, employee, fiduciary, representative, partner or agent or in any other capacity while serving as a director, officer, employee, fiduciary, representative, partner or agent,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except as provided in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below, the corporation shall indemnify any such person seeking indemnification in connection with a proceeding (or part thereof) initiated by such person only if such proceeding (or part thereof) was authorized by the Board. The right to indemnification conferred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be a contract right subject to the terms and conditions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right="20" w:firstLine="436"/>
        <w:spacing w:after="0" w:line="287" w:lineRule="auto"/>
        <w:tabs>
          <w:tab w:leader="none" w:pos="69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To obtain indemnification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of a claimant to so notify the corporation shall not relieve the corporation of any obligation which it may have to the claimant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otherwise except to the extent that any delay in such notification actually and materially prejudices the corporation. Upon written request by a claimant for indemnification pursuant to the preceding sentence, a determination, if required by applicable law, with respect to the claimant’s entitlement thereto shall be made as follows: (i) if requested by the claimant, by Independent Counsel (as hereinafter defined), or (ii) if no request is made by the claimant for a determination by Independent Counsel, (A) by the Board by a majority vote of the Disinterested Directors (as hereinafter defined), even though less than a quorum, or (B) by a committee of Disinterested Directors designated by majority vote of the Disinterested Directors, even though less than a quorum, or (C) if there are no Disinterested Directors or the Disinterested Directors so direct, by Independent Counsel in a written opinion to the Board, a copy of which shall be delivered to the claimant, or (D) if a quorum of Disinterested Directors so directs, by the stockholders of the corporation.</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490" w:right="519" w:bottom="1440" w:gutter="0" w:footer="0" w:header="0"/>
        </w:sectPr>
      </w:pPr>
    </w:p>
    <w:bookmarkStart w:id="123" w:name="page124"/>
    <w:bookmarkEnd w:id="123"/>
    <w:p>
      <w:pPr>
        <w:ind w:left="4" w:right="2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event the determination of entitlement to indemnification is to be made by Independent Counsel at the request of the claimant, the Independent Counsel shall be selected by the Board unless there shall have occurred within two years prior to the date of the commencement of the proceeding for which indemnification is claimed a “Change of Control” (as hereinafter defined), in which case Independent Counsel shall be selected by the claimant unless the claimant shall request that such selection be made by the Board. In either event, the claimant or the corporation, as the case may be, shall give written notice to the other advising it of the identity of the Independent Counsel so selected. The party so notified may, within ten</w:t>
      </w:r>
    </w:p>
    <w:p>
      <w:pPr>
        <w:spacing w:after="0" w:line="2" w:lineRule="exact"/>
        <w:rPr>
          <w:sz w:val="20"/>
          <w:szCs w:val="20"/>
          <w:color w:val="auto"/>
        </w:rPr>
      </w:pPr>
    </w:p>
    <w:p>
      <w:pPr>
        <w:ind w:left="4" w:hanging="4"/>
        <w:spacing w:after="0" w:line="284" w:lineRule="auto"/>
        <w:tabs>
          <w:tab w:leader="none" w:pos="34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days after such written notice of selection shall have been given, deliver to the corporation or to the claimant,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and the objection shall set forth with particularity the factual basis of such assertion. If such written objection is so made and substantiated, the Independent Counsel so selected may not serve as Independent Counsel unless and until such objection is withdrawn or a court has determined that such objection is without merit. If, within thirty (30) days after submission by the claimant of a written request for indemnification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no Independent Counsel shall have been selected and not objected to, either the corporation or the claimant may petition the Court of Chancery of the State of Delaware for resolution of any objection which shall have been made by the corporation or the claimant to the other’s selection of Independent Counsel or for the appointment as Independent Counsel of a person selected by the Court of Chancery or by such other person as the Court of Chancery shall designate, and the person with respect to whom all objections are so resolved or the person so appointed shall act as Independent Counsel hereunder. The corporation shall pay any and all fees and expenses of Independent Counsel reasonably incurred in connection with acting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and the corporation shall pay all reasonable fees and expenses incident to the procedures of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regardless of the manner in which such Independent Counsel was selected or appointed. Upon the due commencement of any judicial proceeding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Independent Counsel shall be discharged and relieved of any further responsibility in such capacity (subject to the applicable standards of professional conduct then prevailing).</w:t>
      </w:r>
    </w:p>
    <w:p>
      <w:pPr>
        <w:spacing w:after="0" w:line="178" w:lineRule="exact"/>
        <w:rPr>
          <w:sz w:val="20"/>
          <w:szCs w:val="20"/>
          <w:color w:val="auto"/>
        </w:rPr>
      </w:pPr>
    </w:p>
    <w:p>
      <w:pPr>
        <w:ind w:left="4" w:right="180" w:firstLine="440"/>
        <w:spacing w:after="0" w:line="275" w:lineRule="auto"/>
        <w:rPr>
          <w:sz w:val="20"/>
          <w:szCs w:val="20"/>
          <w:color w:val="auto"/>
        </w:rPr>
      </w:pPr>
      <w:r>
        <w:rPr>
          <w:rFonts w:ascii="Arial" w:cs="Arial" w:eastAsia="Arial" w:hAnsi="Arial"/>
          <w:sz w:val="17"/>
          <w:szCs w:val="17"/>
          <w:color w:val="auto"/>
        </w:rPr>
        <w:t xml:space="preserve">If the person, persons or entity empowered or selected under this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to determine whether the claimant is entitled to indemnification shall not have made a determination within ninety (90) days after receipt by the corporation of the request therefor, the requisite determination of entitlement to indemnification shall be deemed to have been made and the claimant shall be entitled to such indemnification, absent (i) a misstatement by the claimant of a material fact, or an omission of a material fact necessary to make the claimant’s statement(s) not materially misleading, in connection with the request for indemnification or (ii) a prohibition of such indemnification under applicable law.</w:t>
      </w:r>
    </w:p>
    <w:p>
      <w:pPr>
        <w:spacing w:after="0" w:line="176"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If it is determined that the claimant is entitled to indemnification, the corporation shall pay the claimant within twenty (20) business days after such determination any then known amounts with respect to which it has been so determined that the claimant is entitled to indemnification hereunder and will pay any other amounts thereafter incurred for which the claimant is entitled to indemnification within twenty (20) business days of the corporation’s receipt of reasonably detailed invoices for such amounts.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490" w:right="459" w:bottom="1440" w:gutter="0" w:footer="0" w:header="0"/>
        </w:sectPr>
      </w:pPr>
    </w:p>
    <w:bookmarkStart w:id="124" w:name="page125"/>
    <w:bookmarkEnd w:id="124"/>
    <w:p>
      <w:pPr>
        <w:ind w:firstLine="436"/>
        <w:spacing w:after="0" w:line="268" w:lineRule="auto"/>
        <w:tabs>
          <w:tab w:leader="none" w:pos="685" w:val="left"/>
        </w:tabs>
        <w:numPr>
          <w:ilvl w:val="0"/>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the event that (i) a determination is made pursuant to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that the claimant is not entitled to indemnification, (ii) advancement of expenses is not timely made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(iii) a claim for indemnification under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is not paid in full by the corporation within twenty (20) business days after a determination has been made that the claimant is entitled to indemnification, the claimant may at any time thereafter bring suit against the corporation to determine his entitlement to such indemnification or advancement of expenses and, if successful in whole or in part, the claimant shall be entitled to be paid also the expense of prosecuting such claim. If a Change of Control shall have occurred, in any judicial proceeding commenced pursuant to this </w:t>
      </w:r>
      <w:r>
        <w:rPr>
          <w:rFonts w:ascii="Arial" w:cs="Arial" w:eastAsia="Arial" w:hAnsi="Arial"/>
          <w:sz w:val="17"/>
          <w:szCs w:val="17"/>
          <w:u w:val="single" w:color="auto"/>
          <w:color w:val="auto"/>
        </w:rPr>
        <w:t>Section 6.1(c)</w:t>
      </w:r>
      <w:r>
        <w:rPr>
          <w:rFonts w:ascii="Arial" w:cs="Arial" w:eastAsia="Arial" w:hAnsi="Arial"/>
          <w:sz w:val="17"/>
          <w:szCs w:val="17"/>
          <w:color w:val="auto"/>
        </w:rPr>
        <w:t>, the corporation shall have the burden of proving that the claimant is not entitled to indemnification.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that makes it permissible under the DGCL for the corporation to indemnify the claimant for the amount claimed, but the burden of proving such defense shall be on the corporation. Neither the failure of the corporation (including the Board, Independent Counsel or stockholders) to have made a determination prior to the commencement of such action that indemnification of the claimant is proper in the circumstances because he or she has met the applicable standard of conduct set forth in the DGCL, nor the fact that the corporation (including the Board, Independent Counsel or stockholders) has determined that the claimant has not met such applicable standard of conduct, shall be a defense to the action or create a presumption that the claimant has not met the applicable standard of conduct. The termination of any action, suit or proceeding by judgment, order, settlement, conviction, or upon a plea of nolo contendere or its equivalent, shall not, of itself, create a presumption that the claimant has not met the applicable standard of conduct.</w:t>
      </w:r>
    </w:p>
    <w:p>
      <w:pPr>
        <w:spacing w:after="0" w:line="71" w:lineRule="exact"/>
        <w:rPr>
          <w:rFonts w:ascii="Arial" w:cs="Arial" w:eastAsia="Arial" w:hAnsi="Arial"/>
          <w:sz w:val="17"/>
          <w:szCs w:val="17"/>
          <w:color w:val="auto"/>
        </w:rPr>
      </w:pPr>
    </w:p>
    <w:p>
      <w:pPr>
        <w:ind w:right="240" w:firstLine="436"/>
        <w:spacing w:after="0" w:line="293"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If a determination shall have been made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that the claimant is entitled to indemnification, the corporation shall be bound by such determination in any judicial proceeding commenced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above, absent (i) a misstatement by the claimant of a material fact, or an omission of a material fact necessary to make the claimant’s statements not materially misleading in connection with a request for indemnification or (ii) a prohibition of such indemnification under applicable law. The corporation shall be precluded from asserting in any judicial proceeding commenced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above that the procedures and presumptions of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are not valid, binding and enforceable and shall stipulate in such proceeding that the corporation is bound by all the provisions of this </w:t>
      </w:r>
      <w:r>
        <w:rPr>
          <w:rFonts w:ascii="Arial" w:cs="Arial" w:eastAsia="Arial" w:hAnsi="Arial"/>
          <w:sz w:val="16"/>
          <w:szCs w:val="16"/>
          <w:u w:val="single" w:color="auto"/>
          <w:color w:val="auto"/>
        </w:rPr>
        <w:t>Article 6</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20" w:firstLine="436"/>
        <w:spacing w:after="0" w:line="269" w:lineRule="auto"/>
        <w:tabs>
          <w:tab w:leader="none" w:pos="68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With respect to any proceeding for which indemnification is sought hereunder, so long as there shall not have occurred a Change in Control, the corporation, in its sole discretion, will be entitled to participate in such proceeding at its own expense and, except as provided below, to assume the defense of, and to settle, such proceeding. After notice from the corporation to the claimant of its election so to assume the defense thereof, the corporation will not be liable to the claimant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for any legal or other expenses subsequently incurred by the claimant in connection with the defense thereof other than reasonable costs of investigation or as otherwise provided below. The claimant shall have the right to employ its counsel in such proceeding but the fees and expenses of such counsel incurred after notice from the corporation of its assumption of the defense thereof shall be at the expense of the claimant unless (i) the employment of counsel by the claimant has been authorized by the corporation, (ii) the claimant shall have reasonably concluded that there may be a conflict of interest between the corporation and the claimant in the conduct of the defense of such proceeding or (iii) the corporation shall not in fact have employed counsel to assume the defense of such proceeding, in each of which cases the fees and expenses of counsel shall be at the expense of the corporation. The corporation shall not be entitled to assume the defense of any proceeding brought by or on behalf of the corporation or as to which the claimant shall have made the conclusion provided for in clause (ii) of the immediately preceding sentence. The claimant shall not compromise or settle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490" w:right="459" w:bottom="1440" w:gutter="0" w:footer="0" w:header="0"/>
        </w:sectPr>
      </w:pPr>
    </w:p>
    <w:bookmarkStart w:id="125" w:name="page126"/>
    <w:bookmarkEnd w:id="125"/>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claim or proceeding, release any claim, or make any admission of fact, law, liability or damages with respect to any losses for which indemnification is sought hereunder without the prior written consent of the corporation, which consent shall not be unreasonably withheld (subject to the terms and conditions of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including any determination required by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by applicable law). The corporation shall not be liable for any amount paid by the claimant in settlement of any proceeding or any claim therein, unless the corporation has consented to such settlement or unreasonably withholds consent to such settlement.</w:t>
      </w:r>
    </w:p>
    <w:p>
      <w:pPr>
        <w:spacing w:after="0" w:line="80" w:lineRule="exact"/>
        <w:rPr>
          <w:sz w:val="20"/>
          <w:szCs w:val="20"/>
          <w:color w:val="auto"/>
        </w:rPr>
      </w:pPr>
    </w:p>
    <w:p>
      <w:pPr>
        <w:jc w:val="both"/>
        <w:ind w:right="60" w:firstLine="436"/>
        <w:spacing w:after="0" w:line="259" w:lineRule="auto"/>
        <w:tabs>
          <w:tab w:leader="none" w:pos="66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claimant is a party to or involved in a proceeding with any other person(s) for whom the corporation is required to indemnify or advance expenses with respect to such proceeding, the corporation shall not be required to indemnify against or advance expenses for more than one law firm to represent collectively the claimant and such other person(s) in respect of the same matter unless the representation of the claimant and such other person(s) gives rise to an actual or potential conflict of interest.</w:t>
      </w:r>
    </w:p>
    <w:p>
      <w:pPr>
        <w:spacing w:after="0" w:line="9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Advance Payment</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The right to indemnification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include the right to be paid by the corporation the expenses incurred in defending any such proceeding in advance of its final disposition, such advances to be paid by the corporation within twenty (20) business days after the receipt by the corporation of a statement or statements from the claimant requesting and reasonably evidencing such advance or advances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if the DGCL requires, the payment of such expenses incurred by a director or officer in his or her capacity as a director or officer (and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or otherwise.</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Non-Exclusivity and Survival of Rights; Amendments</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The right to indemnification and the payment of expenses incurred in defending a proceeding in advance of its final disposition conferred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not be deemed exclusive of any other right which any person may have or hereafter acquire under any statute, provision of the Certificate of Incorporation, bylaws, agreement, vote of stockholders or Disinterested Directors or otherwise, both as to actions in such person’s official capacity and as to actions in another capacity while holding such office, and shall continue as to a person who has ceased to be a director, officer, employee or agent of the corporation and shall inure to the benefit of the heirs, executors and administrators of such a person. Any repeal or modification of the provisions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not in any way diminish or adversely affect the rights or protections of any director, officer, employee or agent of the corporation hereunder in respect of any proceeding (regardless of when such proceeding is first threatened, commenced or completed) arising out of, or related to, any act or omission occurring prior to the time of such repeal or modification.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490" w:right="47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6.4 </w:t>
      </w:r>
      <w:r>
        <w:rPr>
          <w:rFonts w:ascii="Arial" w:cs="Arial" w:eastAsia="Arial" w:hAnsi="Arial"/>
          <w:sz w:val="18"/>
          <w:szCs w:val="18"/>
          <w:u w:val="single" w:color="auto"/>
          <w:color w:val="auto"/>
        </w:rPr>
        <w:t>Insurance</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fiduciary, representative, partner or agent of another corporation or of a partnership, joint venture, trust, employee benefit plan sponsored or maintained by the corporation, or other enterprise (or any predecessor of any of such entities) against any expense, liability or loss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If any word, clause, provision or provisions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be held to be invalid, illegal or unenforceable for any reason whatsoever: (i) the validity, legality and enforceability of the remaining provisions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(including, without limitation, each portion of any section or paragraph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containing any such provision held to be invalid, illegal or unenforceable, that is not itself held to be invalid, illegal or unenforceable) shall not in any way be affected or impaired thereby; and (ii) to the fullest extent possible, the provisions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(including, without limitation, each such portion of any section or paragraph of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containing any such provision held to be invalid, illegal or unenforceable) shall be construed so as to give effect to the intent manifested by the provision held invalid, illegal or unenforceable.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the purpose of this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w:t>
      </w:r>
    </w:p>
    <w:p>
      <w:pPr>
        <w:spacing w:after="0" w:line="117" w:lineRule="exact"/>
        <w:rPr>
          <w:sz w:val="20"/>
          <w:szCs w:val="20"/>
          <w:color w:val="auto"/>
        </w:rPr>
      </w:pPr>
    </w:p>
    <w:p>
      <w:pPr>
        <w:ind w:left="440" w:firstLine="419"/>
        <w:spacing w:after="0" w:line="274" w:lineRule="auto"/>
        <w:tabs>
          <w:tab w:leader="none" w:pos="111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1934 Act (a “</w:t>
      </w:r>
      <w:r>
        <w:rPr>
          <w:rFonts w:ascii="Arial" w:cs="Arial" w:eastAsia="Arial" w:hAnsi="Arial"/>
          <w:sz w:val="17"/>
          <w:szCs w:val="17"/>
          <w:b w:val="1"/>
          <w:bCs w:val="1"/>
          <w:color w:val="auto"/>
        </w:rPr>
        <w:t>Person</w:t>
      </w:r>
      <w:r>
        <w:rPr>
          <w:rFonts w:ascii="Arial" w:cs="Arial" w:eastAsia="Arial" w:hAnsi="Arial"/>
          <w:sz w:val="17"/>
          <w:szCs w:val="17"/>
          <w:color w:val="auto"/>
        </w:rPr>
        <w:t>”)), directly or indirectly, of beneficial ownership (within the meaning of Rule 13d-3 promulgated under the 1934 Act) of 20% or more of either (i) the then outstanding shares of common stock of the corporation (the “</w:t>
      </w:r>
      <w:r>
        <w:rPr>
          <w:rFonts w:ascii="Arial" w:cs="Arial" w:eastAsia="Arial" w:hAnsi="Arial"/>
          <w:sz w:val="17"/>
          <w:szCs w:val="17"/>
          <w:b w:val="1"/>
          <w:bCs w:val="1"/>
          <w:color w:val="auto"/>
        </w:rPr>
        <w:t>Outstanding Corporation Common Stock</w:t>
      </w:r>
      <w:r>
        <w:rPr>
          <w:rFonts w:ascii="Arial" w:cs="Arial" w:eastAsia="Arial" w:hAnsi="Arial"/>
          <w:sz w:val="17"/>
          <w:szCs w:val="17"/>
          <w:color w:val="auto"/>
        </w:rPr>
        <w:t>”) or (ii) the combined voting power of the then outstanding voting securities of the corporation entitled to vote generally in the election of directors (the “</w:t>
      </w:r>
      <w:r>
        <w:rPr>
          <w:rFonts w:ascii="Arial" w:cs="Arial" w:eastAsia="Arial" w:hAnsi="Arial"/>
          <w:sz w:val="17"/>
          <w:szCs w:val="17"/>
          <w:b w:val="1"/>
          <w:bCs w:val="1"/>
          <w:color w:val="auto"/>
        </w:rPr>
        <w:t>Outstanding</w:t>
      </w:r>
      <w:r>
        <w:rPr>
          <w:rFonts w:ascii="Arial" w:cs="Arial" w:eastAsia="Arial" w:hAnsi="Arial"/>
          <w:sz w:val="17"/>
          <w:szCs w:val="17"/>
          <w:color w:val="auto"/>
        </w:rPr>
        <w:t xml:space="preserve"> </w:t>
      </w:r>
      <w:r>
        <w:rPr>
          <w:rFonts w:ascii="Arial" w:cs="Arial" w:eastAsia="Arial" w:hAnsi="Arial"/>
          <w:sz w:val="17"/>
          <w:szCs w:val="17"/>
          <w:b w:val="1"/>
          <w:bCs w:val="1"/>
          <w:color w:val="auto"/>
        </w:rPr>
        <w:t>Corporation Voting Securities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for purposes of this part (1), the following acquisitions shall not constitute a 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(i) any acquisition directly from the corporation or any acquisition from other stockholders where</w:t>
      </w:r>
    </w:p>
    <w:p>
      <w:pPr>
        <w:spacing w:after="0" w:line="69" w:lineRule="exact"/>
        <w:rPr>
          <w:sz w:val="20"/>
          <w:szCs w:val="20"/>
          <w:color w:val="auto"/>
        </w:rPr>
      </w:pPr>
    </w:p>
    <w:p>
      <w:pPr>
        <w:ind w:left="1160" w:hanging="301"/>
        <w:spacing w:after="0"/>
        <w:tabs>
          <w:tab w:leader="none" w:pos="11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such acquisition was approved in advance by the Board and (B) such acquisition would not constitute a Change of Control under part</w:t>
      </w:r>
    </w:p>
    <w:p>
      <w:pPr>
        <w:spacing w:after="0" w:line="46" w:lineRule="exact"/>
        <w:rPr>
          <w:rFonts w:ascii="Arial" w:cs="Arial" w:eastAsia="Arial" w:hAnsi="Arial"/>
          <w:sz w:val="16"/>
          <w:szCs w:val="16"/>
          <w:color w:val="auto"/>
        </w:rPr>
      </w:pPr>
    </w:p>
    <w:p>
      <w:pPr>
        <w:ind w:left="440" w:right="140" w:hanging="4"/>
        <w:spacing w:after="0" w:line="255"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or part (4) of this definition, (ii) any acquisition by the corporation, (iii) any acquisition by any employee benefit plan (or related trust) sponsored or maintained by the corporation or any corporation controlled by the corporation, or (iv) any acquisition by any corporation pursuant to a transaction that complies with clauses (i), (ii) and (iii) of part (4) of this definition; or</w:t>
      </w:r>
    </w:p>
    <w:p>
      <w:pPr>
        <w:spacing w:after="0" w:line="82" w:lineRule="exact"/>
        <w:rPr>
          <w:sz w:val="20"/>
          <w:szCs w:val="20"/>
          <w:color w:val="auto"/>
        </w:rPr>
      </w:pPr>
    </w:p>
    <w:p>
      <w:pPr>
        <w:ind w:left="440" w:right="180" w:firstLine="419"/>
        <w:spacing w:after="0" w:line="342" w:lineRule="auto"/>
        <w:tabs>
          <w:tab w:leader="none" w:pos="111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acquisition by any Person, directly or indirectly, of beneficial ownership (within the meaning of Rule 13d-3 promulgated under the 1934 Act) of 50% or more of either (i) the Outstanding Corporation Common Stock or (ii) the Outstanding Corporation Voting Securities;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490" w:right="479" w:bottom="1440" w:gutter="0" w:footer="0" w:header="0"/>
        </w:sectPr>
      </w:pPr>
    </w:p>
    <w:bookmarkStart w:id="127" w:name="page128"/>
    <w:bookmarkEnd w:id="127"/>
    <w:p>
      <w:pPr>
        <w:ind w:left="440" w:firstLine="419"/>
        <w:spacing w:after="0" w:line="273" w:lineRule="auto"/>
        <w:tabs>
          <w:tab w:leader="none" w:pos="1118"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individuals who, as of the date hereof, constitute the Board (the “</w:t>
      </w:r>
      <w:r>
        <w:rPr>
          <w:rFonts w:ascii="Arial" w:cs="Arial" w:eastAsia="Arial" w:hAnsi="Arial"/>
          <w:sz w:val="17"/>
          <w:szCs w:val="17"/>
          <w:b w:val="1"/>
          <w:bCs w:val="1"/>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individual becoming a director subsequent to the date hereof whose election, or nomination for election by the stockholders, was approved by a vote of at least a majority of the directors then comprising the Incumbent Board (or such committee thereof that shall then have the authority to nominate persons for election as directors)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of consents by or on behalf of a Person other than the Board; or</w:t>
      </w:r>
    </w:p>
    <w:p>
      <w:pPr>
        <w:spacing w:after="0" w:line="67" w:lineRule="exact"/>
        <w:rPr>
          <w:rFonts w:ascii="Arial" w:cs="Arial" w:eastAsia="Arial" w:hAnsi="Arial"/>
          <w:sz w:val="17"/>
          <w:szCs w:val="17"/>
          <w:color w:val="auto"/>
        </w:rPr>
      </w:pPr>
    </w:p>
    <w:p>
      <w:pPr>
        <w:ind w:left="440" w:firstLine="419"/>
        <w:spacing w:after="0" w:line="286" w:lineRule="auto"/>
        <w:tabs>
          <w:tab w:leader="none" w:pos="111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corporation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immediately following such Business Combination, (i)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that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(ii) no Person (excluding any corporation resulting from such Business Combination or any employee benefit plan (or related trust) of the corporation or such corporation resulting from such Business Combination) beneficially owns, directly or indirectly, 20%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59" w:lineRule="exact"/>
        <w:rPr>
          <w:rFonts w:ascii="Arial" w:cs="Arial" w:eastAsia="Arial" w:hAnsi="Arial"/>
          <w:sz w:val="16"/>
          <w:szCs w:val="16"/>
          <w:color w:val="auto"/>
        </w:rPr>
      </w:pPr>
    </w:p>
    <w:p>
      <w:pPr>
        <w:ind w:left="1120" w:hanging="261"/>
        <w:spacing w:after="0"/>
        <w:tabs>
          <w:tab w:leader="none" w:pos="11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corporation.</w:t>
      </w:r>
    </w:p>
    <w:p>
      <w:pPr>
        <w:spacing w:after="0" w:line="221"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a director of the corporation who is not and was not a party to the matter in respect of which indemnification is sought by the claimant.</w:t>
      </w:r>
    </w:p>
    <w:p>
      <w:pPr>
        <w:spacing w:after="0" w:line="162"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Counsel</w:t>
      </w:r>
      <w:r>
        <w:rPr>
          <w:rFonts w:ascii="Arial" w:cs="Arial" w:eastAsia="Arial" w:hAnsi="Arial"/>
          <w:sz w:val="16"/>
          <w:szCs w:val="16"/>
          <w:color w:val="auto"/>
        </w:rPr>
        <w:t>” shall mean a law firm, a member of a law firm, or an independent practitioner, that is experienced in matters of corporation law and neither presently is, nor in the past five (5) years has been, retained to represent: (i) the corporation or the claimant in any matter material to any such party, or (ii) any other party to the proceeding giving rise to a claim for indemnification hereunder. Notwithstanding the foregoing, the term “</w:t>
      </w:r>
      <w:r>
        <w:rPr>
          <w:rFonts w:ascii="Arial" w:cs="Arial" w:eastAsia="Arial" w:hAnsi="Arial"/>
          <w:sz w:val="16"/>
          <w:szCs w:val="16"/>
          <w:b w:val="1"/>
          <w:bCs w:val="1"/>
          <w:color w:val="auto"/>
        </w:rPr>
        <w:t>Independent Counsel</w:t>
      </w:r>
      <w:r>
        <w:rPr>
          <w:rFonts w:ascii="Arial" w:cs="Arial" w:eastAsia="Arial" w:hAnsi="Arial"/>
          <w:sz w:val="16"/>
          <w:szCs w:val="16"/>
          <w:color w:val="auto"/>
        </w:rPr>
        <w:t xml:space="preserve">” shall not shall include any person who, under the applicable standards of professional conduct then prevailing, would have a conflict of interest in representing either the corporation or the claimant in an action to determine the claimant’s rights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486" w:right="45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6.7 </w:t>
      </w:r>
      <w:r>
        <w:rPr>
          <w:rFonts w:ascii="Arial" w:cs="Arial" w:eastAsia="Arial" w:hAnsi="Arial"/>
          <w:sz w:val="18"/>
          <w:szCs w:val="18"/>
          <w:u w:val="single" w:color="auto"/>
          <w:color w:val="auto"/>
        </w:rPr>
        <w:t>Notices</w:t>
      </w:r>
    </w:p>
    <w:p>
      <w:pPr>
        <w:spacing w:after="0" w:line="117"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Any notice, request or other communication required or permitted to be given to the corporation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shall be in writing and either delivered in person or sent by telecopy or other electronic transmission, overnight mail or courier service, or certified or registered mail, postage or charges prepaid, return copy requested, to the Secretary of the corporation and shall be effective only upon receipt by the Secretary.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Certificates for Shares</w:t>
      </w:r>
    </w:p>
    <w:p>
      <w:pPr>
        <w:spacing w:after="0" w:line="117"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The shares of capital stock of the corporation shall be represented by certificates or, where approved by the Board and permitted by law, shall be uncertificated. Certificates representing shares of capital stock of the corporation shall be signed by, or in the name of the corporation by, the Chair of the Board, the Chief Executive Officer, the President or a Vice President and by the Chief Financial Officer, the Treasurer or an Assistant Treasurer, or the Secretary or an Assistant Secretary of the corporation. Certificates or uncertificated shares may be issued for partly paid shares and in the case of certificated shares, upon the face or back of the certificates issued to represent any such partly paid shares, the total amount of the consideration to be paid therefor, and the amount paid thereon shall be specified.</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If the corporation shall be authorized to issue more than one class of capital stock of the corporation or more than one series of any class, the powers, designations, preferences and relative, participating, optional or other special rights of each class of stock or series thereof and the qualifications, limitations or restrictions of such preferences or rights shall be set forth in full or summarized on the face or back of the certificate which the corporation shall issue to represent such class or series of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capital stock of the corporation or series thereof and the qualifications, limitations or restrictions of such preferences or rights.</w:t>
      </w:r>
    </w:p>
    <w:p>
      <w:pPr>
        <w:spacing w:after="0" w:line="178"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Within a reasonable time after the issuance or transfer of uncertificated stock, the corporation shall send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capital stock of the corporation or series thereof and the qualifications, limitations or restrictions of such preferences or rights.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Signatures on Certificates</w:t>
      </w:r>
    </w:p>
    <w:p>
      <w:pPr>
        <w:spacing w:after="0" w:line="11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490" w:right="499" w:bottom="1440" w:gutter="0" w:footer="0" w:header="0"/>
        </w:sectPr>
      </w:pPr>
    </w:p>
    <w:bookmarkStart w:id="129" w:name="page130"/>
    <w:bookmarkEnd w:id="1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7.3 </w:t>
      </w:r>
      <w:r>
        <w:rPr>
          <w:rFonts w:ascii="Arial" w:cs="Arial" w:eastAsia="Arial" w:hAnsi="Arial"/>
          <w:sz w:val="18"/>
          <w:szCs w:val="18"/>
          <w:u w:val="single" w:color="auto"/>
          <w:color w:val="auto"/>
        </w:rPr>
        <w:t>Transfer of Stock</w:t>
      </w:r>
    </w:p>
    <w:p>
      <w:pPr>
        <w:spacing w:after="0" w:line="117"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Upon surrender to the corporation or the transfer agent of the corporation of a certificate of shares of capital stock of the corporation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uncertificated shares, such uncertificated shares shall be canceled and issuance of new equivalent uncertificated shares or certificated shares shall be made to the person entitled thereto and the transaction shall be recorded upon the books of the corporation.</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Registered Stockholders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Lost, Stolen or Destroyed Certificates</w:t>
      </w:r>
    </w:p>
    <w:p>
      <w:pPr>
        <w:spacing w:after="0" w:line="117"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The corporation may direct that a new certificate or certificates or uncertificated shares be issued to replace any certificate or certificates theretofore issued by the corporation alleged to have been lost, stolen or destroyed, upon the making of an affidavit of that fact by the person claiming the certificate of stock to be lost, stolen or destroyed and on such terms and conditions as the corporation may require. When authorizing the issue of a new certificate or certificates, the corporation may, in its discretion and as a condition precedent to the issuance thereof, require the owner of the lost, stolen or destroyed certificate or certificates, or his or her legal representative, to advertise the same in such manner as it shall require, to indemnify the corporation in such manner as it may require, and to give the corporation a bond or other adequate security in such sum as it may direct as indemnity against any claim that may be made against the corporation with respect to the certificate alleged to have been lost, stolen or destroyed.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Dividends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Dividends upon the shares of capital stock of the corporation, subject to any restrictions contained in the DGCL or the provisions of the Certificate of Incorporation, if any, may be declared by the Board at any regular or special meeting or by unanimous written consent. Dividends may be paid in cash, in property or in shares of capital stock of the corporation, subject to the provisions of the Certificate of Incorporation. The Board may fix any record date for purposes of determining the stockholders entitled to receive payment of any dividend as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above.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490" w:right="459" w:bottom="1440" w:gutter="0" w:footer="0" w:header="0"/>
        </w:sectPr>
      </w:pPr>
    </w:p>
    <w:bookmarkStart w:id="130" w:name="page131"/>
    <w:bookmarkEnd w:id="1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8.2 </w:t>
      </w:r>
      <w:r>
        <w:rPr>
          <w:rFonts w:ascii="Arial" w:cs="Arial" w:eastAsia="Arial" w:hAnsi="Arial"/>
          <w:sz w:val="18"/>
          <w:szCs w:val="18"/>
          <w:u w:val="single" w:color="auto"/>
          <w:color w:val="auto"/>
        </w:rPr>
        <w:t>Dividend Reserve</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Before payment of any dividend, there may be set aside out of any funds of the corporation available for dividends such sum or sums as the Board from time to time, in its sole discretion, deems proper as a reserve or reserves to meet contingencies, or for equalizing dividends, or for repairing or maintaining any property of the corporation, or for such other purpose as the Board shall determine conducive to the interest of the corporation, and the directors may modify or abolish any such reserve in the manner in which it was created.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Checks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Except as otherwise permitted in these bylaws, all checks or demands for money and notes of the corporation shall be signed by such officer or officers or such other person or persons as the Board may from time to time designate.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Fiscal Year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shall be fixed by resolution of the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Corporate Seal</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Board may, by resolution, adopt a corporate seal. The corporate seal shall have inscribed thereon the name of the corporation, the year of its organization and the words “Corporate Seal, Delaware.” The seal may be used by causing it or a facsimile thereof to be impressed or affixed or otherwise reproduced. The seal may be altered from time to time by the Board.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Execution of Corporate Contracts and Instruments</w:t>
      </w:r>
    </w:p>
    <w:p>
      <w:pPr>
        <w:spacing w:after="0" w:line="11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Representation of Shares of Other Corporations</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Each of the Chief Executive Officer, the President or any Vice President, 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standing in the name of the corporation. The authority herein granted to said officers to vote or represent on behalf of the corporation any and all shares held by the corporation in any other corporation or corporations may be exercised either by such officers in person or by any other person authorized so to do by proxy or power of attorney duly executed by said officers.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490" w:right="45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These bylaws may be altered, amended or repealed, in whole or in part, or new bylaws may be adopted by the stockholders or by the Board;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notice of such alteration, amendment, repeal or adoption of new bylaws be contained in the notice of such meeting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or the Board, as the case may be. Any such alteration, amendment, repeal or adoption must be approved by either the vote of the holders of a majority of the shares of capital stock of the corporation issued and outstanding and entitled to vote thereon or by a majority of the entire Board.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40" w:top="490" w:right="5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VOTING AND SUPPORT AGREEMENT</w:t>
      </w:r>
    </w:p>
    <w:p>
      <w:pPr>
        <w:spacing w:after="0" w:line="229"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THIS VOTING AND SUPPORT AGREEMENT is dated as of July 28, 2023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by and among each stockholder of Reata Pharmaceuticals, Inc., a Delaware corporation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set forth on Exhibit A hereto (each a “</w:t>
      </w:r>
      <w:r>
        <w:rPr>
          <w:rFonts w:ascii="Arial" w:cs="Arial" w:eastAsia="Arial" w:hAnsi="Arial"/>
          <w:sz w:val="16"/>
          <w:szCs w:val="16"/>
          <w:u w:val="single" w:color="auto"/>
          <w:color w:val="auto"/>
        </w:rPr>
        <w:t>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Biogen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River Acquisition, Inc., a Delaware corporation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WHEREAS, the Company, Parent and Merger Sub are entering into an Agreement and Plan of Merger dated as of the date hereof (as the same may be amended or supplemented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providing for, among other things, the merger of Merger Sub, a wholly owned Subsidiary of Parent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which the Company shall be the Surviving Corporation and shall continue its corporate existence under the laws of the State of Delaware as a wholly owned Subsidiary of Parent, on the terms and subject to the conditions of the Merger Agreement;</w:t>
      </w:r>
    </w:p>
    <w:p>
      <w:pPr>
        <w:spacing w:after="0" w:line="18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WHEREAS, as of the date hereof, each Holder Beneficially Owns (as defined below) such number of Shares of Class A Common Stock and Class B Common Stock set forth opposite such 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(with respect to each Holder, such Shares are referred to herein as such Holder’s “</w:t>
      </w:r>
      <w:r>
        <w:rPr>
          <w:rFonts w:ascii="Arial" w:cs="Arial" w:eastAsia="Arial" w:hAnsi="Arial"/>
          <w:sz w:val="18"/>
          <w:szCs w:val="18"/>
          <w:u w:val="single" w:color="auto"/>
          <w:color w:val="auto"/>
        </w:rPr>
        <w:t>Subject Shares</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WHEREAS, concurrently with the execution and delivery of the Merger Agreement, and as a condition and an inducement to Parent and Merger Sub entering into the Merger Agreement, each Holder is entering into this Agreement with respect to its Subject Shares; and</w:t>
      </w:r>
    </w:p>
    <w:p>
      <w:pPr>
        <w:spacing w:after="0" w:line="146"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WHEREAS, Parent and Merger Sub desire that each Holder agree, and each Holder is willing to agree, subject to the limitations herein, not to Transfer (as defined below) any of its Subject Shares (except as permitted in this Agreement), and to vote its Subject Shares that are outstanding as of the applicable record date in a manner so as to facilitate consummation of the Merger and the other transactions contemplated by the Merger Agreement.</w:t>
      </w:r>
    </w:p>
    <w:p>
      <w:pPr>
        <w:spacing w:after="0" w:line="14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NOW, THEREFORE, in consideration of the foregoing and the mutual covenants, representations, warranties and agreements contained herein, the receipt and sufficiency of which are hereby acknowledged, and intending to be legally bound hereby, the parties agree as follows:</w:t>
      </w:r>
    </w:p>
    <w:p>
      <w:pPr>
        <w:spacing w:after="0" w:line="14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This Agreement is one of the “Support Agreements” as defined in the Merger Agreement. Capitalized terms used but not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have the respective meanings set forth in the Merger Agreement.</w:t>
      </w:r>
    </w:p>
    <w:p>
      <w:pPr>
        <w:spacing w:after="0" w:line="58"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ectPr>
          <w:pgSz w:w="11900" w:h="16838" w:orient="portrait"/>
          <w:cols w:equalWidth="0" w:num="1">
            <w:col w:w="11020"/>
          </w:cols>
          <w:pgMar w:left="440" w:top="121" w:right="439" w:bottom="1440" w:gutter="0" w:footer="0" w:header="0"/>
        </w:sectPr>
      </w:pPr>
    </w:p>
    <w:bookmarkStart w:id="133" w:name="page134"/>
    <w:bookmarkEnd w:id="133"/>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Beneficial Owner</w:t>
      </w:r>
      <w:r>
        <w:rPr>
          <w:rFonts w:ascii="Arial" w:cs="Arial" w:eastAsia="Arial" w:hAnsi="Arial"/>
          <w:sz w:val="18"/>
          <w:szCs w:val="18"/>
          <w:color w:val="auto"/>
        </w:rPr>
        <w:t>” means, in respect of a security, the Person(s) who Beneficially Own(s) such security.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assigned to such term in Section 13(d)(3) of the Exchange Act and Regulation 13D-G thereunder.</w:t>
      </w:r>
    </w:p>
    <w:p>
      <w:pPr>
        <w:spacing w:after="0" w:line="117" w:lineRule="exact"/>
        <w:rPr>
          <w:sz w:val="20"/>
          <w:szCs w:val="20"/>
          <w:color w:val="auto"/>
        </w:rPr>
      </w:pPr>
    </w:p>
    <w:p>
      <w:pPr>
        <w:jc w:val="both"/>
        <w:ind w:left="220"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the spouse of an individual and the grandparents, parents, siblings and children (and children and spouses of any of the foregoing) of the individual or his or her spouse. An adopted child will be treated as a child of his or her adoptive parent or parents (but only if he or she was adopted before he or she reached 21 years of age).</w:t>
      </w:r>
    </w:p>
    <w:p>
      <w:pPr>
        <w:spacing w:after="0" w:line="76" w:lineRule="exact"/>
        <w:rPr>
          <w:sz w:val="20"/>
          <w:szCs w:val="20"/>
          <w:color w:val="auto"/>
        </w:rPr>
      </w:pPr>
    </w:p>
    <w:p>
      <w:pPr>
        <w:ind w:left="220" w:right="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means, only in a Transfer without consideration, (1) any controlled Affiliate of such Holder which remains such, (2) a partner or member, active or retired, of such Holder or a stockholder of such Holder, (3) the estate of any such Holder or a trust established for the benefit of the descendants or any relatives or spouse of such Holder, (4) a parent corporation or wholly-owned subsidiary of such Holder or to a wholly-owned subsidiary of such parent unless and until such transferee ceases to be a parent or wholly-owned subsidiary of the Holder or a wholly-owned subsidiary of such parent, or (5) a member of the Immediate Family of such Holder.</w:t>
      </w:r>
    </w:p>
    <w:p>
      <w:pPr>
        <w:spacing w:after="0" w:line="68" w:lineRule="exact"/>
        <w:rPr>
          <w:sz w:val="20"/>
          <w:szCs w:val="20"/>
          <w:color w:val="auto"/>
        </w:rPr>
      </w:pPr>
    </w:p>
    <w:p>
      <w:pPr>
        <w:ind w:left="2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in respect of a Holder’s Subject Shares, any direct or indirect: (1) offer, sale, lease, assignment, encumbrance, loan, pledge, gift, hedge, short sale, distribution, grant of a security interest, hypothecation, disposition or other similar transfer or disposal (including, for the avoidance of doubt, any deposit, submission or other tendering into any tender or exchange offer), change, limit or entry into or acquisition of any derivative arrangement, by operation of law or otherwise and whether voluntary or involuntary, (2) entry into any option, contract, agreement or other arrangement to do any of the foregoing in clause (1) and (3) entry into any swap or any other agreement, transaction or series of transactions that results in an amount of Subject Shares subject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that is less than the amount of Subject Shares subject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of the date hereof (including, in the case of each of clauses (1), (2) and (3), through the Transfer of any Person or any interest in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-47625</wp:posOffset>
            </wp:positionV>
            <wp:extent cx="285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RETAIN SHARES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Transfer and Encumbrance of Shares</w:t>
      </w:r>
      <w:r>
        <w:rPr>
          <w:rFonts w:ascii="Arial" w:cs="Arial" w:eastAsia="Arial" w:hAnsi="Arial"/>
          <w:sz w:val="18"/>
          <w:szCs w:val="18"/>
          <w:color w:val="auto"/>
        </w:rPr>
        <w:t>.</w:t>
      </w:r>
    </w:p>
    <w:p>
      <w:pPr>
        <w:spacing w:after="0" w:line="229" w:lineRule="exact"/>
        <w:rPr>
          <w:sz w:val="20"/>
          <w:szCs w:val="20"/>
          <w:color w:val="auto"/>
        </w:rPr>
      </w:pPr>
    </w:p>
    <w:p>
      <w:pPr>
        <w:ind w:right="40" w:firstLine="436"/>
        <w:spacing w:after="0" w:line="255"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From the date hereof until the Termination Date (as defined below), each Holder shall not (i) Transfer any of its Subject Shares except as permitted by this Agreement, (ii) deposit any of its Subject Shares into a voting trust or enter into a voting agreement or arrangement with respect to any of its Subject Shares or grant any proxy (except as otherwise provided herein) or power of attorney with respect thereto or (iii) give instructions with respect to the voting of any of its Subject Shares in any manner that is inconsistent or otherwise take any other action with respect to any of its Subject Shares that would in any way restrict, limit or interfere with the performance by such Holder of its obligations hereunder or the transactions contemplated hereby.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134" w:name="page135"/>
    <w:bookmarkEnd w:id="134"/>
    <w:p>
      <w:pPr>
        <w:ind w:left="700" w:hanging="264"/>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Notwithstanding </w:t>
      </w:r>
      <w:r>
        <w:rPr>
          <w:rFonts w:ascii="Arial" w:cs="Arial" w:eastAsia="Arial" w:hAnsi="Arial"/>
          <w:sz w:val="18"/>
          <w:szCs w:val="18"/>
          <w:u w:val="single" w:color="auto"/>
          <w:color w:val="auto"/>
        </w:rPr>
        <w:t>Section 2.1(a)</w:t>
      </w:r>
      <w:r>
        <w:rPr>
          <w:rFonts w:ascii="Arial" w:cs="Arial" w:eastAsia="Arial" w:hAnsi="Arial"/>
          <w:sz w:val="18"/>
          <w:szCs w:val="18"/>
          <w:color w:val="auto"/>
        </w:rPr>
        <w:t>, each Holder may Transfer its Subject Shares:</w:t>
      </w:r>
    </w:p>
    <w:p>
      <w:pPr>
        <w:spacing w:after="0" w:line="117" w:lineRule="exact"/>
        <w:rPr>
          <w:rFonts w:ascii="Arial" w:cs="Arial" w:eastAsia="Arial" w:hAnsi="Arial"/>
          <w:sz w:val="18"/>
          <w:szCs w:val="18"/>
          <w:color w:val="auto"/>
        </w:rPr>
      </w:pPr>
    </w:p>
    <w:p>
      <w:pPr>
        <w:ind w:left="440" w:right="100" w:firstLine="419"/>
        <w:spacing w:after="0" w:line="279" w:lineRule="auto"/>
        <w:tabs>
          <w:tab w:leader="none" w:pos="107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to one or more of its Affiliates or Permitted Transferees who, as a condition to the consummation of such Transfer, executes and delivers to Parent a written agreement, in form and substance reasonably acceptable to Parent, to assume such Holder’s obligations hereunder and to be bound by the terms of this Agreement to the same extent as such Holder is bound hereunder and to make each of the representations and warranties hereunder in respect of the Subject Shares transferred as such Holder shall have made hereunder;</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with the prior written consent of Parent; or</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connection with the satisfaction of the exercise price or a withholding tax liability incident to the vesting, exercise or settlement of any Company Stock Awards.</w:t>
      </w:r>
    </w:p>
    <w:p>
      <w:pPr>
        <w:spacing w:after="0" w:line="166"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Additional Purchases; Adjustments</w:t>
      </w:r>
      <w:r>
        <w:rPr>
          <w:rFonts w:ascii="Arial" w:cs="Arial" w:eastAsia="Arial" w:hAnsi="Arial"/>
          <w:sz w:val="17"/>
          <w:szCs w:val="17"/>
          <w:color w:val="auto"/>
        </w:rPr>
        <w:t>. Each Holder agrees that any Shares and any other shares of capital stock or other equity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that such Holder purchases or otherwise acquires or with respect to which such Holder otherwise acquires voting power after the execution of this Agreement and prior to the Termination Date shall be subject to the terms and conditions of this Agreement to the same extent as if they constituted such Holder’s Subject Shares as of the date hereof. Each Holder agrees that, in the event of any stock split, stock dividend, merger, reorganization, recapitalization, reclassification, combination, exchange of shares or the like of the capital stock of the Company affecting the Shares, the terms of this Agreement shall apply to resulting securities that are Beneficially Owned by such Holder.</w:t>
      </w:r>
    </w:p>
    <w:p>
      <w:pPr>
        <w:spacing w:after="0" w:line="173"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Unpermitted Transfers; Involuntary Transfers</w:t>
      </w:r>
      <w:r>
        <w:rPr>
          <w:rFonts w:ascii="Arial" w:cs="Arial" w:eastAsia="Arial" w:hAnsi="Arial"/>
          <w:sz w:val="18"/>
          <w:szCs w:val="18"/>
          <w:color w:val="auto"/>
        </w:rPr>
        <w:t>. Any Transfer or attempted Transfer of any Shares in violation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fullest extent permitted by Law,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If any involuntary Transfer of any of such Holder’s Subject Shares shall occur,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Termination Date.</w:t>
      </w:r>
    </w:p>
    <w:p>
      <w:pPr>
        <w:spacing w:after="0" w:line="183"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No Conversion of Class B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Except in connection with Transfers permitted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2.1(b)(ii)</w:t>
      </w:r>
      <w:r>
        <w:rPr>
          <w:rFonts w:ascii="Arial" w:cs="Arial" w:eastAsia="Arial" w:hAnsi="Arial"/>
          <w:sz w:val="17"/>
          <w:szCs w:val="17"/>
          <w:color w:val="auto"/>
        </w:rPr>
        <w:t>, each Holder agrees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without the prior written consent of Parent, such Holder shall not, prior to the Termination Date, convert, or permit or cause to be converted, any Class B Common Stock Beneficially Owned by such Holder into Class A Common Stock. Any conversion of Class B Common Stock in violation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to the fullest extent permitted by Law,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the Company shall not, and shall instruct its transfer agent and other third parties not to, record or recognize any such purported conversion on the share register of the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TO VOTE</w:t>
      </w:r>
    </w:p>
    <w:p>
      <w:pPr>
        <w:spacing w:after="0" w:line="207" w:lineRule="exact"/>
        <w:rPr>
          <w:sz w:val="20"/>
          <w:szCs w:val="20"/>
          <w:color w:val="auto"/>
        </w:rPr>
      </w:pPr>
    </w:p>
    <w:p>
      <w:pPr>
        <w:ind w:right="400" w:firstLine="440"/>
        <w:spacing w:after="0" w:line="281"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Agreement to Vote</w:t>
      </w:r>
      <w:r>
        <w:rPr>
          <w:rFonts w:ascii="Arial" w:cs="Arial" w:eastAsia="Arial" w:hAnsi="Arial"/>
          <w:sz w:val="17"/>
          <w:szCs w:val="17"/>
          <w:color w:val="auto"/>
        </w:rPr>
        <w:t>. Prior to the Termination Date, each Holder irrevocably and unconditionally agrees that it shall, at any meeting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of the Company (whether annual or special and whether or not an adjourned or postponed meeting), however called, appear at such meeting or otherwise cause such Holder’s Subject Shares that are outstanding as of the applicable record date to be counted as present thereat for purposes of establishing a quorum, and vote, or cause to be voted at such meeting, all such Subject Shares: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135" w:name="page136"/>
    <w:bookmarkEnd w:id="135"/>
    <w:p>
      <w:pPr>
        <w:ind w:right="60" w:firstLine="436"/>
        <w:spacing w:after="0" w:line="279" w:lineRule="auto"/>
        <w:tabs>
          <w:tab w:leader="none" w:pos="685"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favor of (A) the adoption of the Merger Agreement and, without limiting the penultimate sentence of this </w:t>
      </w:r>
      <w:r>
        <w:rPr>
          <w:rFonts w:ascii="Arial" w:cs="Arial" w:eastAsia="Arial" w:hAnsi="Arial"/>
          <w:sz w:val="17"/>
          <w:szCs w:val="17"/>
          <w:u w:val="single" w:color="auto"/>
          <w:color w:val="auto"/>
        </w:rPr>
        <w:t>Section 3.1</w:t>
      </w:r>
      <w:r>
        <w:rPr>
          <w:rFonts w:ascii="Arial" w:cs="Arial" w:eastAsia="Arial" w:hAnsi="Arial"/>
          <w:sz w:val="17"/>
          <w:szCs w:val="17"/>
          <w:color w:val="auto"/>
        </w:rPr>
        <w:t>, any amended and restated Merger Agreement or amendment to the Merger Agreement (the “</w:t>
      </w:r>
      <w:r>
        <w:rPr>
          <w:rFonts w:ascii="Arial" w:cs="Arial" w:eastAsia="Arial" w:hAnsi="Arial"/>
          <w:sz w:val="17"/>
          <w:szCs w:val="17"/>
          <w:u w:val="single" w:color="auto"/>
          <w:color w:val="auto"/>
        </w:rPr>
        <w:t>Merger Proposal</w:t>
      </w:r>
      <w:r>
        <w:rPr>
          <w:rFonts w:ascii="Arial" w:cs="Arial" w:eastAsia="Arial" w:hAnsi="Arial"/>
          <w:sz w:val="17"/>
          <w:szCs w:val="17"/>
          <w:color w:val="auto"/>
        </w:rPr>
        <w:t>”), and approving any other matters necessary for the consummation of the transactions contemplated by the Merger Agreement, including the Merger, and (B) any proposal to adjourn or postpone any such meeting of the stockholders of the Company to a later date if there are not sufficient votes to adopt the Merger Proposal;</w:t>
      </w:r>
    </w:p>
    <w:p>
      <w:pPr>
        <w:spacing w:after="0" w:line="171" w:lineRule="exact"/>
        <w:rPr>
          <w:rFonts w:ascii="Arial" w:cs="Arial" w:eastAsia="Arial" w:hAnsi="Arial"/>
          <w:sz w:val="17"/>
          <w:szCs w:val="17"/>
          <w:color w:val="auto"/>
        </w:rPr>
      </w:pPr>
    </w:p>
    <w:p>
      <w:pPr>
        <w:ind w:right="60" w:firstLine="436"/>
        <w:spacing w:after="0" w:line="269" w:lineRule="auto"/>
        <w:tabs>
          <w:tab w:leader="none" w:pos="69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against (A) any agreement, transaction or proposal that relates to an Acquisition Proposal or any other transaction, proposal, agreement or action made in opposition to adoption of the Merger Agreement or in competition or inconsistent with the Merger or matters contemplated by the Merger Agreement; (B) any action or agreement that would result in a breach of any covenant, representation or warranty or any other obligation or agreement of the Company or any of its Subsidiaries contained in the Merger Agreement or of such Holder contained in this Agreement; (C) any action or agreement that would reasonably be expected to result in (1) any condition to the consummation of the Merger set forth in Article VII of the Merger Agreement not being fulfilled or (2) any change to the voting rights of any class of shares of capital stock of the Company (including any amendments to the Company’s organizational documents); and (D) any other action that could reasonably be expected to impede, interfere with, delay, discourage, postpone or adversely affect any of the transactions contemplated by the Merger Agreement, including the Merger, or this Agreement. Any attempt by such Holder to vote, consent or express dissent with respect to (or otherwise to utilize the voting power of) its Subject Shares in contravention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If such Holder is the Beneficial Owner, but not the holder of record, of any of its Subject Shares, such Holder agrees to take all actions necessary to cause such holder of record and any nominees to vote (or exercise a consent with respect to) all of such Subject Shares in accordance with this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Notwithstanding anything herein to the contrary in this Agreement,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not require any Holder to be present (in person or by proxy) or vote (or cause to be voted) any of its Subject Shares to amend, modify or waive any provision of the Merger Agreement in a manner that reduces the amount or changes the form of the Merger Consideration payable, imposes any material restrictions on or additional material conditions on the payment of the Merger Consideration, extends the Outside Date or otherwise adversely affects such Holder (in its capacity as a stockholder of the Company) in any material respect. Notwithstanding anything to the contrary in this Agreement, each Holder shall remain free to vote (or execute consents or proxies with respect to) its Subject Shares with respect to any matter other than as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in any manner such Holder deems appropriate, including in connection with the election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-40640</wp:posOffset>
            </wp:positionV>
            <wp:extent cx="285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490" w:right="519" w:bottom="1440" w:gutter="0" w:footer="0" w:header="0"/>
        </w:sectPr>
      </w:pPr>
    </w:p>
    <w:bookmarkStart w:id="136" w:name="page137"/>
    <w:bookmarkEnd w:id="136"/>
    <w:p>
      <w:pPr>
        <w:ind w:right="2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w:t>
      </w:r>
      <w:r>
        <w:rPr>
          <w:rFonts w:ascii="Arial" w:cs="Arial" w:eastAsia="Arial" w:hAnsi="Arial"/>
          <w:sz w:val="17"/>
          <w:szCs w:val="17"/>
          <w:b w:val="1"/>
          <w:bCs w:val="1"/>
          <w:u w:val="single" w:color="auto"/>
          <w:color w:val="auto"/>
        </w:rPr>
        <w:t>Proxy</w:t>
      </w:r>
      <w:r>
        <w:rPr>
          <w:rFonts w:ascii="Arial" w:cs="Arial" w:eastAsia="Arial" w:hAnsi="Arial"/>
          <w:sz w:val="17"/>
          <w:szCs w:val="17"/>
          <w:color w:val="auto"/>
        </w:rPr>
        <w:t>. Each Holder hereby irrevocably appoints as its proxy and attorney-in-fact, Parent and any Person designated in writing by Parent,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them individually, with full power of substitution and resubstitution, to consent to or vote such Holder’s Subject Shares as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Each Holder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such Holder with respect to its Subject Shares (and such Holder hereby represents that any such proxy is revocable). The proxy granted by each Holder shall be automatically revoked upon the occurrence of the Termination Date, and Parent may further terminate this proxy at any time at its sole election by written notice provided to such Holder. Each Holder understands and acknowledges that Parent has entered into the Merger Agreement in reliance upon such Holder’s execution and delivery of this Agreement and hereby affirms that the irrevocable proxy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is given to secure the performance of the duties of such Holder under this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20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Waiver of Appraisal Rights; Litigation</w:t>
      </w:r>
      <w:r>
        <w:rPr>
          <w:rFonts w:ascii="Arial" w:cs="Arial" w:eastAsia="Arial" w:hAnsi="Arial"/>
          <w:sz w:val="17"/>
          <w:szCs w:val="17"/>
          <w:color w:val="auto"/>
        </w:rPr>
        <w:t>. To the fullest extent permitted by law, each Holder hereby irrevocably and unconditionally waives,</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agrees not to exercise or assert, any rights of appraisal (including under Section 262 of the DGCL) relating to the Merger that such Holder may have by virtue of the ownership of any of its Subject Shares or otherwise. Each Holder further agrees not to commence, join in, and agrees to take all actions necessary to opt out of any class in any class action with respect to, any claim, derivative or otherwise, against Parent, Merger Sub or the Company or any of their respective Affiliates or Representatives and each of their successors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 (b) alleging a breach of any fiduciary duty of the Company Board in connection with the negotiation, execution and delivery of this Agreement or the Merger Agreement or the consummation of the transactions contemplated hereby or thereby, and hereby irrevocably waives any claim or rights whatsoever with respect to any of the foregoing.</w:t>
      </w:r>
    </w:p>
    <w:p>
      <w:pPr>
        <w:spacing w:after="0" w:line="17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Holder agrees that from and after the date hereof and until the Termination Date, such Holder shall and shall cause</w:t>
      </w:r>
      <w:r>
        <w:rPr>
          <w:rFonts w:ascii="Arial" w:cs="Arial" w:eastAsia="Arial" w:hAnsi="Arial"/>
          <w:sz w:val="18"/>
          <w:szCs w:val="18"/>
          <w:b w:val="1"/>
          <w:bCs w:val="1"/>
          <w:color w:val="auto"/>
        </w:rPr>
        <w:t xml:space="preserve"> </w:t>
      </w:r>
      <w:r>
        <w:rPr>
          <w:rFonts w:ascii="Arial" w:cs="Arial" w:eastAsia="Arial" w:hAnsi="Arial"/>
          <w:sz w:val="18"/>
          <w:szCs w:val="18"/>
          <w:color w:val="auto"/>
        </w:rPr>
        <w:t>its controlled Affiliates to take no action that would reasonably be likely to adversely affect or delay the ability to perform its respective covenants and agreements under this Agreement.</w:t>
      </w:r>
    </w:p>
    <w:p>
      <w:pPr>
        <w:spacing w:after="0" w:line="176"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Fiduciary Duties</w:t>
      </w:r>
      <w:r>
        <w:rPr>
          <w:rFonts w:ascii="Arial" w:cs="Arial" w:eastAsia="Arial" w:hAnsi="Arial"/>
          <w:sz w:val="16"/>
          <w:szCs w:val="16"/>
          <w:color w:val="auto"/>
        </w:rPr>
        <w:t>. Each Holder is entering into this Agreement solely in its capacity as the Beneficial Owner of its Subject Shares and nothing</w:t>
      </w:r>
      <w:r>
        <w:rPr>
          <w:rFonts w:ascii="Arial" w:cs="Arial" w:eastAsia="Arial" w:hAnsi="Arial"/>
          <w:sz w:val="16"/>
          <w:szCs w:val="16"/>
          <w:b w:val="1"/>
          <w:bCs w:val="1"/>
          <w:color w:val="auto"/>
        </w:rPr>
        <w:t xml:space="preserve"> </w:t>
      </w:r>
      <w:r>
        <w:rPr>
          <w:rFonts w:ascii="Arial" w:cs="Arial" w:eastAsia="Arial" w:hAnsi="Arial"/>
          <w:sz w:val="16"/>
          <w:szCs w:val="16"/>
          <w:color w:val="auto"/>
        </w:rPr>
        <w:t>herein is intended to or shall limit or affect any actions taken by such Holder or any of such Holder’s designees serving in his or her capacity as a director or officer of the Company (or a Subsidiary of the Company). The taking of any actions (or failures to act) by such Holder or such Holder’s designees serving as a director of the Company (in such capacity as a director) shall not be deemed to constitute a breach of this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486" w:right="4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HOLDER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Holder hereby represents and warrants to Parent and Merger Sub as follows:</w:t>
      </w:r>
    </w:p>
    <w:p>
      <w:pPr>
        <w:spacing w:after="0" w:line="229" w:lineRule="exact"/>
        <w:rPr>
          <w:sz w:val="20"/>
          <w:szCs w:val="20"/>
          <w:color w:val="auto"/>
        </w:rPr>
      </w:pPr>
    </w:p>
    <w:p>
      <w:pPr>
        <w:ind w:right="140" w:firstLine="436"/>
        <w:spacing w:after="0" w:line="273" w:lineRule="auto"/>
        <w:tabs>
          <w:tab w:leader="none" w:pos="685"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As of the date hereof, such Holder does not own Beneficially Own any Shares any other shares of capital stock or other equity of the Company, other than such Holder’s Subject Shares listed opposite such Holder’s name or otherwise disclosed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Such Holder is the sole record and beneficial owner of all of such Holder’s Subject Shares, free and clear of all Liens of every nature whatsoever (including any restriction on the right to vote or otherwise Transfer such Subject Shares), except as provided under this Agreement, as noted on </w:t>
      </w:r>
      <w:r>
        <w:rPr>
          <w:rFonts w:ascii="Arial" w:cs="Arial" w:eastAsia="Arial" w:hAnsi="Arial"/>
          <w:sz w:val="17"/>
          <w:szCs w:val="17"/>
          <w:u w:val="single" w:color="auto"/>
          <w:color w:val="auto"/>
        </w:rPr>
        <w:t>Exhibit A</w:t>
      </w:r>
      <w:r>
        <w:rPr>
          <w:rFonts w:ascii="Arial" w:cs="Arial" w:eastAsia="Arial" w:hAnsi="Arial"/>
          <w:sz w:val="17"/>
          <w:szCs w:val="17"/>
          <w:color w:val="auto"/>
        </w:rPr>
        <w:t>, or pursuant to any applicable restrictions on transfer under the Securities Act and, as to such Subject Shares that are subject to vesting or forfeiture, except as provided in the applicable benefit plans and award agreements of the Company.</w:t>
      </w:r>
    </w:p>
    <w:p>
      <w:pPr>
        <w:spacing w:after="0" w:line="177" w:lineRule="exact"/>
        <w:rPr>
          <w:rFonts w:ascii="Arial" w:cs="Arial" w:eastAsia="Arial" w:hAnsi="Arial"/>
          <w:sz w:val="17"/>
          <w:szCs w:val="17"/>
          <w:color w:val="auto"/>
        </w:rPr>
      </w:pPr>
    </w:p>
    <w:p>
      <w:pPr>
        <w:ind w:right="40" w:firstLine="436"/>
        <w:spacing w:after="0" w:line="293" w:lineRule="auto"/>
        <w:tabs>
          <w:tab w:leader="none" w:pos="69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Power to Vote and Dispose of Shares</w:t>
      </w:r>
      <w:r>
        <w:rPr>
          <w:rFonts w:ascii="Arial" w:cs="Arial" w:eastAsia="Arial" w:hAnsi="Arial"/>
          <w:sz w:val="16"/>
          <w:szCs w:val="16"/>
          <w:color w:val="auto"/>
        </w:rPr>
        <w:t xml:space="preserve">. Such Holder has, with respect to its Subject Shares, power to vote, issue instructions with respect to the matters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agree to all of the matters set forth in this Agreement, take all actions required under this Agreement and Transfer its Subject Shares. Other than this Agreement, other than with respect to the Group of which the Holder is part, and other than applicable benefit plans and award agreements of the Company with respect to its Subject Shares that are subject to vesting or forfeiture, (i) there are no agreements or arrangements of any kind, contingent or otherwise, to which such Holder is a party obligating such Holder to Transfer or cause to be Transferred to any Person any of its Subject Shares and (ii) no Person has any contractual or other right or obligation to purchase or otherwise acquire any of its Subject Shares.</w:t>
      </w:r>
    </w:p>
    <w:p>
      <w:pPr>
        <w:spacing w:after="0" w:line="164" w:lineRule="exact"/>
        <w:rPr>
          <w:rFonts w:ascii="Arial" w:cs="Arial" w:eastAsia="Arial" w:hAnsi="Arial"/>
          <w:sz w:val="16"/>
          <w:szCs w:val="16"/>
          <w:color w:val="auto"/>
        </w:rPr>
      </w:pPr>
    </w:p>
    <w:p>
      <w:pPr>
        <w:ind w:right="100" w:firstLine="436"/>
        <w:spacing w:after="0" w:line="291"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If such Holder is an entity, such Holder is duly organized, validly existing and in good standing under the Laws of its jurisdiction of formation. Such Holder has full power and authority and is duly authorized to make, enter into and carry out the terms of this Agreement and to perform its obligations hereunder. If such Holder is an individual, such Holder has all necessary legal capacity, power and authority to make, enter into and carry out the terms of this Agreement and to perform its obligations hereunder. This Agreement has been duly and validly executed and delivered by such Holder and (assuming due authorization, execution and delivery by Parent) constitutes a valid and binding agreement of such Holder, enforceable against such Holder in accordance with its terms except to the extent that enforceability may be limited by the Enforceability Exceptions; and no other action is necessary to authorize the execution and delivery by such Holder or the performance of such Holder’s obligations hereunder.</w:t>
      </w:r>
    </w:p>
    <w:p>
      <w:pPr>
        <w:spacing w:after="0" w:line="166" w:lineRule="exact"/>
        <w:rPr>
          <w:rFonts w:ascii="Arial" w:cs="Arial" w:eastAsia="Arial" w:hAnsi="Arial"/>
          <w:sz w:val="16"/>
          <w:szCs w:val="16"/>
          <w:color w:val="auto"/>
        </w:rPr>
      </w:pPr>
    </w:p>
    <w:p>
      <w:pPr>
        <w:ind w:firstLine="436"/>
        <w:spacing w:after="0" w:line="272" w:lineRule="auto"/>
        <w:tabs>
          <w:tab w:leader="none" w:pos="695"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The execution, delivery and performance by such Holder of this Agreement will not (i) violate any provision of any Law applicable to such Holder or by which any of such Holder’s Subject Shares are bound; (ii) violate any order, judgment or decree applicable to such Holder or any of its Affiliates or by which any of such Holder’s Subject Shares are bound; or (iii) conflict with, or result in a breach or default under, any agreement or instrument to which such Holder or any of its Affiliates is a party or any term or condition of its certificate of formation, limited liability company agreement or comparable organizational documents, as applicable, except where such conflict, breach or default would not reasonably be expected to, individually or in the aggregate, have an adverse effect on such Holder’s ability to satisfy its obligations under this Agreement or to consummate the transactions contemplated hereby or by the Merger Agreement, including the Merger, on a timely basis.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86" w:right="459" w:bottom="1440" w:gutter="0" w:footer="0" w:header="0"/>
        </w:sectPr>
      </w:pPr>
    </w:p>
    <w:bookmarkStart w:id="138" w:name="page139"/>
    <w:bookmarkEnd w:id="138"/>
    <w:p>
      <w:pPr>
        <w:ind w:right="80" w:firstLine="436"/>
        <w:spacing w:after="0" w:line="311" w:lineRule="auto"/>
        <w:tabs>
          <w:tab w:leader="none" w:pos="68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Consents and Approvals</w:t>
      </w:r>
      <w:r>
        <w:rPr>
          <w:rFonts w:ascii="Arial" w:cs="Arial" w:eastAsia="Arial" w:hAnsi="Arial"/>
          <w:sz w:val="16"/>
          <w:szCs w:val="16"/>
          <w:color w:val="auto"/>
        </w:rPr>
        <w:t>. Neither the execution and delivery by such Holder of this Agreement, nor the performance of such Holder’s obligations hereunder, require such Holder or any of its Affiliates to obtain any consent, approval, authorization or permit of, or to make any filing with or notification to, any Governmental Authority or other Person, except such filings and authorizations as may be required under the Exchange Act.</w:t>
      </w:r>
    </w:p>
    <w:p>
      <w:pPr>
        <w:spacing w:after="0" w:line="148" w:lineRule="exact"/>
        <w:rPr>
          <w:rFonts w:ascii="Arial" w:cs="Arial" w:eastAsia="Arial" w:hAnsi="Arial"/>
          <w:sz w:val="16"/>
          <w:szCs w:val="16"/>
          <w:color w:val="auto"/>
        </w:rPr>
      </w:pPr>
    </w:p>
    <w:p>
      <w:pPr>
        <w:jc w:val="both"/>
        <w:ind w:right="80" w:firstLine="436"/>
        <w:spacing w:after="0" w:line="259"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To the knowledge of such Holder, as of the date hereof, there is no Legal Proceeding pending against, or threatened in writing against, such Holder that would reasonably be expected, individually or in the aggregate, to have an adverse effect on such Holder’s ability to satisfy its obligations under this Agreement or to consummate the transactions contemplated hereby or by the Merger Agreement, including the Merger, on a timely basis.</w:t>
      </w:r>
    </w:p>
    <w:p>
      <w:pPr>
        <w:spacing w:after="0" w:line="186" w:lineRule="exact"/>
        <w:rPr>
          <w:rFonts w:ascii="Arial" w:cs="Arial" w:eastAsia="Arial" w:hAnsi="Arial"/>
          <w:sz w:val="18"/>
          <w:szCs w:val="18"/>
          <w:color w:val="auto"/>
        </w:rPr>
      </w:pPr>
    </w:p>
    <w:p>
      <w:pPr>
        <w:ind w:firstLine="436"/>
        <w:spacing w:after="0" w:line="255"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Absence of Other Voting Agreements</w:t>
      </w:r>
      <w:r>
        <w:rPr>
          <w:rFonts w:ascii="Arial" w:cs="Arial" w:eastAsia="Arial" w:hAnsi="Arial"/>
          <w:sz w:val="18"/>
          <w:szCs w:val="18"/>
          <w:color w:val="auto"/>
        </w:rPr>
        <w:t>. None of the Subject Shares of such Holder is subject to any voting trust, proxy or other agreement, arrangement or restriction or other Lien with respect to voting, in each case, that is inconsistent with this Agreement, except as disclosed in the Company SEC Documents, as contemplated by this Agreement, or as disclosed in the Schedule 13D, as amended, currently filed by such Holder with respect to the Company. None of the Subject Shares of such Holder is subject to any pledge agreement pursuant to which such Holder does not retain voting rights with respect to its Subject Shares subject to such pledge agreement at least until the occurrence of an event of default under the related debt instrument.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80" w:firstLine="440"/>
        <w:spacing w:after="0" w:line="274"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No Solicitation</w:t>
      </w:r>
      <w:r>
        <w:rPr>
          <w:rFonts w:ascii="Arial" w:cs="Arial" w:eastAsia="Arial" w:hAnsi="Arial"/>
          <w:sz w:val="17"/>
          <w:szCs w:val="17"/>
          <w:color w:val="auto"/>
        </w:rPr>
        <w:t>. Each Holder agrees that it will not, and will cause its Affiliates not to, and will use reasonable best efforts to cause its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Representatives not to, directly or indirectly, take any action that would violate Section 5.2 of the Merger Agreement as if such Holder were deemed to be the Company for purposes of the Section 5.2 of the Merger Agreement. Notwithstanding the foregoing, in the event that the Company participates in discussions or negotiations with a Person regarding an Acquisition Proposal in accordance with Section 5.2 of the Merger Agreement, such Holder and/or any of its Representatives may engage in discussions or negotiations with such Person, provided that the Company remains at all times in full compliance with its obligations under Section 5.2 of the Merger Agreement.</w:t>
      </w:r>
    </w:p>
    <w:p>
      <w:pPr>
        <w:spacing w:after="0" w:line="173"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Non-Recourse</w:t>
      </w:r>
      <w:r>
        <w:rPr>
          <w:rFonts w:ascii="Arial" w:cs="Arial" w:eastAsia="Arial" w:hAnsi="Arial"/>
          <w:sz w:val="16"/>
          <w:szCs w:val="16"/>
          <w:color w:val="auto"/>
        </w:rPr>
        <w:t>. This Agreement may only be enforced against, and any claim or cause of action based upon, arising out of, or related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transactions contemplated by this Agreement may only be brought against, the individual and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or made under this Agreement (whether for indemnification or otherwise) or of or for any claim based on, arising out of, or related to this Agreement or the transactions contemplated by this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490" w:right="479" w:bottom="1440" w:gutter="0" w:footer="0" w:header="0"/>
        </w:sectPr>
      </w:pPr>
    </w:p>
    <w:bookmarkStart w:id="139" w:name="page140"/>
    <w:bookmarkEnd w:id="139"/>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No Ownership Interest</w:t>
      </w:r>
      <w:r>
        <w:rPr>
          <w:rFonts w:ascii="Arial" w:cs="Arial" w:eastAsia="Arial" w:hAnsi="Arial"/>
          <w:sz w:val="18"/>
          <w:szCs w:val="18"/>
          <w:color w:val="auto"/>
        </w:rPr>
        <w:t>. Nothing contained in this Agreement shall be deemed to vest in Parent any direct or indirect ownership or incidence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ownership of or with respect to the Subject Shares. All rights, ownership and economic benefits of and relating to the Subject Shares shall remain vested in and belong to the applicable Holder, and Parent shall not have any authority to manage, direct, restrict, regulate, govern or administer any of the policies or operations of the Company or exercise any power or authority to direct any Holder in the voting or disposition of any Subject Shares, except as otherwise expressly provided herein.</w:t>
      </w:r>
    </w:p>
    <w:p>
      <w:pPr>
        <w:spacing w:after="0" w:line="183"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Disclosure</w:t>
      </w:r>
      <w:r>
        <w:rPr>
          <w:rFonts w:ascii="Arial" w:cs="Arial" w:eastAsia="Arial" w:hAnsi="Arial"/>
          <w:sz w:val="16"/>
          <w:szCs w:val="16"/>
          <w:color w:val="auto"/>
        </w:rPr>
        <w:t>. Each Holder agrees that it will not, and will cause its controlled Affiliates not to, and will use reasonable best efforts to cause 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Representatives not to, make any public announcement or other communication to a third party regarding this Agreement or the transactions contemplated hereby without the prior written consent of Parent, except (a) to Affiliates and Representatives of such Holder or (b) as may be required by applicable Law (provided that, to the extent it is reasonably practicable and permitted by applicable Law, reasonable notice of any such disclosure required by applicable Law will be provided to Parent, and such Holder will consider in good faith the reasonable comments of Parent with respect to such disclosure and otherwise reasonably cooperate with Parent in obtaining confidential treatment with respect to such disclosure, in each case, at Parent’s sole cost and expense). Each Holder consents to and authorizes the publication and disclosure by the Company and Parent of such Holder’s identity and holding of its Subject Shares, and the terms of this Agreement (including, for avoidance of doubt, the disclosure of this Agreement), in any press release, the Proxy Statement and any other disclosure document required in connection with the Merger Agreement, the Merger and the transactions contemplated by the Merger Agreement. Each Holder agrees to, as promptly as reasonably practicable, give the Company and Parent any information with respect to such Holder’s Beneficial Ownership of its Subject Shares as the Company and Parent may reasonably require for the preparation of any such disclosure documents, and such Holder agrees to promptly notify the Company Parent of any required corrections with respect to any such information supplied by such Holder specifically for use in any such disclosure document, if and to the extent that any such information shall have, to the knowledge of such Holder, become false or misleading in any material respect.</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shall terminate at the earliest of: (i) the delivery of a written notice to Parent of a Company Board</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 Change in accordance with Section 5.3 of the Merger Agreement, (ii) the valid termination of the Merger Agreement in accordance with its terms, or (iii) the Effective Time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the termination of this Agreement. Neither the provisions of this </w:t>
      </w:r>
      <w:r>
        <w:rPr>
          <w:rFonts w:ascii="Arial" w:cs="Arial" w:eastAsia="Arial" w:hAnsi="Arial"/>
          <w:sz w:val="18"/>
          <w:szCs w:val="18"/>
          <w:u w:val="single" w:color="auto"/>
          <w:color w:val="auto"/>
        </w:rPr>
        <w:t>Section 6.55</w:t>
      </w:r>
      <w:r>
        <w:rPr>
          <w:rFonts w:ascii="Arial" w:cs="Arial" w:eastAsia="Arial" w:hAnsi="Arial"/>
          <w:sz w:val="18"/>
          <w:szCs w:val="18"/>
          <w:color w:val="auto"/>
        </w:rPr>
        <w:t xml:space="preserve"> nor the termination of this Agreement shall relieve (x) any party hereto from any liability of such party to any other party incurred prior to such termination or (y) any party hereto from any liability to any other party arising out of or in connection with a breach of this Agreement. Nothing in the Merger Agreement shall relieve any Holder from any liability arising out of or in connection with a breach of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486" w:right="479" w:bottom="1440" w:gutter="0" w:footer="0" w:header="0"/>
        </w:sectPr>
      </w:pPr>
    </w:p>
    <w:bookmarkStart w:id="140" w:name="page141"/>
    <w:bookmarkEnd w:id="140"/>
    <w:p>
      <w:pPr>
        <w:ind w:right="56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6.6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To the extent permitted by applicable Law and subject to the other provisions of this Agreement, this Agreement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the parties hereto at any time by execution of an instrument in writing signed on behalf of each of the parties hereto.</w:t>
      </w:r>
    </w:p>
    <w:p>
      <w:pPr>
        <w:spacing w:after="0" w:line="140"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Reliance</w:t>
      </w:r>
      <w:r>
        <w:rPr>
          <w:rFonts w:ascii="Arial" w:cs="Arial" w:eastAsia="Arial" w:hAnsi="Arial"/>
          <w:sz w:val="18"/>
          <w:szCs w:val="18"/>
          <w:color w:val="auto"/>
        </w:rPr>
        <w:t>. Each Holder understands and acknowledges that Parent, Merger Sub and the Company are entering into the Merger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such Holder’s execution and delivery of this Agreement.</w:t>
      </w:r>
    </w:p>
    <w:p>
      <w:pPr>
        <w:spacing w:after="0" w:line="162"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u w:val="single" w:color="auto"/>
          <w:color w:val="auto"/>
        </w:rPr>
        <w:t>Extension; Waiver</w:t>
      </w:r>
      <w:r>
        <w:rPr>
          <w:rFonts w:ascii="Arial" w:cs="Arial" w:eastAsia="Arial" w:hAnsi="Arial"/>
          <w:sz w:val="16"/>
          <w:szCs w:val="16"/>
          <w:color w:val="auto"/>
        </w:rPr>
        <w:t>. At any time and from time to time prior to the Effective Time, any party or parties hereto (it being agreed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extension or waiver by Parent also shall be an effective extension or waiver by Merger Sub) may, to the extent permitted by applicable Law and except as otherwise set forth herein, (a) extend the time for the performance of any of the obligations or other acts of the other party or parties hereto, as applicable, (b) waive any inaccuracies in the representations and warranties made to such party or parties hereto contained herein or in any document delivered pursuant hereto and (c) waive compliance with any of the agreements or conditions for the benefit of such party or parties hereto contained herein. Any agreement on the part of a party or parties hereto to any such extension or waiver (it being agreed that any agreement to an extension or waiver by Parent also shall be an effective extension or waiver by Merger Sub) shall be valid only if set forth in an instrument in writing signed on behalf of such party or parties, as applicable. Any delay in exercising any right under this Agreement shall not constitute a waiver of such right.</w:t>
      </w:r>
    </w:p>
    <w:p>
      <w:pPr>
        <w:spacing w:after="0" w:line="159"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All fees and expenses incurred in connection with this Agreement and the transactions contemplated hereby shall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incurring such fees or expenses, whether or not the Merger is consummated.</w:t>
      </w:r>
    </w:p>
    <w:p>
      <w:pPr>
        <w:spacing w:after="0" w:line="162"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and other communications hereunder shall be in writing and shall be deemed to have been duly delivered and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(a) two (2) Business Days after being sent by registered or certified mail, return receipt requested, postage prepaid, (b) one (1) Business Day after being sent for next Business Day delivery, fees prepaid, via a reputable nationwide overnight courier service, (c) immediately upon delivery by hand, or (d) on the date of receipt, if delivered by email (to the extent that no “bounce back” or similar message indicating non-delivery is received with respect thereto), in each case, to the intended recipient as set forth below (or to such other recipient or address as designated in a written notice to the other parties hereto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69" w:lineRule="exact"/>
        <w:rPr>
          <w:sz w:val="20"/>
          <w:szCs w:val="20"/>
          <w:color w:val="auto"/>
        </w:rPr>
      </w:pPr>
    </w:p>
    <w:p>
      <w:pPr>
        <w:ind w:left="1100" w:hanging="241"/>
        <w:spacing w:after="0"/>
        <w:tabs>
          <w:tab w:leader="none" w:pos="11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to any Holder, to the address or electronic mail set forth for such Holder on Exhibit A hereto.</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Biogen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legaldepartment@biogen.com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486" w:right="519" w:bottom="1440" w:gutter="0" w:footer="0" w:header="0"/>
        </w:sectPr>
      </w:pPr>
    </w:p>
    <w:bookmarkStart w:id="141" w:name="page142"/>
    <w:bookmarkEnd w:id="141"/>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River Acquisition,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legaldepartment@biogen.com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20" w:right="8000" w:firstLine="8"/>
        <w:spacing w:after="0" w:line="281" w:lineRule="auto"/>
        <w:tabs>
          <w:tab w:leader="none" w:pos="173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Attention: Faiza Saeed; Mark Greene; Aaron Gruber; Bethany Pfalzgraf</w:t>
      </w:r>
    </w:p>
    <w:p>
      <w:pPr>
        <w:spacing w:after="0" w:line="9"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Email: fsaeed@cravath.com; mgreene@cravath.com; agruber@cravath.com; bpfalzgraf@cravath.com</w:t>
      </w:r>
    </w:p>
    <w:p>
      <w:pPr>
        <w:spacing w:after="0" w:line="20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The parties have participated jointly in negotiating and drafting this Agreement. In the event that an ambiguity or a question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“knowledge” of a Holder means the actual knowledge of such Holder, if such Holder is an individual, or any officer of such Holder after due inquiry, if such Holder is an entity, and the “knowledge” of Parent or Merger Sub means the actual knowledge of the executive officers of Parent without investigation or further inquiry. As used herein, (a) “business day” shall have the meaning given to such term in Rule 14d-1(g) under the Exchange Act, and (b) an “Affiliate” means, with respect to any Person, any other Person directly or indirectly, controlling, controlled by, or under common control with, such Person, through one or more intermediaries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solely for purposes of this Agreement, notwithstanding anything to the contrary set forth herein, neither the Company nor any of its Subsidiaries shall be deemed to be a Subsidiary or Affiliate of any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for the avoidance of doubt, any member of a Holder shall be deemed an Affiliate such Holder;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an Affiliate of a Holder shall include any investment fund, vehicle or holding company of which such Holder or an Affiliate thereof serves as the general partner, managing member or discretionary manager or advisor;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notwithstanding the foregoing, an Affiliate of a Holder shall not include any portfolio company or other investment of such Holder or any Affiliate of such 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142" w:name="page143"/>
    <w:bookmarkEnd w:id="142"/>
    <w:p>
      <w:pPr>
        <w:ind w:right="16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6.12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shall become effective when one or more counterparts have been signed by each of the parties and delivered to the other party, it being understood that all parties need not sign the same counterpart. Delivery of an executed counterpart of a signature page to this Agreement by facsimile or other electronic transmission, including by e-mail attachment, shall be effective as delivery of a manually executed counterpart of this Agreement. Notwithstanding the foregoing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this Agreement shall not be effective unless and until the Merger Agreement is executed and delivered by all parties thereto.</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6.13 </w:t>
      </w:r>
      <w:r>
        <w:rPr>
          <w:rFonts w:ascii="Arial" w:cs="Arial" w:eastAsia="Arial" w:hAnsi="Arial"/>
          <w:sz w:val="17"/>
          <w:szCs w:val="17"/>
          <w:b w:val="1"/>
          <w:bCs w:val="1"/>
          <w:u w:val="single" w:color="auto"/>
          <w:color w:val="auto"/>
        </w:rPr>
        <w:t>No Partnership, Agency or Joint Venture</w:t>
      </w:r>
      <w:r>
        <w:rPr>
          <w:rFonts w:ascii="Arial" w:cs="Arial" w:eastAsia="Arial" w:hAnsi="Arial"/>
          <w:sz w:val="17"/>
          <w:szCs w:val="17"/>
          <w:color w:val="auto"/>
        </w:rPr>
        <w:t>. This Agreement is intended to create, and creates, a contractual relationship and is not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158"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b w:val="1"/>
          <w:bCs w:val="1"/>
          <w:color w:val="auto"/>
        </w:rPr>
        <w:t xml:space="preserve">6.14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(including any exhibits hereto), the Merger Agreement, the Confidentiality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instruments and other agreements among the parties hereto as contemplated by or referred to herein constitutes the entire agreement and supersedes all prior agreements and understandings, both written and oral, among the parties with respect to the subject matter hereof.</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Governing Law; Venue; Waiver of Jury Trial</w:t>
      </w:r>
      <w:r>
        <w:rPr>
          <w:rFonts w:ascii="Arial" w:cs="Arial" w:eastAsia="Arial" w:hAnsi="Arial"/>
          <w:sz w:val="18"/>
          <w:szCs w:val="18"/>
          <w:color w:val="auto"/>
        </w:rPr>
        <w:t>.</w:t>
      </w:r>
    </w:p>
    <w:p>
      <w:pPr>
        <w:spacing w:after="0" w:line="121" w:lineRule="exact"/>
        <w:rPr>
          <w:sz w:val="20"/>
          <w:szCs w:val="20"/>
          <w:color w:val="auto"/>
        </w:rPr>
      </w:pPr>
    </w:p>
    <w:p>
      <w:pPr>
        <w:ind w:left="440" w:right="120" w:firstLine="419"/>
        <w:spacing w:after="0" w:line="257" w:lineRule="auto"/>
        <w:tabs>
          <w:tab w:leader="none" w:pos="110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Agreement, including any claims or causes of action (whether in contract, tort or statute) that may be based upon, arise out of or relate to this Agreement, or the negotiation, execution or performance 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79" w:lineRule="exact"/>
        <w:rPr>
          <w:rFonts w:ascii="Arial" w:cs="Arial" w:eastAsia="Arial" w:hAnsi="Arial"/>
          <w:sz w:val="18"/>
          <w:szCs w:val="18"/>
          <w:color w:val="auto"/>
        </w:rPr>
      </w:pPr>
    </w:p>
    <w:p>
      <w:pPr>
        <w:ind w:left="440" w:right="40" w:firstLine="419"/>
        <w:spacing w:after="0" w:line="268" w:lineRule="auto"/>
        <w:tabs>
          <w:tab w:leader="none" w:pos="111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Each of the parties hereto (i)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or in such other manner as may be permitted by applicable Law, and nothing in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shall affect the right of any party to serve legal process in any other manner permitted by applicable Law; (ii)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 (iii) agrees that it will not attempt to deny or defeat such personal jurisdiction by motion or other request for leave from any such court; (iv)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(v) waives any objection that it may now or hereafter have to the venue of any such action or proceeding in any such court or that such action or proceeding was brought in an inconvenient court and agrees not to plead or claim the same;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86" w:right="459" w:bottom="1440" w:gutter="0" w:footer="0" w:header="0"/>
        </w:sectPr>
      </w:pPr>
    </w:p>
    <w:bookmarkStart w:id="143" w:name="page144"/>
    <w:bookmarkEnd w:id="143"/>
    <w:p>
      <w:pPr>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(vi) agrees that it will not bring any action relating to this Agreement or the transactions contemplated hereby in any court other than the aforesaid courts. Each party hereto agrees that a final judgment in any action or proceeding in such courts as provided above shall be conclusive and may be enforced in other jurisdictions by suit on the judgment or in any other manner provided by applicable Law.</w:t>
      </w:r>
    </w:p>
    <w:p>
      <w:pPr>
        <w:spacing w:after="0" w:line="57" w:lineRule="exact"/>
        <w:rPr>
          <w:sz w:val="20"/>
          <w:szCs w:val="20"/>
          <w:color w:val="auto"/>
        </w:rPr>
      </w:pPr>
    </w:p>
    <w:p>
      <w:pPr>
        <w:ind w:left="440" w:firstLine="419"/>
        <w:spacing w:after="0" w:line="270" w:lineRule="auto"/>
        <w:tabs>
          <w:tab w:leader="none" w:pos="110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EACH PARTY HEREBY IRREVOCABLY WAIVES ALL RIGHT TO TRIAL BY JURY IN ANY ACTION, PROCEEDING OR COUNTERCLAIM (WHETHER BASED ON CONTRACT, TORT OR OTHERWISE) DIRECTLY OR INDIRECTLY ARISING OUT OF OR RELATING TO THIS AGREEMENT, THE TRANSACTIONS CONTEMPLATED HEREBY OR THE ACTIONS OF ANY PARTY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177"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6.16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Neither this Agreement nor any of the rights, interests or obligations hereunder shall be assigned by any of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(whether by operation of law or otherwise) without the prior written consent of the other party. Any purported assignment in contravention hereof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Subject to the preceding sentence and except as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this Agreement will be binding upon, inure to the benefit of and be enforceable by the parties and their respective successors and permitted assigns.</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6.17 </w:t>
      </w: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The parties agree that irreparable damage, for which monetary damages would not be an adequate remedy, would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occur in the event that any of the provisions of this Agreement were not performed in accordance with their specific terms or were otherwise breached by the parties. Prior to the termination of this Agreement pursuant to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Arial" w:cs="Arial" w:eastAsia="Arial" w:hAnsi="Arial"/>
          <w:sz w:val="17"/>
          <w:szCs w:val="17"/>
          <w:u w:val="single" w:color="auto"/>
          <w:color w:val="auto"/>
        </w:rPr>
        <w:t>Section 6.177</w:t>
      </w:r>
      <w:r>
        <w:rPr>
          <w:rFonts w:ascii="Arial" w:cs="Arial" w:eastAsia="Arial" w:hAnsi="Arial"/>
          <w:sz w:val="17"/>
          <w:szCs w:val="17"/>
          <w:color w:val="auto"/>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Arial" w:cs="Arial" w:eastAsia="Arial" w:hAnsi="Arial"/>
          <w:sz w:val="17"/>
          <w:szCs w:val="17"/>
          <w:u w:val="single" w:color="auto"/>
          <w:color w:val="auto"/>
        </w:rPr>
        <w:t>Section 6.177</w:t>
      </w:r>
      <w:r>
        <w:rPr>
          <w:rFonts w:ascii="Arial" w:cs="Arial" w:eastAsia="Arial" w:hAnsi="Arial"/>
          <w:sz w:val="17"/>
          <w:szCs w:val="17"/>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Arial" w:cs="Arial" w:eastAsia="Arial" w:hAnsi="Arial"/>
          <w:sz w:val="17"/>
          <w:szCs w:val="17"/>
          <w:u w:val="single" w:color="auto"/>
          <w:color w:val="auto"/>
        </w:rPr>
        <w:t>Section 6.177</w:t>
      </w:r>
      <w:r>
        <w:rPr>
          <w:rFonts w:ascii="Arial" w:cs="Arial" w:eastAsia="Arial" w:hAnsi="Arial"/>
          <w:sz w:val="17"/>
          <w:szCs w:val="17"/>
          <w:color w:val="auto"/>
        </w:rPr>
        <w:t>, and each party irrevocably waives any right it may have to require the obtaining, furnishing or posting of any such bond or similar instrument.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490" w:right="499" w:bottom="1440" w:gutter="0" w:footer="0" w:header="0"/>
        </w:sectPr>
      </w:pPr>
    </w:p>
    <w:bookmarkStart w:id="144" w:name="page145"/>
    <w:bookmarkEnd w:id="144"/>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term or other provision of this Agreement, or the application thereof, is determined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invalid, illegal or incapable of being enforced by any rule of Law, or public policy, all other terms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w:t>
      </w:r>
    </w:p>
    <w:p>
      <w:pPr>
        <w:spacing w:after="0" w:line="18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6.19 </w:t>
      </w:r>
      <w:r>
        <w:rPr>
          <w:rFonts w:ascii="Arial" w:cs="Arial" w:eastAsia="Arial" w:hAnsi="Arial"/>
          <w:sz w:val="17"/>
          <w:szCs w:val="17"/>
          <w:b w:val="1"/>
          <w:bCs w:val="1"/>
          <w:u w:val="single" w:color="auto"/>
          <w:color w:val="auto"/>
        </w:rPr>
        <w:t>Liability</w:t>
      </w:r>
      <w:r>
        <w:rPr>
          <w:rFonts w:ascii="Arial" w:cs="Arial" w:eastAsia="Arial" w:hAnsi="Arial"/>
          <w:sz w:val="17"/>
          <w:szCs w:val="17"/>
          <w:color w:val="auto"/>
        </w:rPr>
        <w:t>. The rights and obligations of each of the Holders under this Agreement shall be several and not joint. All references to actions to be</w:t>
      </w:r>
      <w:r>
        <w:rPr>
          <w:rFonts w:ascii="Arial" w:cs="Arial" w:eastAsia="Arial" w:hAnsi="Arial"/>
          <w:sz w:val="17"/>
          <w:szCs w:val="17"/>
          <w:b w:val="1"/>
          <w:bCs w:val="1"/>
          <w:color w:val="auto"/>
        </w:rPr>
        <w:t xml:space="preserve"> </w:t>
      </w:r>
      <w:r>
        <w:rPr>
          <w:rFonts w:ascii="Arial" w:cs="Arial" w:eastAsia="Arial" w:hAnsi="Arial"/>
          <w:sz w:val="17"/>
          <w:szCs w:val="17"/>
          <w:color w:val="auto"/>
        </w:rPr>
        <w:t>taken by the Holders, or representations and warranties to be made, under this Agreement refer to actions to be taken or representations and warranties to be made by Holders acting severally and not jointly. Except for any liability for claims, losses, damages, liabilities or other obligations arising out of a Holder’s failure to perform its obligations hereunder, Parent agrees that no Holder (in its capacity as a Holder of its Subject Shares) will be liable for claims, losses, damages, liabilities or other obligations resulting from or relating to the Merger Agreement, including any breach by the Company of the Merger Agreement, and that the Company shall not be liable for claims, losses, damages, liabilities or other obligations resulting from or related to any Holder’s failure to perform its obligations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486" w:right="459" w:bottom="1440" w:gutter="0" w:footer="0" w:header="0"/>
        </w:sectPr>
      </w:pPr>
    </w:p>
    <w:bookmarkStart w:id="145" w:name="page146"/>
    <w:bookmarkEnd w:id="1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intending to be legally bound hereby, have executed or caused this Agreement to be executed in counterparts, all as of the day and year first above written.</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BIOGEN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Christopher A. Viehbacher</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President and Chief Executive Officer</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RIVER ACQUISITION,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Dambach</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10640"/>
          </w:cols>
          <w:pgMar w:left="440" w:top="490" w:right="819" w:bottom="1440" w:gutter="0" w:footer="0" w:header="0"/>
        </w:sectPr>
      </w:pPr>
    </w:p>
    <w:bookmarkStart w:id="146" w:name="page147"/>
    <w:bookmarkEnd w:id="146"/>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 Kent McGaughy,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R. Kent McGaughy, Jr.</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LAGOS TRUST</w:t>
      </w:r>
    </w:p>
    <w:p>
      <w:pPr>
        <w:spacing w:after="0" w:line="229"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Kent McGaughy,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R. Kent McGaughy, Jr.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Co-Trustee</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TRAWEEK CHILDREN’S TRUST</w:t>
      </w:r>
    </w:p>
    <w:p>
      <w:pPr>
        <w:spacing w:after="0" w:line="229"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Kent McGaughy,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R. Kent McGaughy, Jr.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Trustee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Voting and Support Agreement</w:t>
      </w:r>
      <w:r>
        <w:rPr>
          <w:rFonts w:ascii="Arial" w:cs="Arial" w:eastAsia="Arial" w:hAnsi="Arial"/>
          <w:sz w:val="16"/>
          <w:szCs w:val="16"/>
          <w:color w:val="auto"/>
        </w:rPr>
        <w: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Transact 2023 Page 2</w:t>
      </w:r>
    </w:p>
    <w:p>
      <w:pPr>
        <w:sectPr>
          <w:pgSz w:w="11900" w:h="16838" w:orient="portrait"/>
          <w:cols w:equalWidth="0" w:num="1">
            <w:col w:w="9019"/>
          </w:cols>
          <w:pgMar w:left="1440" w:top="486" w:right="1440" w:bottom="1440" w:gutter="0" w:footer="0" w:header="0"/>
        </w:sectPr>
      </w:pPr>
    </w:p>
    <w:bookmarkStart w:id="147" w:name="page148"/>
    <w:bookmarkEnd w:id="147"/>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CPMG,INC.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For itself and on behalf of each of</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Nighthawk Pattners, LP</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Barred Owl Partners,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Killdeer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Crested Crane,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Flamingo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Gallopavo,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Roadrunner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Sandpiper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Mallard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Yellow Warbler,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Kestrel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Willet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Elepaio Partners,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CD Fund,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Redbird Life Sciences Partners, LP.</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 managed account for Trustees of the University of</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Pennsylvania, and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 managed account of Blackwell Partners LLC - Series A</w:t>
      </w:r>
    </w:p>
    <w:p>
      <w:pPr>
        <w:spacing w:after="0" w:line="23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Kent McGaughy,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R. Kent McGaughy, Jr.</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Founder and Managing Partner</w:t>
      </w:r>
    </w:p>
    <w:p>
      <w:pPr>
        <w:spacing w:after="0" w:line="211"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Voting and Support Agreement</w:t>
      </w:r>
      <w:r>
        <w:rPr>
          <w:rFonts w:ascii="Arial" w:cs="Arial" w:eastAsia="Arial" w:hAnsi="Arial"/>
          <w:sz w:val="16"/>
          <w:szCs w:val="16"/>
          <w:color w:val="auto"/>
        </w:rPr>
        <w:t>]</w:t>
      </w:r>
    </w:p>
    <w:p>
      <w:pPr>
        <w:spacing w:after="0" w:line="24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Transact 2023 Page 3</w:t>
      </w:r>
    </w:p>
    <w:p>
      <w:pPr>
        <w:sectPr>
          <w:pgSz w:w="11900" w:h="16838" w:orient="portrait"/>
          <w:cols w:equalWidth="0" w:num="1">
            <w:col w:w="9760"/>
          </w:cols>
          <w:pgMar w:left="1440" w:top="486" w:right="699" w:bottom="1440" w:gutter="0" w:footer="0" w:header="0"/>
        </w:sectPr>
      </w:pPr>
    </w:p>
    <w:bookmarkStart w:id="148" w:name="page149"/>
    <w:bookmarkEnd w:id="148"/>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Ownership of Company Shares</w:t>
      </w:r>
      <w:r>
        <w:rPr>
          <w:rFonts w:ascii="Arial" w:cs="Arial" w:eastAsia="Arial" w:hAnsi="Arial"/>
          <w:sz w:val="23"/>
          <w:szCs w:val="23"/>
          <w:b w:val="1"/>
          <w:bCs w:val="1"/>
          <w:color w:val="auto"/>
          <w:vertAlign w:val="superscript"/>
        </w:rPr>
        <w:t>1</w:t>
      </w:r>
    </w:p>
    <w:p>
      <w:pPr>
        <w:sectPr>
          <w:pgSz w:w="11900" w:h="16838" w:orient="portrait"/>
          <w:cols w:equalWidth="0" w:num="1">
            <w:col w:w="11024"/>
          </w:cols>
          <w:pgMar w:left="436" w:top="486" w:right="439" w:bottom="1440" w:gutter="0" w:footer="0" w:header="0"/>
        </w:sectPr>
      </w:pPr>
    </w:p>
    <w:p>
      <w:pPr>
        <w:spacing w:after="0" w:line="172"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Name, Address and Email of</w:t>
      </w:r>
    </w:p>
    <w:p>
      <w:pPr>
        <w:spacing w:after="0" w:line="4"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Holder</w:t>
      </w:r>
    </w:p>
    <w:p>
      <w:pPr>
        <w:ind w:left="4"/>
        <w:spacing w:after="0" w:line="191" w:lineRule="auto"/>
        <w:rPr>
          <w:sz w:val="20"/>
          <w:szCs w:val="20"/>
          <w:color w:val="auto"/>
        </w:rPr>
      </w:pPr>
      <w:r>
        <w:rPr>
          <w:rFonts w:ascii="Arial" w:cs="Arial" w:eastAsia="Arial" w:hAnsi="Arial"/>
          <w:sz w:val="18"/>
          <w:szCs w:val="18"/>
          <w:color w:val="auto"/>
        </w:rPr>
        <w:t>R. Kent McGaughy, Jr.</w:t>
      </w:r>
      <w:r>
        <w:rPr>
          <w:rFonts w:ascii="Arial" w:cs="Arial" w:eastAsia="Arial" w:hAnsi="Arial"/>
          <w:sz w:val="26"/>
          <w:szCs w:val="26"/>
          <w:color w:val="auto"/>
          <w:vertAlign w:val="superscript"/>
        </w:rPr>
        <w:t>3</w:t>
      </w:r>
    </w:p>
    <w:p>
      <w:pPr>
        <w:spacing w:after="0" w:line="1" w:lineRule="exact"/>
        <w:rPr>
          <w:sz w:val="20"/>
          <w:szCs w:val="20"/>
          <w:color w:val="auto"/>
        </w:rPr>
      </w:pPr>
    </w:p>
    <w:p>
      <w:pPr>
        <w:ind w:left="184"/>
        <w:spacing w:after="0"/>
        <w:rPr>
          <w:sz w:val="20"/>
          <w:szCs w:val="20"/>
          <w:color w:val="auto"/>
        </w:rPr>
      </w:pPr>
      <w:r>
        <w:rPr>
          <w:rFonts w:ascii="Arial" w:cs="Arial" w:eastAsia="Arial" w:hAnsi="Arial"/>
          <w:sz w:val="18"/>
          <w:szCs w:val="18"/>
          <w:color w:val="auto"/>
        </w:rPr>
        <w:t>c/o CPMG, Inc.</w:t>
      </w:r>
    </w:p>
    <w:p>
      <w:pPr>
        <w:spacing w:after="0" w:line="7" w:lineRule="exact"/>
        <w:rPr>
          <w:sz w:val="20"/>
          <w:szCs w:val="20"/>
          <w:color w:val="auto"/>
        </w:rPr>
      </w:pPr>
    </w:p>
    <w:p>
      <w:pPr>
        <w:ind w:left="184"/>
        <w:spacing w:after="0"/>
        <w:rPr>
          <w:sz w:val="20"/>
          <w:szCs w:val="20"/>
          <w:color w:val="auto"/>
        </w:rPr>
      </w:pPr>
      <w:r>
        <w:rPr>
          <w:rFonts w:ascii="Arial" w:cs="Arial" w:eastAsia="Arial" w:hAnsi="Arial"/>
          <w:sz w:val="16"/>
          <w:szCs w:val="16"/>
          <w:color w:val="auto"/>
        </w:rPr>
        <w:t>2000 McKinney Ave, Ste 2125</w:t>
      </w:r>
    </w:p>
    <w:p>
      <w:pPr>
        <w:spacing w:after="0" w:line="32" w:lineRule="exact"/>
        <w:rPr>
          <w:sz w:val="20"/>
          <w:szCs w:val="20"/>
          <w:color w:val="auto"/>
        </w:rPr>
      </w:pPr>
    </w:p>
    <w:p>
      <w:pPr>
        <w:ind w:left="184"/>
        <w:spacing w:after="0"/>
        <w:rPr>
          <w:sz w:val="20"/>
          <w:szCs w:val="20"/>
          <w:color w:val="auto"/>
        </w:rPr>
      </w:pPr>
      <w:r>
        <w:rPr>
          <w:rFonts w:ascii="Arial" w:cs="Arial" w:eastAsia="Arial" w:hAnsi="Arial"/>
          <w:sz w:val="18"/>
          <w:szCs w:val="18"/>
          <w:color w:val="auto"/>
        </w:rPr>
        <w:t>Dallas TX 75201</w:t>
      </w:r>
    </w:p>
    <w:p>
      <w:pPr>
        <w:spacing w:after="0" w:line="23" w:lineRule="exact"/>
        <w:rPr>
          <w:sz w:val="20"/>
          <w:szCs w:val="20"/>
          <w:color w:val="auto"/>
        </w:rPr>
      </w:pPr>
    </w:p>
    <w:p>
      <w:pPr>
        <w:ind w:left="184"/>
        <w:spacing w:after="0"/>
        <w:rPr>
          <w:sz w:val="20"/>
          <w:szCs w:val="20"/>
          <w:color w:val="auto"/>
        </w:rPr>
      </w:pPr>
      <w:r>
        <w:rPr>
          <w:rFonts w:ascii="Arial" w:cs="Arial" w:eastAsia="Arial" w:hAnsi="Arial"/>
          <w:sz w:val="18"/>
          <w:szCs w:val="18"/>
          <w:color w:val="auto"/>
        </w:rPr>
        <w:t>kent@cpmg-inc.com</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rPr>
              <w:t>No. of Shares of</w:t>
            </w:r>
          </w:p>
        </w:tc>
        <w:tc>
          <w:tcPr>
            <w:tcW w:w="86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 of Shares of</w:t>
            </w:r>
          </w:p>
        </w:tc>
      </w:tr>
      <w:tr>
        <w:trPr>
          <w:trHeight w:val="171"/>
        </w:trPr>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 Common Stock</w:t>
            </w:r>
            <w:r>
              <w:rPr>
                <w:rFonts w:ascii="Arial" w:cs="Arial" w:eastAsia="Arial" w:hAnsi="Arial"/>
                <w:sz w:val="10"/>
                <w:szCs w:val="10"/>
                <w:b w:val="1"/>
                <w:bCs w:val="1"/>
                <w:color w:val="auto"/>
              </w:rPr>
              <w:t>2</w:t>
            </w:r>
          </w:p>
        </w:tc>
        <w:tc>
          <w:tcPr>
            <w:tcW w:w="2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Class B Common Stock</w:t>
            </w:r>
          </w:p>
        </w:tc>
      </w:tr>
      <w:tr>
        <w:trPr>
          <w:trHeight w:val="209"/>
        </w:trPr>
        <w:tc>
          <w:tcPr>
            <w:tcW w:w="8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5,020,431</w:t>
            </w:r>
          </w:p>
        </w:tc>
        <w:tc>
          <w:tcPr>
            <w:tcW w:w="86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2,063,064</w:t>
            </w:r>
          </w:p>
        </w:tc>
        <w:tc>
          <w:tcPr>
            <w:tcW w:w="40" w:type="dxa"/>
            <w:vAlign w:val="bottom"/>
          </w:tcPr>
          <w:p>
            <w:pPr>
              <w:spacing w:after="0"/>
              <w:rPr>
                <w:sz w:val="18"/>
                <w:szCs w:val="18"/>
                <w:color w:val="auto"/>
              </w:rPr>
            </w:pPr>
          </w:p>
        </w:tc>
      </w:tr>
      <w:tr>
        <w:trPr>
          <w:trHeight w:val="891"/>
        </w:trPr>
        <w:tc>
          <w:tcPr>
            <w:tcW w:w="8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-4027805</wp:posOffset>
            </wp:positionH>
            <wp:positionV relativeFrom="paragraph">
              <wp:posOffset>-710565</wp:posOffset>
            </wp:positionV>
            <wp:extent cx="6995160" cy="7112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7112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24" w:space="720"/>
            <w:col w:w="4680"/>
          </w:cols>
          <w:pgMar w:left="436" w:top="486" w:right="439" w:bottom="1440" w:gutter="0" w:footer="0" w:header="0"/>
          <w:type w:val="continuous"/>
        </w:sectPr>
      </w:pPr>
    </w:p>
    <w:tbl>
      <w:tblPr>
        <w:tblLayout w:type="fixed"/>
        <w:tblInd w:w="4" w:type="dxa"/>
        <w:tblCellMar>
          <w:top w:w="0" w:type="dxa"/>
          <w:left w:w="0" w:type="dxa"/>
          <w:bottom w:w="0" w:type="dxa"/>
          <w:right w:w="0" w:type="dxa"/>
        </w:tblCellMar>
      </w:tblPr>
      <w:tr>
        <w:trPr>
          <w:trHeight w:val="218"/>
        </w:trPr>
        <w:tc>
          <w:tcPr>
            <w:tcW w:w="4440" w:type="dxa"/>
            <w:vAlign w:val="bottom"/>
          </w:tcPr>
          <w:p>
            <w:pPr>
              <w:spacing w:after="0" w:line="217" w:lineRule="exact"/>
              <w:rPr>
                <w:sz w:val="20"/>
                <w:szCs w:val="20"/>
                <w:color w:val="auto"/>
              </w:rPr>
            </w:pPr>
            <w:r>
              <w:rPr>
                <w:rFonts w:ascii="Arial" w:cs="Arial" w:eastAsia="Arial" w:hAnsi="Arial"/>
                <w:sz w:val="17"/>
                <w:szCs w:val="17"/>
                <w:color w:val="auto"/>
              </w:rPr>
              <w:t>CPMG, Inc.</w:t>
            </w:r>
            <w:r>
              <w:rPr>
                <w:rFonts w:ascii="Arial" w:cs="Arial" w:eastAsia="Arial" w:hAnsi="Arial"/>
                <w:sz w:val="25"/>
                <w:szCs w:val="25"/>
                <w:color w:val="auto"/>
                <w:vertAlign w:val="superscript"/>
              </w:rPr>
              <w:t>4</w:t>
            </w:r>
          </w:p>
        </w:tc>
        <w:tc>
          <w:tcPr>
            <w:tcW w:w="5020" w:type="dxa"/>
            <w:vAlign w:val="bottom"/>
          </w:tcPr>
          <w:p>
            <w:pPr>
              <w:jc w:val="right"/>
              <w:ind w:right="710"/>
              <w:spacing w:after="0"/>
              <w:rPr>
                <w:sz w:val="20"/>
                <w:szCs w:val="20"/>
                <w:color w:val="auto"/>
              </w:rPr>
            </w:pPr>
            <w:r>
              <w:rPr>
                <w:rFonts w:ascii="Arial" w:cs="Arial" w:eastAsia="Arial" w:hAnsi="Arial"/>
                <w:sz w:val="18"/>
                <w:szCs w:val="18"/>
                <w:color w:val="auto"/>
              </w:rPr>
              <w:t>4,589,758</w:t>
            </w:r>
          </w:p>
        </w:tc>
        <w:tc>
          <w:tcPr>
            <w:tcW w:w="1500" w:type="dxa"/>
            <w:vAlign w:val="bottom"/>
          </w:tcPr>
          <w:p>
            <w:pPr>
              <w:jc w:val="right"/>
              <w:spacing w:after="0"/>
              <w:rPr>
                <w:sz w:val="20"/>
                <w:szCs w:val="20"/>
                <w:color w:val="auto"/>
              </w:rPr>
            </w:pPr>
            <w:r>
              <w:rPr>
                <w:rFonts w:ascii="Arial" w:cs="Arial" w:eastAsia="Arial" w:hAnsi="Arial"/>
                <w:sz w:val="18"/>
                <w:szCs w:val="18"/>
                <w:color w:val="auto"/>
              </w:rPr>
              <w:t>1,692,857</w:t>
            </w:r>
          </w:p>
        </w:tc>
      </w:tr>
    </w:tbl>
    <w:p>
      <w:pPr>
        <w:ind w:left="184"/>
        <w:spacing w:after="0"/>
        <w:rPr>
          <w:sz w:val="20"/>
          <w:szCs w:val="20"/>
          <w:color w:val="auto"/>
        </w:rPr>
      </w:pPr>
      <w:r>
        <w:rPr>
          <w:rFonts w:ascii="Arial" w:cs="Arial" w:eastAsia="Arial" w:hAnsi="Arial"/>
          <w:sz w:val="18"/>
          <w:szCs w:val="18"/>
          <w:color w:val="auto"/>
        </w:rPr>
        <w:t>2000 McKinney Ave, Ste 2125</w:t>
      </w:r>
    </w:p>
    <w:p>
      <w:pPr>
        <w:spacing w:after="0" w:line="7" w:lineRule="exact"/>
        <w:rPr>
          <w:sz w:val="20"/>
          <w:szCs w:val="20"/>
          <w:color w:val="auto"/>
        </w:rPr>
      </w:pPr>
    </w:p>
    <w:p>
      <w:pPr>
        <w:ind w:left="184"/>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ind w:left="184"/>
        <w:spacing w:after="0"/>
        <w:rPr>
          <w:sz w:val="20"/>
          <w:szCs w:val="20"/>
          <w:color w:val="auto"/>
        </w:rPr>
      </w:pPr>
      <w:r>
        <w:rPr>
          <w:rFonts w:ascii="Arial" w:cs="Arial" w:eastAsia="Arial" w:hAnsi="Arial"/>
          <w:sz w:val="18"/>
          <w:szCs w:val="18"/>
          <w:color w:val="auto"/>
        </w:rPr>
        <w:t>jb@cpmg-inc.com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444" w:right="200" w:hanging="444"/>
        <w:spacing w:after="0" w:line="207" w:lineRule="auto"/>
        <w:tabs>
          <w:tab w:leader="none" w:pos="444" w:val="left"/>
        </w:tabs>
        <w:numPr>
          <w:ilvl w:val="0"/>
          <w:numId w:val="162"/>
        </w:numPr>
        <w:rPr>
          <w:rFonts w:ascii="Arial" w:cs="Arial" w:eastAsia="Arial" w:hAnsi="Arial"/>
          <w:sz w:val="27"/>
          <w:szCs w:val="27"/>
          <w:color w:val="auto"/>
          <w:vertAlign w:val="superscript"/>
        </w:rPr>
      </w:pPr>
      <w:r>
        <w:rPr>
          <w:rFonts w:ascii="Arial" w:cs="Arial" w:eastAsia="Arial" w:hAnsi="Arial"/>
          <w:sz w:val="18"/>
          <w:szCs w:val="18"/>
          <w:color w:val="auto"/>
        </w:rPr>
        <w:t>The Holders jointly file a beneficial ownership report on Schedule 13D and may be deemed a group with beneficial ownership of shares held by other Holders in the group and to the extent set forth in the Schedule 13D, as amended.</w:t>
      </w:r>
    </w:p>
    <w:p>
      <w:pPr>
        <w:ind w:left="444" w:right="20" w:hanging="444"/>
        <w:spacing w:after="0" w:line="241" w:lineRule="auto"/>
        <w:tabs>
          <w:tab w:leader="none" w:pos="444" w:val="left"/>
        </w:tabs>
        <w:numPr>
          <w:ilvl w:val="0"/>
          <w:numId w:val="163"/>
        </w:numPr>
        <w:rPr>
          <w:rFonts w:ascii="Arial" w:cs="Arial" w:eastAsia="Arial" w:hAnsi="Arial"/>
          <w:sz w:val="24"/>
          <w:szCs w:val="24"/>
          <w:color w:val="auto"/>
          <w:vertAlign w:val="superscript"/>
        </w:rPr>
      </w:pPr>
      <w:r>
        <w:rPr>
          <w:rFonts w:ascii="Arial" w:cs="Arial" w:eastAsia="Arial" w:hAnsi="Arial"/>
          <w:sz w:val="16"/>
          <w:szCs w:val="16"/>
          <w:color w:val="auto"/>
        </w:rPr>
        <w:t>Each share of Class B Common Stock may be converted at the option of the holder into a shares of Class A Common Stock at any time. Accordingly, each Holder listed on this Exhibit A has beneficial ownership of the number of shares of Class A Common Stock equal to the number of shares of Class B Common Stock Beneficially Owned by such Holder and Class A Common Stock totals include all shares of Class B Common</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Stock beneficially owned on as as-converted basis.</w:t>
      </w:r>
    </w:p>
    <w:p>
      <w:pPr>
        <w:spacing w:after="0" w:line="9" w:lineRule="exact"/>
        <w:rPr>
          <w:sz w:val="20"/>
          <w:szCs w:val="20"/>
          <w:color w:val="auto"/>
        </w:rPr>
      </w:pPr>
    </w:p>
    <w:p>
      <w:pPr>
        <w:ind w:left="444" w:right="20" w:hanging="444"/>
        <w:spacing w:after="0" w:line="265" w:lineRule="auto"/>
        <w:tabs>
          <w:tab w:leader="none" w:pos="444" w:val="left"/>
        </w:tabs>
        <w:numPr>
          <w:ilvl w:val="0"/>
          <w:numId w:val="164"/>
        </w:numPr>
        <w:rPr>
          <w:rFonts w:ascii="Arial" w:cs="Arial" w:eastAsia="Arial" w:hAnsi="Arial"/>
          <w:sz w:val="24"/>
          <w:szCs w:val="24"/>
          <w:color w:val="auto"/>
          <w:vertAlign w:val="superscript"/>
        </w:rPr>
      </w:pPr>
      <w:r>
        <w:rPr>
          <w:rFonts w:ascii="Arial" w:cs="Arial" w:eastAsia="Arial" w:hAnsi="Arial"/>
          <w:sz w:val="16"/>
          <w:szCs w:val="16"/>
          <w:color w:val="auto"/>
        </w:rPr>
        <w:t>Consists of 25,004 shares of Class A Common Stock and 278,309 shares of Class B Common Stock held by R. Kent McGaughy, Jr. over which he has sole voting and investment control, 4,591 shares of Class A Common Stock and 51,095 shares of Class B Common Stock held by Lagos Trust, of which Mr. McGaughy, Jr. is trustee and has shared voting and investment control with Emily M. McGaughy, 280 shares of Class A Common Stock and 3,109 shares of Class B Common Stock held by Traweek Children’s Trust, of which Mr. McGaughy, Jr. is trustee and has sole voting and investment control, an aggregate of 2,896,901 shares of Class A Common Stock and 1,692,857 shares of Class B Common Stock held directly by CPMG or in various funds for which CPMG, Inc. is the investment manager and for which Mr. McGaughy, Jr. has shared voting and investment control with CPMG, 37,694 shares of Class B Common Stock issuable pursuant to currently exercisable stock options, 29,115 shares of Class A Common Stock issuable pursuant to currently exercisable stock options and 1,476 shares of Class A Common Stock issuable pursuant</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stock options that will become exercisable within 60 days after July 27, 2023.</w:t>
      </w:r>
    </w:p>
    <w:p>
      <w:pPr>
        <w:ind w:left="444" w:hanging="444"/>
        <w:spacing w:after="0" w:line="180" w:lineRule="auto"/>
        <w:tabs>
          <w:tab w:leader="none" w:pos="444" w:val="left"/>
        </w:tabs>
        <w:numPr>
          <w:ilvl w:val="0"/>
          <w:numId w:val="165"/>
        </w:numPr>
        <w:rPr>
          <w:rFonts w:ascii="Arial" w:cs="Arial" w:eastAsia="Arial" w:hAnsi="Arial"/>
          <w:sz w:val="26"/>
          <w:szCs w:val="26"/>
          <w:color w:val="auto"/>
          <w:vertAlign w:val="superscript"/>
        </w:rPr>
      </w:pPr>
      <w:r>
        <w:rPr>
          <w:rFonts w:ascii="Arial" w:cs="Arial" w:eastAsia="Arial" w:hAnsi="Arial"/>
          <w:sz w:val="17"/>
          <w:szCs w:val="17"/>
          <w:color w:val="auto"/>
        </w:rPr>
        <w:t>These shares are held for the following accounts:</w:t>
      </w:r>
    </w:p>
    <w:p>
      <w:pPr>
        <w:spacing w:after="0" w:line="110" w:lineRule="exact"/>
        <w:rPr>
          <w:rFonts w:ascii="Arial" w:cs="Arial" w:eastAsia="Arial" w:hAnsi="Arial"/>
          <w:sz w:val="26"/>
          <w:szCs w:val="26"/>
          <w:color w:val="auto"/>
          <w:vertAlign w:val="superscript"/>
        </w:rPr>
      </w:pPr>
    </w:p>
    <w:p>
      <w:pPr>
        <w:ind w:left="444"/>
        <w:spacing w:after="0" w:line="266" w:lineRule="auto"/>
        <w:rPr>
          <w:rFonts w:ascii="Arial" w:cs="Arial" w:eastAsia="Arial" w:hAnsi="Arial"/>
          <w:sz w:val="26"/>
          <w:szCs w:val="26"/>
          <w:color w:val="auto"/>
          <w:vertAlign w:val="superscript"/>
        </w:rPr>
      </w:pPr>
      <w:r>
        <w:rPr>
          <w:rFonts w:ascii="Arial" w:cs="Arial" w:eastAsia="Arial" w:hAnsi="Arial"/>
          <w:sz w:val="17"/>
          <w:szCs w:val="17"/>
          <w:color w:val="auto"/>
        </w:rPr>
        <w:t>(A) 160,265 shares of Class A Common Stock and 307,776 shares of Class A Common Stock obtainable upon conversion of shares of Class B Common Stock held for the account of Kestrel Fund; (B) 282,246 shares of Class A Common Stock and 114,946 shares of Class A Common Stock obtainable upon conversion of shares of Class B Common Stock held for the account of Willet Fund; (C) 11,076 shares of Class A Common Stock and 123,279 shares of Class A Common Stock obtainable upon conversion of shares of Class B Common Stock held for the account of CD Fund; (D) 109,415 shares of Class A Common Stock and 150,186 shares of Class A Common Stock obtainable upon conversion of shares of Class B Common Stock held for the account of Mallard Fund; (E) 431,155 shares of Class A Common Stock and 993,929 shares of Class A Common Stock obtainable upon conversion of shares of Class B Common Stock held for the account of Yellow Warbler; (F) 134 shares of Class A Common Stock and 1,490 shares of Class A Common Stock obtainable upon conversion of shares of Class B Common Stock held for the account of Redbird Life Sciences Partners; (G) 37,909 shares of Class A Common Stock held for the account of Crested Crane; (H) 442,560 shares of Class A Common Stock held for the account of Gallopavo; (I) 748,253 shares of Class A Common Stock held for the account of Roadrunner Fund; (J) 334,740 shares of Class A Common Stock held for the account of Sandpiper Fund; (K) 137,962 shares of Class A Common Stock held for the account of Killdeer Fund; (L) 44,200 shares of Class A Common Stock held for the account of Barred Owl; (M) 34,897 shares of Class A Common Stock held for the account of UPenn Managed Account; (N) 116,512 shares of Class A Common Stock held for the account of Nighthawk Partners, LP; (O) 5,464 shares of Class A Common Stock held for the account of Elepaio Partners, LP; and (P) 113 shares of Class A Common Stock and 1,251 shares of Class A Common Stock obtainable upon conversion of shares of Class B Common Stock held directly by CPMG.</w:t>
      </w:r>
    </w:p>
    <w:p>
      <w:pPr>
        <w:sectPr>
          <w:pgSz w:w="11900" w:h="16838" w:orient="portrait"/>
          <w:cols w:equalWidth="0" w:num="1">
            <w:col w:w="11024"/>
          </w:cols>
          <w:pgMar w:left="436" w:top="486" w:right="43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VOTING AND SUPPORT AGREEMENT</w:t>
      </w:r>
    </w:p>
    <w:p>
      <w:pPr>
        <w:spacing w:after="0" w:line="229"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THIS VOTING AND SUPPORT AGREEMENT is dated as of July 28, 2023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by and among each stockholder of Reata Pharmaceuticals, Inc., a Delaware corporation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set forth on Exhibit A hereto (each a “</w:t>
      </w:r>
      <w:r>
        <w:rPr>
          <w:rFonts w:ascii="Arial" w:cs="Arial" w:eastAsia="Arial" w:hAnsi="Arial"/>
          <w:sz w:val="16"/>
          <w:szCs w:val="16"/>
          <w:u w:val="single" w:color="auto"/>
          <w:color w:val="auto"/>
        </w:rPr>
        <w:t>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Biogen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River Acquisition, Inc., a Delaware corporation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WHEREAS, the Company, Parent and Merger Sub are entering into an Agreement and Plan of Merger dated as of the date hereof (as the same may be amended or supplemented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providing for, among other things, the merger of Merger Sub, a wholly owned Subsidiary of Parent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which the Company shall be the Surviving Corporation and shall continue its corporate existence under the laws of the State of Delaware as a wholly owned Subsidiary of Parent, on the terms and subject to the conditions of the Merger Agreement;</w:t>
      </w:r>
    </w:p>
    <w:p>
      <w:pPr>
        <w:spacing w:after="0" w:line="18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WHEREAS, as of the date hereof, each Holder Beneficially Owns (as defined below) such number of Shares of Class A Common Stock and Class B Common Stock set forth opposite such 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(with respect to each Holder, such Shares are referred to herein as such Holder’s “</w:t>
      </w:r>
      <w:r>
        <w:rPr>
          <w:rFonts w:ascii="Arial" w:cs="Arial" w:eastAsia="Arial" w:hAnsi="Arial"/>
          <w:sz w:val="18"/>
          <w:szCs w:val="18"/>
          <w:u w:val="single" w:color="auto"/>
          <w:color w:val="auto"/>
        </w:rPr>
        <w:t>Subject Shares</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WHEREAS, concurrently with the execution and delivery of the Merger Agreement, and as a condition and an inducement to Parent and Merger Sub entering into the Merger Agreement, each Holder is entering into this Agreement with respect to its Subject Shares; and</w:t>
      </w:r>
    </w:p>
    <w:p>
      <w:pPr>
        <w:spacing w:after="0" w:line="146"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WHEREAS, Parent and Merger Sub desire that each Holder agree, and each Holder is willing to agree, subject to the limitations herein, not to Transfer (as defined below) any of its Subject Shares (except as permitted in this Agreement), and to vote its Subject Shares that are outstanding as of the applicable record date in a manner so as to facilitate consummation of the Merger and the other transactions contemplated by the Merger Agreement.</w:t>
      </w:r>
    </w:p>
    <w:p>
      <w:pPr>
        <w:spacing w:after="0" w:line="14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NOW, THEREFORE, in consideration of the foregoing and the mutual covenants, representations, warranties and agreements contained herein, the receipt and sufficiency of which are hereby acknowledged, and intending to be legally bound hereby, the parties agree as follows:</w:t>
      </w:r>
    </w:p>
    <w:p>
      <w:pPr>
        <w:spacing w:after="0" w:line="3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This Agreement is one of the “Support Agreements” as defined in the Merger Agreement. Capitalized terms used but not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have the respective meanings set forth in the Merger Agreement.</w:t>
      </w:r>
    </w:p>
    <w:p>
      <w:pPr>
        <w:spacing w:after="0" w:line="58"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ectPr>
          <w:pgSz w:w="11900" w:h="16838" w:orient="portrait"/>
          <w:cols w:equalWidth="0" w:num="1">
            <w:col w:w="11020"/>
          </w:cols>
          <w:pgMar w:left="440" w:top="121" w:right="439" w:bottom="1440" w:gutter="0" w:footer="0" w:header="0"/>
        </w:sectPr>
      </w:pPr>
    </w:p>
    <w:bookmarkStart w:id="150" w:name="page151"/>
    <w:bookmarkEnd w:id="15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Beneficial Owner</w:t>
      </w:r>
      <w:r>
        <w:rPr>
          <w:rFonts w:ascii="Arial" w:cs="Arial" w:eastAsia="Arial" w:hAnsi="Arial"/>
          <w:sz w:val="18"/>
          <w:szCs w:val="18"/>
          <w:color w:val="auto"/>
        </w:rPr>
        <w:t>” means, in respect of a security, the Person(s) who Beneficially Own(s) such security.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assigned to such term in Section 13(d)(3) of the Exchange Act and Regulation 13D-G thereunder.</w:t>
      </w:r>
    </w:p>
    <w:p>
      <w:pPr>
        <w:spacing w:after="0" w:line="117" w:lineRule="exact"/>
        <w:rPr>
          <w:sz w:val="20"/>
          <w:szCs w:val="20"/>
          <w:color w:val="auto"/>
        </w:rPr>
      </w:pPr>
    </w:p>
    <w:p>
      <w:pPr>
        <w:ind w:left="42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the spouse of an individual and the grandparents, parents, siblings and children (and children and spouses of any of the foregoing) of the individual or his or her spouse. An adopted child will be treated as a child of his or her adoptive parent or parents (but only if he or she was adopted before he or she reached 21 years of age).</w:t>
      </w:r>
    </w:p>
    <w:p>
      <w:pPr>
        <w:spacing w:after="0" w:line="76" w:lineRule="exact"/>
        <w:rPr>
          <w:sz w:val="20"/>
          <w:szCs w:val="20"/>
          <w:color w:val="auto"/>
        </w:rPr>
      </w:pPr>
    </w:p>
    <w:p>
      <w:pPr>
        <w:ind w:left="420" w:right="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means, only in a Transfer without consideration, (1) any controlled Affiliate of such Holder which remains such, (2) a partner or member, active or retired, of such Holder or a stockholder of such Holder, (3) the estate of any such Holder or a trust established for the benefit of the descendants or any relatives or spouse of such Holder, (4) a parent corporation or wholly-owned subsidiary of such Holder or to a wholly-owned subsidiary of such parent unless and until such transferee ceases to be a parent or wholly-owned subsidiary of the Holder or a wholly-owned subsidiary of such parent, or (5) a member of the Immediate Family of such Holder.</w:t>
      </w:r>
    </w:p>
    <w:p>
      <w:pPr>
        <w:spacing w:after="0" w:line="68" w:lineRule="exact"/>
        <w:rPr>
          <w:sz w:val="20"/>
          <w:szCs w:val="20"/>
          <w:color w:val="auto"/>
        </w:rPr>
      </w:pPr>
    </w:p>
    <w:p>
      <w:pPr>
        <w:ind w:left="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in respect of a Holder’s Subject Shares, any direct or indirect: (1) offer, sale, lease, assignment, encumbrance, loan, pledge, gift, hedge, short sale, distribution, grant of a security interest, hypothecation, disposition or other similar transfer or disposal (including, for the avoidance of doubt, any deposit, submission or other tendering into any tender or exchange offer), change, limit or entry into or acquisition of any derivative arrangement, by operation of law or otherwise and whether voluntary or involuntary, (2) entry into any option, contract, agreement or other arrangement to do any of the foregoing in clause (1) and (3) entry into any swap or any other agreement, transaction or series of transactions that results in an amount of Subject Shares subject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that is less than the amount of Subject Shares subject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of the date hereof (including, in the case of each of clauses (1), (2) and (3), through the Transfer of any Person or any interest in any Person).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RETAIN SHARES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Transfer and Encumbrance of Shares</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40" w:firstLine="436"/>
        <w:spacing w:after="0" w:line="255" w:lineRule="auto"/>
        <w:tabs>
          <w:tab w:leader="none" w:pos="6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From the date hereof until the Termination Date (as defined below), each Holder shall not (i) Transfer any of its Subject Shares except as permitted by this Agreement, (ii) deposit any of its Subject Shares into a voting trust or enter into a voting agreement or arrangement with respect to any of its Subject Shares or grant any proxy (except as otherwise provided herein) or power of attorney with respect thereto or (iii) give instructions with respect to the voting of any of its Subject Shares in any manner that is inconsistent or otherwise take any other action with respect to any of its Subject Shares that would in any way restrict, limit or interfere with the performance by such Holder of its obligations hereunder or the transactions contemplated hereby.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490" w:right="459" w:bottom="1440" w:gutter="0" w:footer="0" w:header="0"/>
        </w:sectPr>
      </w:pPr>
    </w:p>
    <w:bookmarkStart w:id="151" w:name="page152"/>
    <w:bookmarkEnd w:id="151"/>
    <w:p>
      <w:pPr>
        <w:ind w:left="700" w:hanging="264"/>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Section 2.1(a), each Holder may Transfer its Subject Shares:</w:t>
      </w:r>
    </w:p>
    <w:p>
      <w:pPr>
        <w:spacing w:after="0" w:line="117" w:lineRule="exact"/>
        <w:rPr>
          <w:rFonts w:ascii="Arial" w:cs="Arial" w:eastAsia="Arial" w:hAnsi="Arial"/>
          <w:sz w:val="18"/>
          <w:szCs w:val="18"/>
          <w:color w:val="auto"/>
        </w:rPr>
      </w:pPr>
    </w:p>
    <w:p>
      <w:pPr>
        <w:ind w:left="440" w:right="100" w:firstLine="419"/>
        <w:spacing w:after="0" w:line="279" w:lineRule="auto"/>
        <w:tabs>
          <w:tab w:leader="none" w:pos="107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to one or more of its Affiliates or Permitted Transferees who, as a condition to the consummation of such Transfer, executes and delivers to Parent a written agreement, in form and substance reasonably acceptable to Parent, to assume such Holder’s obligations hereunder and to be bound by the terms of this Agreement to the same extent as such Holder is bound hereunder and to make each of the representations and warranties hereunder in respect of the Subject Shares transferred as such Holder shall have made hereunder;</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with the prior written consent of Parent; or</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7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connection with the satisfaction of the exercise price or a withholding tax liability incident to the vesting, exercise or settlement of any Company Stock Awards.</w:t>
      </w:r>
    </w:p>
    <w:p>
      <w:pPr>
        <w:spacing w:after="0" w:line="58"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Additional Purchases; Adjustments</w:t>
      </w:r>
      <w:r>
        <w:rPr>
          <w:rFonts w:ascii="Arial" w:cs="Arial" w:eastAsia="Arial" w:hAnsi="Arial"/>
          <w:sz w:val="17"/>
          <w:szCs w:val="17"/>
          <w:color w:val="auto"/>
        </w:rPr>
        <w:t>. Each Holder agrees that any Shares and any other shares of capital stock or other equity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that such Holder purchases or otherwise acquires or with respect to which such Holder otherwise acquires voting power after the execution of this Agreement and prior to the Termination Date shall be subject to the terms and conditions of this Agreement to the same extent as if they constituted such Holder’s Subject Shares as of the date hereof. Each Holder agrees that, in the event of any stock split, stock dividend, merger, reorganization, recapitalization, reclassification, combination, exchange of shares or the like of the capital stock of the Company affecting the Shares, the terms of this Agreement shall apply to resulting securities that are Beneficially Owned by such Holder.</w:t>
      </w:r>
    </w:p>
    <w:p>
      <w:pPr>
        <w:spacing w:after="0" w:line="6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Unpermitted Transfers; Involuntary Transfers</w:t>
      </w:r>
      <w:r>
        <w:rPr>
          <w:rFonts w:ascii="Arial" w:cs="Arial" w:eastAsia="Arial" w:hAnsi="Arial"/>
          <w:sz w:val="18"/>
          <w:szCs w:val="18"/>
          <w:color w:val="auto"/>
        </w:rPr>
        <w:t>. Any Transfer or attempted Transfer of any Shares in violation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fullest extent permitted by Law,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If any involuntary Transfer of any of such Holder’s Subject Shares shall occur,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Termination Date.</w:t>
      </w:r>
    </w:p>
    <w:p>
      <w:pPr>
        <w:spacing w:after="0" w:line="7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No Conversion of Class</w:t>
      </w:r>
      <w:r>
        <w:rPr>
          <w:rFonts w:ascii="Arial" w:cs="Arial" w:eastAsia="Arial" w:hAnsi="Arial"/>
          <w:sz w:val="17"/>
          <w:szCs w:val="17"/>
          <w:b w:val="1"/>
          <w:bCs w:val="1"/>
          <w:color w:val="auto"/>
        </w:rPr>
        <w:t xml:space="preserve"> B Common Stock. </w:t>
      </w:r>
      <w:r>
        <w:rPr>
          <w:rFonts w:ascii="Arial" w:cs="Arial" w:eastAsia="Arial" w:hAnsi="Arial"/>
          <w:sz w:val="17"/>
          <w:szCs w:val="17"/>
          <w:color w:val="auto"/>
        </w:rPr>
        <w:t>Except in connection with Transfers permitted under Section 2.1(b)(ii), each Holder agrees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without the prior written consent of Parent, such Holder shall not, prior to the Termination Date, convert, or permit or cause to be converted, any Class B Common Stock Beneficially Owned by such Holder into Class A Common Stock. Any conversion of Class B Common Stock in violation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to the fullest extent permitted by Law,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the Company shall not, and shall instruct its transfer agent and other third parties not to, record or recognize any such purported conversion on the share register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152" w:name="page153"/>
    <w:bookmarkEnd w:id="15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AGREEMENT TO VOTE</w:t>
      </w:r>
    </w:p>
    <w:p>
      <w:pPr>
        <w:spacing w:after="0" w:line="207" w:lineRule="exact"/>
        <w:rPr>
          <w:sz w:val="20"/>
          <w:szCs w:val="20"/>
          <w:color w:val="auto"/>
        </w:rPr>
      </w:pPr>
    </w:p>
    <w:p>
      <w:pPr>
        <w:ind w:right="340" w:firstLine="440"/>
        <w:spacing w:after="0" w:line="281"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Agreement to Vote</w:t>
      </w:r>
      <w:r>
        <w:rPr>
          <w:rFonts w:ascii="Arial" w:cs="Arial" w:eastAsia="Arial" w:hAnsi="Arial"/>
          <w:sz w:val="17"/>
          <w:szCs w:val="17"/>
          <w:color w:val="auto"/>
        </w:rPr>
        <w:t>. Prior to the Termination Date, each Holder irrevocably and unconditionally agrees that it shall, at any meeting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of the Company (whether annual or special and whether or not an adjourned or postponed meeting), however called, appear at such meeting or otherwise cause such Holder’s Subject Shares that are outstanding as of the applicable record date to be counted as present thereat for purposes of establishing a quorum, and vote, or cause to be voted at such meeting, all such Subject Shares:</w:t>
      </w:r>
    </w:p>
    <w:p>
      <w:pPr>
        <w:spacing w:after="0" w:line="61" w:lineRule="exact"/>
        <w:rPr>
          <w:sz w:val="20"/>
          <w:szCs w:val="20"/>
          <w:color w:val="auto"/>
        </w:rPr>
      </w:pPr>
    </w:p>
    <w:p>
      <w:pPr>
        <w:ind w:right="60" w:firstLine="436"/>
        <w:spacing w:after="0" w:line="279" w:lineRule="auto"/>
        <w:tabs>
          <w:tab w:leader="none" w:pos="68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in favor of (A) the adoption of the Merger Agreement and, without limiting the penultimate sentence of this </w:t>
      </w:r>
      <w:r>
        <w:rPr>
          <w:rFonts w:ascii="Arial" w:cs="Arial" w:eastAsia="Arial" w:hAnsi="Arial"/>
          <w:sz w:val="17"/>
          <w:szCs w:val="17"/>
          <w:u w:val="single" w:color="auto"/>
          <w:color w:val="auto"/>
        </w:rPr>
        <w:t>Section 3.1</w:t>
      </w:r>
      <w:r>
        <w:rPr>
          <w:rFonts w:ascii="Arial" w:cs="Arial" w:eastAsia="Arial" w:hAnsi="Arial"/>
          <w:sz w:val="17"/>
          <w:szCs w:val="17"/>
          <w:color w:val="auto"/>
        </w:rPr>
        <w:t>, any amended and restated Merger Agreement or amendment to the Merger Agreement (the “</w:t>
      </w:r>
      <w:r>
        <w:rPr>
          <w:rFonts w:ascii="Arial" w:cs="Arial" w:eastAsia="Arial" w:hAnsi="Arial"/>
          <w:sz w:val="17"/>
          <w:szCs w:val="17"/>
          <w:u w:val="single" w:color="auto"/>
          <w:color w:val="auto"/>
        </w:rPr>
        <w:t>Merger Proposal</w:t>
      </w:r>
      <w:r>
        <w:rPr>
          <w:rFonts w:ascii="Arial" w:cs="Arial" w:eastAsia="Arial" w:hAnsi="Arial"/>
          <w:sz w:val="17"/>
          <w:szCs w:val="17"/>
          <w:color w:val="auto"/>
        </w:rPr>
        <w:t>”), and approving any other matters necessary for the consummation of the transactions contemplated by the Merger Agreement, including the Merger, and (B) any proposal to adjourn or postpone any such meeting of the stockholders of the Company to a later date if there are not sufficient votes to adopt the Merger Proposal;</w:t>
      </w:r>
    </w:p>
    <w:p>
      <w:pPr>
        <w:spacing w:after="0" w:line="63" w:lineRule="exact"/>
        <w:rPr>
          <w:rFonts w:ascii="Arial" w:cs="Arial" w:eastAsia="Arial" w:hAnsi="Arial"/>
          <w:sz w:val="17"/>
          <w:szCs w:val="17"/>
          <w:color w:val="auto"/>
        </w:rPr>
      </w:pPr>
    </w:p>
    <w:p>
      <w:pPr>
        <w:ind w:right="60" w:firstLine="436"/>
        <w:spacing w:after="0" w:line="269" w:lineRule="auto"/>
        <w:tabs>
          <w:tab w:leader="none" w:pos="69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against (A) any agreement, transaction or proposal that relates to an Acquisition Proposal or any other transaction, proposal, agreement or action made in opposition to adoption of the Merger Agreement or in competition or inconsistent with the Merger or matters contemplated by the Merger Agreement; (B) any action or agreement that would result in a breach of any covenant, representation or warranty or any other obligation or agreement of the Company or any of its Subsidiaries contained in the Merger Agreement or of such Holder contained in this Agreement; (C) any action or agreement that would reasonably be expected to result in (1) any condition to the consummation of the Merger set forth in Article VII of the Merger Agreement not being fulfilled or (2) any change to the voting rights of any class of shares of capital stock of the Company (including any amendments to the Company’s organizational documents); and (D) any other action that could reasonably be expected to impede, interfere with, delay, discourage, postpone or adversely affect any of the transactions contemplated by the Merger Agreement, including the Merger, or this Agreement. Any attempt by such Holder to vote, consent or express dissent with respect to (or otherwise to utilize the voting power of) its Subject Shares in contravention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If such Holder is the Beneficial Owner, but not the holder of record, of any of its Subject Shares, such Holder agrees to take all actions necessary to cause such holder of record and any nominees to vote (or exercise a consent with respect to) all of such Subject Shares in accordance with this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Notwithstanding anything herein to the contrary in this Agreement,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not require any Holder to be present (in person or by proxy) or vote (or cause to be voted) any of its Subject Shares to amend, modify or waive any provision of the Merger Agreement in a manner that reduces the amount or changes the form of the Merger Consideration payable, imposes any material restrictions on or additional material conditions on the payment of the Merger Consideration, extends the Outside Date or otherwise adversely affects such Holder (in its capacity as a stockholder of the Company) in any material respect. Notwithstanding anything to the contrary in this Agreement, each Holder shall remain free to vote (or execute consents or proxies with respect to) its Subject Shares with respect to any matter other than as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in any manner such Holder deems appropriate, including in connection with the election of directors of the Company.</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486" w:right="519" w:bottom="1440" w:gutter="0" w:footer="0" w:header="0"/>
        </w:sectPr>
      </w:pPr>
    </w:p>
    <w:bookmarkStart w:id="153" w:name="page154"/>
    <w:bookmarkEnd w:id="153"/>
    <w:p>
      <w:pPr>
        <w:ind w:right="2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w:t>
      </w:r>
      <w:r>
        <w:rPr>
          <w:rFonts w:ascii="Arial" w:cs="Arial" w:eastAsia="Arial" w:hAnsi="Arial"/>
          <w:sz w:val="17"/>
          <w:szCs w:val="17"/>
          <w:b w:val="1"/>
          <w:bCs w:val="1"/>
          <w:u w:val="single" w:color="auto"/>
          <w:color w:val="auto"/>
        </w:rPr>
        <w:t>Proxy</w:t>
      </w:r>
      <w:r>
        <w:rPr>
          <w:rFonts w:ascii="Arial" w:cs="Arial" w:eastAsia="Arial" w:hAnsi="Arial"/>
          <w:sz w:val="17"/>
          <w:szCs w:val="17"/>
          <w:color w:val="auto"/>
        </w:rPr>
        <w:t>. Each Holder hereby irrevocably appoints as its proxy and attorney-in-fact, Parent and any Person designated in writing by Parent,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them individually, with full power of substitution and resubstitution, to consent to or vote such Holder’s Subject Shares as set forth in Section 3.1. Each Holder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such Holder with respect to its Subject Shares (and such Holder hereby represents that any such proxy is revocable). The proxy granted by each Holder shall be automatically revoked upon the occurrence of the Termination Date, and Parent may further terminate this proxy at any time at its sole election by written notice provided to such Holder. Each Holder understands and acknowledges that Parent has entered into the Merger Agreement in reliance upon such Holder’s execution and delivery of this Agreement and hereby affirms that the irrevocable proxy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is given to secure the performance of the duties of such Holder under this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20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Waiver of Appraisal Rights; Litigation</w:t>
      </w:r>
      <w:r>
        <w:rPr>
          <w:rFonts w:ascii="Arial" w:cs="Arial" w:eastAsia="Arial" w:hAnsi="Arial"/>
          <w:sz w:val="17"/>
          <w:szCs w:val="17"/>
          <w:color w:val="auto"/>
        </w:rPr>
        <w:t>. To the fullest extent permitted by law, each Holder hereby irrevocably and unconditionally waives,</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agrees not to exercise or assert, any rights of appraisal (including under Section 262 of the DGCL) relating to the Merger that such Holder may have by virtue of the ownership of any of its Subject Shares or otherwise. Each Holder further agrees not to commence, join in, and agrees to take all actions necessary to opt out of any class in any class action with respect to, any claim, derivative or otherwise, against Parent, Merger Sub or the Company or any of their respective Affiliates or Representatives and each of their successors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 (b) alleging a breach of any fiduciary duty of the Company Board in connection with the negotiation, execution and delivery of this Agreement or the Merger Agreement or the consummation of the transactions contemplated hereby or thereby, and hereby irrevocably waives any claim or rights whatsoever with respect to any of the foregoing.</w:t>
      </w:r>
    </w:p>
    <w:p>
      <w:pPr>
        <w:spacing w:after="0" w:line="69"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Holder agrees that from and after the date hereof and until the Termination Date, such Holder shall and shall cause</w:t>
      </w:r>
      <w:r>
        <w:rPr>
          <w:rFonts w:ascii="Arial" w:cs="Arial" w:eastAsia="Arial" w:hAnsi="Arial"/>
          <w:sz w:val="18"/>
          <w:szCs w:val="18"/>
          <w:b w:val="1"/>
          <w:bCs w:val="1"/>
          <w:color w:val="auto"/>
        </w:rPr>
        <w:t xml:space="preserve"> </w:t>
      </w:r>
      <w:r>
        <w:rPr>
          <w:rFonts w:ascii="Arial" w:cs="Arial" w:eastAsia="Arial" w:hAnsi="Arial"/>
          <w:sz w:val="18"/>
          <w:szCs w:val="18"/>
          <w:color w:val="auto"/>
        </w:rPr>
        <w:t>its controlled Affiliates to take no action that would reasonably be likely to adversely affect or delay the ability to perform its respective covenants and agreements under this Agreement.</w:t>
      </w:r>
    </w:p>
    <w:p>
      <w:pPr>
        <w:spacing w:after="0" w:line="68"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Fiduciary Duties</w:t>
      </w:r>
      <w:r>
        <w:rPr>
          <w:rFonts w:ascii="Arial" w:cs="Arial" w:eastAsia="Arial" w:hAnsi="Arial"/>
          <w:sz w:val="16"/>
          <w:szCs w:val="16"/>
          <w:color w:val="auto"/>
        </w:rPr>
        <w:t>. Each Holder is entering into this Agreement solely in its capacity as the Beneficial Owner of its Subject Shares and nothing</w:t>
      </w:r>
      <w:r>
        <w:rPr>
          <w:rFonts w:ascii="Arial" w:cs="Arial" w:eastAsia="Arial" w:hAnsi="Arial"/>
          <w:sz w:val="16"/>
          <w:szCs w:val="16"/>
          <w:b w:val="1"/>
          <w:bCs w:val="1"/>
          <w:color w:val="auto"/>
        </w:rPr>
        <w:t xml:space="preserve"> </w:t>
      </w:r>
      <w:r>
        <w:rPr>
          <w:rFonts w:ascii="Arial" w:cs="Arial" w:eastAsia="Arial" w:hAnsi="Arial"/>
          <w:sz w:val="16"/>
          <w:szCs w:val="16"/>
          <w:color w:val="auto"/>
        </w:rPr>
        <w:t>herein is intended to or shall limit or affect any actions taken by such Holder or any of such Holder’s designees serving in his or her capacity as a director or officer of the Company (or a Subsidiary of the Company). The taking of any actions (or failures to act) by such Holder or such Holder’s designees serving as a director of the Company (in such capacity as a director) shall not be deemed to constitute a breach of this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486" w:right="47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HOLDER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Holder hereby represents and warrants to Parent and Merger Sub as follows:</w:t>
      </w:r>
    </w:p>
    <w:p>
      <w:pPr>
        <w:spacing w:after="0" w:line="121" w:lineRule="exact"/>
        <w:rPr>
          <w:sz w:val="20"/>
          <w:szCs w:val="20"/>
          <w:color w:val="auto"/>
        </w:rPr>
      </w:pPr>
    </w:p>
    <w:p>
      <w:pPr>
        <w:ind w:right="140" w:firstLine="436"/>
        <w:spacing w:after="0" w:line="273" w:lineRule="auto"/>
        <w:tabs>
          <w:tab w:leader="none" w:pos="685"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As of the date hereof, such Holder does not own Beneficially Own any Shares any other shares of capital stock or other equity of the Company, other than such Holder’s Subject Shares listed opposite such Holder’s name or otherwise disclosed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Such Holder is the sole record and beneficial owner of all of such Holder’s Subject Shares, free and clear of all Liens of every nature whatsoever (including any restriction on the right to vote or otherwise Transfer such Subject Shares), except as provided under this Agreement, as noted on </w:t>
      </w:r>
      <w:r>
        <w:rPr>
          <w:rFonts w:ascii="Arial" w:cs="Arial" w:eastAsia="Arial" w:hAnsi="Arial"/>
          <w:sz w:val="17"/>
          <w:szCs w:val="17"/>
          <w:u w:val="single" w:color="auto"/>
          <w:color w:val="auto"/>
        </w:rPr>
        <w:t>Exhibit A</w:t>
      </w:r>
      <w:r>
        <w:rPr>
          <w:rFonts w:ascii="Arial" w:cs="Arial" w:eastAsia="Arial" w:hAnsi="Arial"/>
          <w:sz w:val="17"/>
          <w:szCs w:val="17"/>
          <w:color w:val="auto"/>
        </w:rPr>
        <w:t>, or pursuant to any applicable restrictions on transfer under the Securities Act and, as to such Subject Shares that are subject to vesting or forfeiture, except as provided in the applicable benefit plans and award agreements of the Company.</w:t>
      </w:r>
    </w:p>
    <w:p>
      <w:pPr>
        <w:spacing w:after="0" w:line="69" w:lineRule="exact"/>
        <w:rPr>
          <w:rFonts w:ascii="Arial" w:cs="Arial" w:eastAsia="Arial" w:hAnsi="Arial"/>
          <w:sz w:val="17"/>
          <w:szCs w:val="17"/>
          <w:color w:val="auto"/>
        </w:rPr>
      </w:pPr>
    </w:p>
    <w:p>
      <w:pPr>
        <w:ind w:right="40" w:firstLine="436"/>
        <w:spacing w:after="0" w:line="293"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Power to Vote and Dispose of Shares</w:t>
      </w:r>
      <w:r>
        <w:rPr>
          <w:rFonts w:ascii="Arial" w:cs="Arial" w:eastAsia="Arial" w:hAnsi="Arial"/>
          <w:sz w:val="16"/>
          <w:szCs w:val="16"/>
          <w:color w:val="auto"/>
        </w:rPr>
        <w:t xml:space="preserve">. Such Holder has, with respect to its Subject Shares, power to vote, issue instructions with respect to the matters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agree to all of the matters set forth in this Agreement, take all actions required under this Agreement and Transfer its Subject Shares. Other than this Agreement, other than with respect to the Group of which the Holder is part, and other than applicable benefit plans and award agreements of the Company with respect to its Subject Shares that are subject to vesting or forfeiture, (i) there are no agreements or arrangements of any kind, contingent or otherwise, to which such Holder is a party obligating such Holder to Transfer or cause to be Transferred to any Person any of its Subject Shares and (ii) no Person has any contractual or other right or obligation to purchase or otherwise acquire any of its Subject Shares.</w:t>
      </w:r>
    </w:p>
    <w:p>
      <w:pPr>
        <w:spacing w:after="0" w:line="56" w:lineRule="exact"/>
        <w:rPr>
          <w:rFonts w:ascii="Arial" w:cs="Arial" w:eastAsia="Arial" w:hAnsi="Arial"/>
          <w:sz w:val="16"/>
          <w:szCs w:val="16"/>
          <w:color w:val="auto"/>
        </w:rPr>
      </w:pPr>
    </w:p>
    <w:p>
      <w:pPr>
        <w:ind w:right="100" w:firstLine="436"/>
        <w:spacing w:after="0" w:line="291"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If such Holder is an entity, such Holder is duly organized, validly existing and in good standing under the Laws of its jurisdiction of formation. Such Holder has full power and authority and is duly authorized to make, enter into and carry out the terms of this Agreement and to perform its obligations hereunder. If such Holder is an individual, such Holder has all necessary legal capacity, power and authority to make, enter into and carry out the terms of this Agreement and to perform its obligations hereunder. This Agreement has been duly and validly executed and delivered by such Holder and (assuming due authorization, execution and delivery by Parent) constitutes a valid and binding agreement of such Holder, enforceable against such Holder in accordance with its terms except to the extent that enforceability may be limited by the Enforceability Exceptions; and no other action is necessary to authorize the execution and delivery by such Holder or the performance of such Holder’s obligations hereunder.</w:t>
      </w:r>
    </w:p>
    <w:p>
      <w:pPr>
        <w:spacing w:after="0" w:line="58" w:lineRule="exact"/>
        <w:rPr>
          <w:rFonts w:ascii="Arial" w:cs="Arial" w:eastAsia="Arial" w:hAnsi="Arial"/>
          <w:sz w:val="16"/>
          <w:szCs w:val="16"/>
          <w:color w:val="auto"/>
        </w:rPr>
      </w:pPr>
    </w:p>
    <w:p>
      <w:pPr>
        <w:ind w:firstLine="436"/>
        <w:spacing w:after="0" w:line="272" w:lineRule="auto"/>
        <w:tabs>
          <w:tab w:leader="none" w:pos="695"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The execution, delivery and performance by such Holder of this Agreement will not (i) violate any provision of any Law applicable to such Holder or by which any of such Holder’s Subject Shares are bound; (ii) violate any order, judgment or decree applicable to such Holder or any of its Affiliates or by which any of such Holder’s Subject Shares are bound; or (iii) conflict with, or result in a breach or default under, any agreement or instrument to which such Holder or any of its Affiliates is a party or any term or condition of its certificate of formation, limited liability company agreement or comparable organizational documents, as applicable, except where such conflict, breach or default would not reasonably be expected to, individually or in the aggregate, have an adverse effect on such Holder’s ability to satisfy its obligations under this Agreement or to consummate the transactions contemplated hereby or by the Merger Agreement, including the Merger, on a timely basis.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86" w:right="459" w:bottom="1440" w:gutter="0" w:footer="0" w:header="0"/>
        </w:sectPr>
      </w:pPr>
    </w:p>
    <w:bookmarkStart w:id="155" w:name="page156"/>
    <w:bookmarkEnd w:id="155"/>
    <w:p>
      <w:pPr>
        <w:ind w:right="80" w:firstLine="436"/>
        <w:spacing w:after="0" w:line="311" w:lineRule="auto"/>
        <w:tabs>
          <w:tab w:leader="none" w:pos="685"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Consents and Approvals</w:t>
      </w:r>
      <w:r>
        <w:rPr>
          <w:rFonts w:ascii="Arial" w:cs="Arial" w:eastAsia="Arial" w:hAnsi="Arial"/>
          <w:sz w:val="16"/>
          <w:szCs w:val="16"/>
          <w:color w:val="auto"/>
        </w:rPr>
        <w:t>. Neither the execution and delivery by such Holder of this Agreement, nor the performance of such Holder’s obligations hereunder, require such Holder or any of its Affiliates to obtain any consent, approval, authorization or permit of, or to make any filing with or notification to, any Governmental Authority or other Person, except such filings and authorizations as may be required under the Exchange Act.</w:t>
      </w:r>
    </w:p>
    <w:p>
      <w:pPr>
        <w:spacing w:after="0" w:line="40" w:lineRule="exact"/>
        <w:rPr>
          <w:rFonts w:ascii="Arial" w:cs="Arial" w:eastAsia="Arial" w:hAnsi="Arial"/>
          <w:sz w:val="16"/>
          <w:szCs w:val="16"/>
          <w:color w:val="auto"/>
        </w:rPr>
      </w:pPr>
    </w:p>
    <w:p>
      <w:pPr>
        <w:jc w:val="both"/>
        <w:ind w:right="80" w:firstLine="436"/>
        <w:spacing w:after="0" w:line="259"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To the knowledge of such Holder, as of the date hereof, there is no Legal Proceeding pending against, or threatened in writing against, such Holder that would reasonably be expected, individually or in the aggregate, to have an adverse effect on such Holder’s ability to satisfy its obligations under this Agreement or to consummate the transactions contemplated hereby or by the Merger Agreement, including the Merger, on a timely basis.</w:t>
      </w:r>
    </w:p>
    <w:p>
      <w:pPr>
        <w:spacing w:after="0" w:line="78" w:lineRule="exact"/>
        <w:rPr>
          <w:rFonts w:ascii="Arial" w:cs="Arial" w:eastAsia="Arial" w:hAnsi="Arial"/>
          <w:sz w:val="18"/>
          <w:szCs w:val="18"/>
          <w:color w:val="auto"/>
        </w:rPr>
      </w:pPr>
    </w:p>
    <w:p>
      <w:pPr>
        <w:ind w:firstLine="436"/>
        <w:spacing w:after="0" w:line="255"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Absence of Other Voting Agreements</w:t>
      </w:r>
      <w:r>
        <w:rPr>
          <w:rFonts w:ascii="Arial" w:cs="Arial" w:eastAsia="Arial" w:hAnsi="Arial"/>
          <w:sz w:val="18"/>
          <w:szCs w:val="18"/>
          <w:color w:val="auto"/>
        </w:rPr>
        <w:t>. None of the Subject Shares of such Holder is subject to any voting trust, proxy or other agreement, arrangement or restriction or other Lien with respect to voting, in each case, that is inconsistent with this Agreement, except as disclosed in the Company SEC Documents, as contemplated by this Agreement, or as disclosed in the Schedule 13D, as amended, currently filed by such Holder with respect to the Company. None of the Subject Shares of such Holder is subject to any pledge agreement pursuant to which such Holder does not retain voting rights with respect to its Subject Shares subject to such pledge agreement at least until the occurrence of an event of default under the related debt instrument.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80" w:firstLine="440"/>
        <w:spacing w:after="0" w:line="274"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No Solicitation</w:t>
      </w:r>
      <w:r>
        <w:rPr>
          <w:rFonts w:ascii="Arial" w:cs="Arial" w:eastAsia="Arial" w:hAnsi="Arial"/>
          <w:sz w:val="17"/>
          <w:szCs w:val="17"/>
          <w:color w:val="auto"/>
        </w:rPr>
        <w:t>. Each Holder agrees that it will not, and will cause its Affiliates not to, and will use reasonable best efforts to cause its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Representatives not to, directly or indirectly, take any action that would violate Section 5.2 of the Merger Agreement as if such Holder were deemed to be the Company for purposes of the Section 5.2 of the Merger Agreement. Notwithstanding the foregoing, in the event that the Company participates in discussions or negotiations with a Person regarding an Acquisition Proposal in accordance with Section 5.2 of the Merger Agreement, such Holder and/or any of its Representatives may engage in discussions or negotiations with such Person, provided that the Company remains at all times in full compliance with its obligations under Section 5.2 of the Merger Agreement.</w:t>
      </w:r>
    </w:p>
    <w:p>
      <w:pPr>
        <w:spacing w:after="0" w:line="6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Non-Recourse</w:t>
      </w:r>
      <w:r>
        <w:rPr>
          <w:rFonts w:ascii="Arial" w:cs="Arial" w:eastAsia="Arial" w:hAnsi="Arial"/>
          <w:sz w:val="16"/>
          <w:szCs w:val="16"/>
          <w:color w:val="auto"/>
        </w:rPr>
        <w:t>. This Agreement may only be enforced against, and any claim or cause of action based upon, arising out of, or related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transactions contemplated by this Agreement may only be brought against, the individual and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or made under this Agreement (whether for indemnification or otherwise) or of or for any claim based on, arising out of, or related to this Agreement or the transactions contemplated by this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490" w:right="479" w:bottom="1440" w:gutter="0" w:footer="0" w:header="0"/>
        </w:sectPr>
      </w:pPr>
    </w:p>
    <w:bookmarkStart w:id="156" w:name="page157"/>
    <w:bookmarkEnd w:id="156"/>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No Ownership Interest</w:t>
      </w:r>
      <w:r>
        <w:rPr>
          <w:rFonts w:ascii="Arial" w:cs="Arial" w:eastAsia="Arial" w:hAnsi="Arial"/>
          <w:sz w:val="18"/>
          <w:szCs w:val="18"/>
          <w:color w:val="auto"/>
        </w:rPr>
        <w:t>. Nothing contained in this Agreement shall be deemed to vest in Parent any direct or indirect ownership or incidence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ownership of or with respect to the Subject Shares. All rights, ownership and economic benefits of and relating to the Subject Shares shall remain vested in and belong to the applicable Holder, and Parent shall not have any authority to manage, direct, restrict, regulate, govern or administer any of the policies or operations of the Company or exercise any power or authority to direct any Holder in the voting or disposition of any Subject Shares, except as otherwise expressly provided herein.</w:t>
      </w:r>
    </w:p>
    <w:p>
      <w:pPr>
        <w:spacing w:after="0" w:line="7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Disclosure</w:t>
      </w:r>
      <w:r>
        <w:rPr>
          <w:rFonts w:ascii="Arial" w:cs="Arial" w:eastAsia="Arial" w:hAnsi="Arial"/>
          <w:sz w:val="16"/>
          <w:szCs w:val="16"/>
          <w:color w:val="auto"/>
        </w:rPr>
        <w:t>. Each Holder agrees that it will not, and will cause its controlled Affiliates not to, and will use reasonable best efforts to cause 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Representatives not to, make any public announcement or other communication to a third party regarding this Agreement or the transactions contemplated hereby without the prior written consent of Parent, except (a) to Affiliates and Representatives of such Holder or (b) as may be required by applicable Law (provided that, to the extent it is reasonably practicable and permitted by applicable Law, reasonable notice of any such disclosure required by applicable Law will be provided to Parent, and such Holder will consider in good faith the reasonable comments of Parent with respect to such disclosure and otherwise reasonably cooperate with Parent in obtaining confidential treatment with respect to such disclosure, in each case, at Parent’s sole cost and expense). Each Holder consents to and authorizes the publication and disclosure by the Company and Parent of such Holder’s identity and holding of its Subject Shares, and the terms of this Agreement (including, for avoidance of doubt, the disclosure of this Agreement), in any press release, the Proxy Statement and any other disclosure document required in connection with the Merger Agreement, the Merger and the transactions contemplated by the Merger Agreement. Each Holder agrees to, as promptly as reasonably practicable, give the Company and Parent any information with respect to such Holder’s Beneficial Ownership of its Subject Shares as the Company and Parent may reasonably require for the preparation of any such disclosure documents, and such Holder agrees to promptly notify the Company Parent of any required corrections with respect to any such information supplied by such Holder specifically for use in any such disclosure document, if and to the extent that any such information shall have, to the knowledge of such Holder, become false or misleading in any material respect.</w:t>
      </w:r>
    </w:p>
    <w:p>
      <w:pPr>
        <w:spacing w:after="0" w:line="63"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shall terminate at the earliest of: (i) the delivery of a written notice to Parent of a Company Board</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 Change in accordance with Section 5.3 of the Merger Agreement, (ii) the valid termination of the Merger Agreement in accordance with its terms, or (iii) the Effective Time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the termination of this Agreement. Neither the provisions of this </w:t>
      </w:r>
      <w:r>
        <w:rPr>
          <w:rFonts w:ascii="Arial" w:cs="Arial" w:eastAsia="Arial" w:hAnsi="Arial"/>
          <w:sz w:val="18"/>
          <w:szCs w:val="18"/>
          <w:u w:val="single" w:color="auto"/>
          <w:color w:val="auto"/>
        </w:rPr>
        <w:t>Section 6.55</w:t>
      </w:r>
      <w:r>
        <w:rPr>
          <w:rFonts w:ascii="Arial" w:cs="Arial" w:eastAsia="Arial" w:hAnsi="Arial"/>
          <w:sz w:val="18"/>
          <w:szCs w:val="18"/>
          <w:color w:val="auto"/>
        </w:rPr>
        <w:t xml:space="preserve"> nor the termination of this Agreement shall relieve (x) any party hereto from any liability of such party to any other party incurred prior to such termination or (y) any party hereto from any liability to any other party arising out of or in connection with a breach of this Agreement. Nothing in the Merger Agreement shall relieve any Holder from any liability arising out of or in connection with a breach of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486" w:right="479" w:bottom="1440" w:gutter="0" w:footer="0" w:header="0"/>
        </w:sectPr>
      </w:pPr>
    </w:p>
    <w:bookmarkStart w:id="157" w:name="page158"/>
    <w:bookmarkEnd w:id="157"/>
    <w:p>
      <w:pPr>
        <w:ind w:right="56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6.6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To the extent permitted by applicable Law and subject to the other provisions of this Agreement, this Agreement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the parties hereto at any time by execution of an instrument in writing signed on behalf of each of the parties hereto.</w:t>
      </w:r>
    </w:p>
    <w:p>
      <w:pPr>
        <w:spacing w:after="0" w:line="3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Reliance</w:t>
      </w:r>
      <w:r>
        <w:rPr>
          <w:rFonts w:ascii="Arial" w:cs="Arial" w:eastAsia="Arial" w:hAnsi="Arial"/>
          <w:sz w:val="18"/>
          <w:szCs w:val="18"/>
          <w:color w:val="auto"/>
        </w:rPr>
        <w:t>. Each Holder understands and acknowledges that Parent, Merger Sub and the Company are entering into the Merger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such Holder’s execution and delivery of this Agreement.</w:t>
      </w:r>
    </w:p>
    <w:p>
      <w:pPr>
        <w:spacing w:after="0" w:line="5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u w:val="single" w:color="auto"/>
          <w:color w:val="auto"/>
        </w:rPr>
        <w:t>Extension; Waiver</w:t>
      </w:r>
      <w:r>
        <w:rPr>
          <w:rFonts w:ascii="Arial" w:cs="Arial" w:eastAsia="Arial" w:hAnsi="Arial"/>
          <w:sz w:val="16"/>
          <w:szCs w:val="16"/>
          <w:color w:val="auto"/>
        </w:rPr>
        <w:t>. At any time and from time to time prior to the Effective Time, any party or parties hereto (it being agreed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extension or waiver by Parent also shall be an effective extension or waiver by Merger Sub) may, to the extent permitted by applicable Law and except as otherwise set forth herein, (a) extend the time for the performance of any of the obligations or other acts of the other party or parties hereto, as applicable, (b) waive any inaccuracies in the representations and warranties made to such party or parties hereto contained herein or in any document delivered pursuant hereto and (c) waive compliance with any of the agreements or conditions for the benefit of such party or parties hereto contained herein. Any agreement on the part of a party or parties hereto to any such extension or waiver (it being agreed that any agreement to an extension or waiver by Parent also shall be an effective extension or waiver by Merger Sub) shall be valid only if set forth in an instrument in writing signed on behalf of such party or parties, as applicable. Any delay in exercising any right under this Agreement shall not constitute a waiver of such right.</w:t>
      </w:r>
    </w:p>
    <w:p>
      <w:pPr>
        <w:spacing w:after="0" w:line="51"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All fees and expenses incurred in connection with this Agreement and the transactions contemplated hereby shall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incurring such fees or expenses, whether or not the Merger is consummated.</w:t>
      </w:r>
    </w:p>
    <w:p>
      <w:pPr>
        <w:spacing w:after="0" w:line="54"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and other communications hereunder shall be in writing and shall be deemed to have been duly delivered and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(a) two (2) Business Days after being sent by registered or certified mail, return receipt requested, postage prepaid, (b) one (1) Business Day after being sent for next Business Day delivery, fees prepaid, via a reputable nationwide overnight courier service, (c) immediately upon delivery by hand, or (d) on the date of receipt, if delivered by email (to the extent that no “bounce back” or similar message indicating non-delivery is received with respect thereto), in each case, to the intended recipient as set forth below (or to such other recipient or address as designated in a written notice to the other parties hereto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69" w:lineRule="exact"/>
        <w:rPr>
          <w:sz w:val="20"/>
          <w:szCs w:val="20"/>
          <w:color w:val="auto"/>
        </w:rPr>
      </w:pPr>
    </w:p>
    <w:p>
      <w:pPr>
        <w:ind w:left="1100" w:hanging="241"/>
        <w:spacing w:after="0"/>
        <w:tabs>
          <w:tab w:leader="none" w:pos="11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to any Holder, to the address or electronic mail set forth for such Holder on Exhibit A hereto.</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Biogen Inc.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legaldepartment@biogen.com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486" w:right="519" w:bottom="1440" w:gutter="0" w:footer="0" w:header="0"/>
        </w:sectPr>
      </w:pPr>
    </w:p>
    <w:bookmarkStart w:id="158" w:name="page159"/>
    <w:bookmarkEnd w:id="158"/>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River Acquisition, Inc.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legaldepartment@biogen.com</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380" w:right="8040" w:firstLine="8"/>
        <w:spacing w:after="0" w:line="281" w:lineRule="auto"/>
        <w:tabs>
          <w:tab w:leader="none" w:pos="169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Attention: Faiza Saeed; Mark Greene; Aaron Gruber; Bethany Pfalzgraf</w:t>
      </w:r>
    </w:p>
    <w:p>
      <w:pPr>
        <w:spacing w:after="0" w:line="9" w:lineRule="exact"/>
        <w:rPr>
          <w:rFonts w:ascii="Arial" w:cs="Arial" w:eastAsia="Arial" w:hAnsi="Arial"/>
          <w:sz w:val="16"/>
          <w:szCs w:val="16"/>
          <w:color w:val="auto"/>
        </w:rPr>
      </w:pPr>
    </w:p>
    <w:p>
      <w:pPr>
        <w:ind w:left="1420" w:right="5720"/>
        <w:spacing w:after="0" w:line="323" w:lineRule="auto"/>
        <w:rPr>
          <w:rFonts w:ascii="Arial" w:cs="Arial" w:eastAsia="Arial" w:hAnsi="Arial"/>
          <w:sz w:val="16"/>
          <w:szCs w:val="16"/>
          <w:color w:val="auto"/>
        </w:rPr>
      </w:pPr>
      <w:r>
        <w:rPr>
          <w:rFonts w:ascii="Arial" w:cs="Arial" w:eastAsia="Arial" w:hAnsi="Arial"/>
          <w:sz w:val="16"/>
          <w:szCs w:val="16"/>
          <w:color w:val="auto"/>
        </w:rPr>
        <w:t>Email: fsaeed@cravath.com; mgreene@cravath.com; agruber@cravath.com; bpfalzgraf@cravath.com</w:t>
      </w:r>
    </w:p>
    <w:p>
      <w:pPr>
        <w:spacing w:after="0" w:line="2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The parties have participated jointly in negotiating and drafting this Agreement. In the event that an ambiguity or a question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“knowledge” of a Holder means the actual knowledge of such Holder, if such Holder is an individual, or any officer of such Holder after due inquiry, if such Holder is an entity, and the “knowledge” of Parent or Merger Sub means the actual knowledge of the executive officers of Parent without investigation or further inquiry. As used herein, (a) “business day” shall have the meaning given to such term in Rule 14d-1(g) under the Exchange Act, and (b) an “Affiliate” means, with respect to any Person, any other Person directly or indirectly, controlling, controlled by, or under common control with, such Person, through one or more intermediaries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solely for purposes of this Agreement, notwithstanding anything to the contrary set forth herein, neither the Company nor any of its Subsidiaries shall be deemed to be a Subsidiary or Affiliate of any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for the avoidance of doubt, any member of a Holder shall be deemed an Affiliate such Holder;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an Affiliate of a Holder shall include any investment fund, vehicle or holding company of which such Holder or an Affiliate thereof serves as the general partner, managing member or discretionary manager or advisor;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notwithstanding the foregoing, an Affiliate of a Holder shall not include any portfolio company or other investment of such Holder or any Affiliate of such Holder.</w:t>
      </w:r>
    </w:p>
    <w:p>
      <w:pPr>
        <w:spacing w:after="0" w:line="69"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become effective when one or more counterparts have been signed by each of the parties and delivered to the other party, it being understood that all parties need not sign the same counterpart. Delivery of an executed counterpart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159" w:name="page160"/>
    <w:bookmarkEnd w:id="159"/>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of a signature page to this Agreement by facsimile or other electronic transmission, including by e-mail attachment, shall be effective as delivery of a manually executed counterpart of this Agreement. Notwithstanding the foregoing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this Agreement shall not be effective unless and until the Merger Agreement is executed and delivered by all parties thereto.</w:t>
      </w:r>
    </w:p>
    <w:p>
      <w:pPr>
        <w:spacing w:after="0" w:line="72"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6.13 </w:t>
      </w:r>
      <w:r>
        <w:rPr>
          <w:rFonts w:ascii="Arial" w:cs="Arial" w:eastAsia="Arial" w:hAnsi="Arial"/>
          <w:sz w:val="17"/>
          <w:szCs w:val="17"/>
          <w:b w:val="1"/>
          <w:bCs w:val="1"/>
          <w:u w:val="single" w:color="auto"/>
          <w:color w:val="auto"/>
        </w:rPr>
        <w:t>No Partnership, Agency or Joint Venture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intended to create, and creates, a contractual relationship and is not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50"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b w:val="1"/>
          <w:bCs w:val="1"/>
          <w:color w:val="auto"/>
        </w:rPr>
        <w:t xml:space="preserve">6.14 </w:t>
      </w: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any exhibits hereto), the Merger Agreement, the Confidentiality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instruments and other agreements among the parties hereto as contemplated by or referred to herein constitutes the entire agreement and supersedes all prior agreements and understandings, both written and oral, among the parties with respect to the subject matter hereof.</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Governing Law; Venue; Waiver of Jury Trial</w:t>
      </w:r>
      <w:r>
        <w:rPr>
          <w:rFonts w:ascii="Arial" w:cs="Arial" w:eastAsia="Arial" w:hAnsi="Arial"/>
          <w:sz w:val="18"/>
          <w:szCs w:val="18"/>
          <w:b w:val="1"/>
          <w:bCs w:val="1"/>
          <w:color w:val="auto"/>
        </w:rPr>
        <w:t>.</w:t>
      </w:r>
    </w:p>
    <w:p>
      <w:pPr>
        <w:spacing w:after="0" w:line="121" w:lineRule="exact"/>
        <w:rPr>
          <w:sz w:val="20"/>
          <w:szCs w:val="20"/>
          <w:color w:val="auto"/>
        </w:rPr>
      </w:pPr>
    </w:p>
    <w:p>
      <w:pPr>
        <w:ind w:left="440" w:right="120" w:firstLine="419"/>
        <w:spacing w:after="0" w:line="257" w:lineRule="auto"/>
        <w:tabs>
          <w:tab w:leader="none" w:pos="11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Agreement, including any claims or causes of action (whether in contract, tort or statute) that may be based upon, arise out of or relate to this Agreement, or the negotiation, execution or performance 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79" w:lineRule="exact"/>
        <w:rPr>
          <w:rFonts w:ascii="Arial" w:cs="Arial" w:eastAsia="Arial" w:hAnsi="Arial"/>
          <w:sz w:val="18"/>
          <w:szCs w:val="18"/>
          <w:color w:val="auto"/>
        </w:rPr>
      </w:pPr>
    </w:p>
    <w:p>
      <w:pPr>
        <w:ind w:left="440" w:right="40" w:firstLine="419"/>
        <w:spacing w:after="0" w:line="268" w:lineRule="auto"/>
        <w:tabs>
          <w:tab w:leader="none" w:pos="111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Each of the parties hereto (i)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or in such other manner as may be permitted by applicable Law, and nothing in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shall affect the right of any party to serve legal process in any other manner permitted by applicable Law; (ii)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 (iii) agrees that it will not attempt to deny or defeat such personal jurisdiction by motion or other request for leave from any such court; (iv)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(v) waives any objection that it may now or hereafter have to the venue of any such action or proceeding in any such court or that such action or proceeding was brought in an inconvenient court and agrees not to plead or claim the same;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90" w:right="459" w:bottom="1440" w:gutter="0" w:footer="0" w:header="0"/>
        </w:sectPr>
      </w:pPr>
    </w:p>
    <w:bookmarkStart w:id="160" w:name="page161"/>
    <w:bookmarkEnd w:id="160"/>
    <w:p>
      <w:pPr>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(vi) agrees that it will not bring any action relating to this Agreement or the transactions contemplated hereby in any court other than the aforesaid courts. Each party hereto agrees that a final judgment in any action or proceeding in such courts as provided above shall be conclusive and may be enforced in other jurisdictions by suit on the judgment or in any other manner provided by applicable Law.</w:t>
      </w:r>
    </w:p>
    <w:p>
      <w:pPr>
        <w:spacing w:after="0" w:line="57" w:lineRule="exact"/>
        <w:rPr>
          <w:sz w:val="20"/>
          <w:szCs w:val="20"/>
          <w:color w:val="auto"/>
        </w:rPr>
      </w:pPr>
    </w:p>
    <w:p>
      <w:pPr>
        <w:ind w:left="440" w:firstLine="419"/>
        <w:spacing w:after="0" w:line="270" w:lineRule="auto"/>
        <w:tabs>
          <w:tab w:leader="none" w:pos="110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EACH PARTY HEREBY IRREVOCABLY WAIVES ALL RIGHT TO TRIAL BY JURY IN ANY ACTION, PROCEEDING OR COUNTERCLAIM (WHETHER BASED ON CONTRACT, TORT OR OTHERWISE) DIRECTLY OR INDIRECTLY ARISING OUT OF OR RELATING TO THIS AGREEMENT, THE TRANSACTIONS CONTEMPLATED HEREBY OR THE ACTIONS OF ANY PARTY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69"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6.16 </w:t>
      </w: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this Agreement nor any of the rights, interests or obligations hereunder shall be assigned by any of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by operation of law or otherwise) without the prior written consent of the other party. Any purported assignment in contravention hereof shall be null and void ab initio. Subject to the preceding sentence and except as set forth in Article II, this Agreement will be binding upon, inure to the benefit of and be enforceable by the parties and their respective successors and permitted assigns.</w:t>
      </w:r>
    </w:p>
    <w:p>
      <w:pPr>
        <w:spacing w:after="0" w:line="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6.17 </w:t>
      </w:r>
      <w:r>
        <w:rPr>
          <w:rFonts w:ascii="Arial" w:cs="Arial" w:eastAsia="Arial" w:hAnsi="Arial"/>
          <w:sz w:val="17"/>
          <w:szCs w:val="17"/>
          <w:b w:val="1"/>
          <w:bCs w:val="1"/>
          <w:u w:val="single" w:color="auto"/>
          <w:color w:val="auto"/>
        </w:rPr>
        <w:t>Specific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that irreparable damage, for which monetary damages would not be an adequate remedy, would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occur in the event that any of the provisions of this Agreement were not performed in accordance with their specific terms or were otherwise breached by the parties. Prior to the termination of this Agreement pursuant to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Arial" w:cs="Arial" w:eastAsia="Arial" w:hAnsi="Arial"/>
          <w:sz w:val="17"/>
          <w:szCs w:val="17"/>
          <w:u w:val="single" w:color="auto"/>
          <w:color w:val="auto"/>
        </w:rPr>
        <w:t>Section 6.177</w:t>
      </w:r>
      <w:r>
        <w:rPr>
          <w:rFonts w:ascii="Arial" w:cs="Arial" w:eastAsia="Arial" w:hAnsi="Arial"/>
          <w:sz w:val="17"/>
          <w:szCs w:val="17"/>
          <w:color w:val="auto"/>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Arial" w:cs="Arial" w:eastAsia="Arial" w:hAnsi="Arial"/>
          <w:sz w:val="17"/>
          <w:szCs w:val="17"/>
          <w:u w:val="single" w:color="auto"/>
          <w:color w:val="auto"/>
        </w:rPr>
        <w:t>Section 6.177</w:t>
      </w:r>
      <w:r>
        <w:rPr>
          <w:rFonts w:ascii="Arial" w:cs="Arial" w:eastAsia="Arial" w:hAnsi="Arial"/>
          <w:sz w:val="17"/>
          <w:szCs w:val="17"/>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Arial" w:cs="Arial" w:eastAsia="Arial" w:hAnsi="Arial"/>
          <w:sz w:val="17"/>
          <w:szCs w:val="17"/>
          <w:u w:val="single" w:color="auto"/>
          <w:color w:val="auto"/>
        </w:rPr>
        <w:t>Section 6.177</w:t>
      </w:r>
      <w:r>
        <w:rPr>
          <w:rFonts w:ascii="Arial" w:cs="Arial" w:eastAsia="Arial" w:hAnsi="Arial"/>
          <w:sz w:val="17"/>
          <w:szCs w:val="17"/>
          <w:color w:val="auto"/>
        </w:rPr>
        <w:t>, and each party irrevocably waives any right it may have to require the obtaining, furnishing or posting of any such bond or similar instrument.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490" w:right="499" w:bottom="1440" w:gutter="0" w:footer="0" w:header="0"/>
        </w:sectPr>
      </w:pPr>
    </w:p>
    <w:bookmarkStart w:id="161" w:name="page162"/>
    <w:bookmarkEnd w:id="161"/>
    <w:p>
      <w:pPr>
        <w:ind w:right="60" w:firstLine="99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term or other provision of this Agreement, or the application thereof, is determined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invalid, illegal or incapable of being enforced by any rule of Law, or public policy, all other terms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w:t>
      </w:r>
    </w:p>
    <w:p>
      <w:pPr>
        <w:spacing w:after="0" w:line="7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b w:val="1"/>
          <w:bCs w:val="1"/>
          <w:color w:val="auto"/>
        </w:rPr>
        <w:t xml:space="preserve">6.19 </w:t>
      </w:r>
      <w:r>
        <w:rPr>
          <w:rFonts w:ascii="Arial" w:cs="Arial" w:eastAsia="Arial" w:hAnsi="Arial"/>
          <w:sz w:val="17"/>
          <w:szCs w:val="17"/>
          <w:b w:val="1"/>
          <w:bCs w:val="1"/>
          <w:u w:val="single" w:color="auto"/>
          <w:color w:val="auto"/>
        </w:rPr>
        <w:t>Liability</w:t>
      </w:r>
      <w:r>
        <w:rPr>
          <w:rFonts w:ascii="Arial" w:cs="Arial" w:eastAsia="Arial" w:hAnsi="Arial"/>
          <w:sz w:val="17"/>
          <w:szCs w:val="17"/>
          <w:color w:val="auto"/>
        </w:rPr>
        <w:t>. The rights and obligations of each of the Holders under this Agreement shall be several and not joint. All references to</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to be taken by the Holders, or representations and warranties to be made, under this Agreement refer to actions to be taken or representations and warranties to be made by Holders acting severally and not jointly. Except for any liability for claims, losses, damages, liabilities or other obligations arising out of a Holder’s failure to perform its obligations hereunder, Parent agrees that no Holder (in its capacity as a Holder of its Subject Shares) will be liable for claims, losses, damages, liabilities or other obligations resulting from or relating to the Merger Agreement, including any breach by the Company of the Merger Agreement, and that the Company shall not be liable for claims, losses, damages, liabilities or other obligations resulting from or related to any Holder’s failure to perform its obligations hereunder.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486" w:right="479" w:bottom="1440" w:gutter="0" w:footer="0" w:header="0"/>
        </w:sectPr>
      </w:pPr>
    </w:p>
    <w:bookmarkStart w:id="162" w:name="page163"/>
    <w:bookmarkEnd w:id="16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intending to be legally bound hereby, have executed or caused this Agreement to be executed in counterparts, all as of the day and year first above written.</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BIOGEN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Christopher A. Viehbacher</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President and Chief Executive Officer</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RIVER ACQUISITION,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Dambach</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10640"/>
          </w:cols>
          <w:pgMar w:left="440" w:top="490" w:right="819" w:bottom="1440" w:gutter="0" w:footer="0" w:header="0"/>
        </w:sectPr>
      </w:pPr>
    </w:p>
    <w:bookmarkStart w:id="163" w:name="page164"/>
    <w:bookmarkEnd w:id="163"/>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 J. Warren Huff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29210</wp:posOffset>
            </wp:positionV>
            <wp:extent cx="24345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 Warren Huff</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THE 2021 JWH GRAT</w:t>
      </w:r>
    </w:p>
    <w:p>
      <w:pPr>
        <w:spacing w:after="0" w:line="229" w:lineRule="exact"/>
        <w:rPr>
          <w:sz w:val="20"/>
          <w:szCs w:val="20"/>
          <w:color w:val="auto"/>
        </w:rPr>
      </w:pPr>
    </w:p>
    <w:p>
      <w:pPr>
        <w:jc w:val="both"/>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Warren Huff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 Warren Huff</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Trustee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Voting and Support Agreement</w:t>
      </w:r>
      <w:r>
        <w:rPr>
          <w:rFonts w:ascii="Arial" w:cs="Arial" w:eastAsia="Arial" w:hAnsi="Arial"/>
          <w:sz w:val="16"/>
          <w:szCs w:val="16"/>
          <w:color w:val="auto"/>
        </w:rPr>
        <w:t>]</w:t>
      </w:r>
    </w:p>
    <w:p>
      <w:pPr>
        <w:sectPr>
          <w:pgSz w:w="11900" w:h="16838" w:orient="portrait"/>
          <w:cols w:equalWidth="0" w:num="1">
            <w:col w:w="9019"/>
          </w:cols>
          <w:pgMar w:left="1440" w:top="486" w:right="1440" w:bottom="1440" w:gutter="0" w:footer="0" w:header="0"/>
        </w:sectPr>
      </w:pPr>
    </w:p>
    <w:bookmarkStart w:id="164" w:name="page165"/>
    <w:bookmarkEnd w:id="16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Ownership of Company Shares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Address and Email of Holder</w:t>
            </w:r>
          </w:p>
        </w:tc>
        <w:tc>
          <w:tcPr>
            <w:tcW w:w="40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jc w:val="right"/>
              <w:ind w:right="182"/>
              <w:spacing w:after="0"/>
              <w:rPr>
                <w:sz w:val="20"/>
                <w:szCs w:val="20"/>
                <w:color w:val="auto"/>
              </w:rPr>
            </w:pPr>
            <w:r>
              <w:rPr>
                <w:rFonts w:ascii="Arial" w:cs="Arial" w:eastAsia="Arial" w:hAnsi="Arial"/>
                <w:sz w:val="14"/>
                <w:szCs w:val="14"/>
                <w:b w:val="1"/>
                <w:bCs w:val="1"/>
                <w:color w:val="auto"/>
              </w:rPr>
              <w:t>No. of Shares of</w:t>
            </w:r>
          </w:p>
        </w:tc>
        <w:tc>
          <w:tcPr>
            <w:tcW w:w="90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 of Shares of</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Class A Common Stock</w:t>
            </w:r>
            <w:r>
              <w:rPr>
                <w:rFonts w:ascii="Arial" w:cs="Arial" w:eastAsia="Arial" w:hAnsi="Arial"/>
                <w:sz w:val="10"/>
                <w:szCs w:val="10"/>
                <w:b w:val="1"/>
                <w:bCs w:val="1"/>
                <w:color w:val="auto"/>
                <w:w w:val="90"/>
              </w:rPr>
              <w:t>1</w:t>
            </w:r>
          </w:p>
        </w:tc>
        <w:tc>
          <w:tcPr>
            <w:tcW w:w="9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Class B Common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J. Warren Huff </w:t>
            </w:r>
            <w:r>
              <w:rPr>
                <w:rFonts w:ascii="Arial" w:cs="Arial" w:eastAsia="Arial" w:hAnsi="Arial"/>
                <w:sz w:val="24"/>
                <w:szCs w:val="24"/>
                <w:color w:val="auto"/>
                <w:vertAlign w:val="superscript"/>
              </w:rPr>
              <w:t>2</w:t>
            </w:r>
          </w:p>
        </w:tc>
        <w:tc>
          <w:tcPr>
            <w:tcW w:w="40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688,608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623,904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 Reata Pharmaceuticals, Inc.</w:t>
            </w:r>
          </w:p>
        </w:tc>
        <w:tc>
          <w:tcPr>
            <w:tcW w:w="8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5320 Legacy Drive</w:t>
            </w:r>
          </w:p>
        </w:tc>
        <w:tc>
          <w:tcPr>
            <w:tcW w:w="8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Plano, Texas 75024</w:t>
            </w: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Warren.huff@reatapharma.com</w:t>
            </w:r>
          </w:p>
        </w:tc>
        <w:tc>
          <w:tcPr>
            <w:tcW w:w="8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40" w:type="dxa"/>
            <w:vAlign w:val="bottom"/>
            <w:gridSpan w:val="2"/>
          </w:tcPr>
          <w:p>
            <w:pPr>
              <w:spacing w:after="0" w:line="201" w:lineRule="exact"/>
              <w:rPr>
                <w:sz w:val="20"/>
                <w:szCs w:val="20"/>
                <w:color w:val="auto"/>
              </w:rPr>
            </w:pPr>
            <w:r>
              <w:rPr>
                <w:rFonts w:ascii="Arial" w:cs="Arial" w:eastAsia="Arial" w:hAnsi="Arial"/>
                <w:sz w:val="18"/>
                <w:szCs w:val="18"/>
                <w:color w:val="auto"/>
              </w:rPr>
              <w:t>The 2021 JWH GRAT</w:t>
            </w:r>
          </w:p>
        </w:tc>
        <w:tc>
          <w:tcPr>
            <w:tcW w:w="88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10,398</w:t>
            </w:r>
          </w:p>
        </w:tc>
        <w:tc>
          <w:tcPr>
            <w:tcW w:w="2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c/o Reata Pharmaceuticals, Inc.</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5320 Legacy Drive</w:t>
            </w:r>
          </w:p>
        </w:tc>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Plano, Texas 75024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Warren.huff@reatapharma.com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4" w:right="20" w:hanging="444"/>
        <w:spacing w:after="0" w:line="249" w:lineRule="auto"/>
        <w:tabs>
          <w:tab w:leader="none" w:pos="444" w:val="left"/>
        </w:tabs>
        <w:numPr>
          <w:ilvl w:val="0"/>
          <w:numId w:val="175"/>
        </w:numPr>
        <w:rPr>
          <w:rFonts w:ascii="Arial" w:cs="Arial" w:eastAsia="Arial" w:hAnsi="Arial"/>
          <w:sz w:val="24"/>
          <w:szCs w:val="24"/>
          <w:color w:val="auto"/>
          <w:vertAlign w:val="superscript"/>
        </w:rPr>
      </w:pPr>
      <w:r>
        <w:rPr>
          <w:rFonts w:ascii="Arial" w:cs="Arial" w:eastAsia="Arial" w:hAnsi="Arial"/>
          <w:sz w:val="16"/>
          <w:szCs w:val="16"/>
          <w:color w:val="auto"/>
        </w:rPr>
        <w:t>Each share of Class B Common Stock may be converted at the option of the holder into a shares of Class A Common Stock at any time. Accordingly, each Holder listed on this Exhibit A has beneficial ownership of the number of shares of Class A Common Stock equal to the number of shares of Class B Common Stock beneficially owned by such Holder and Class A Common Stock totals include all shares of Class B Common</w:t>
      </w:r>
    </w:p>
    <w:p>
      <w:pPr>
        <w:spacing w:after="0" w:line="196" w:lineRule="exact"/>
        <w:rPr>
          <w:sz w:val="20"/>
          <w:szCs w:val="20"/>
          <w:color w:val="auto"/>
        </w:rPr>
      </w:pPr>
    </w:p>
    <w:p>
      <w:pPr>
        <w:ind w:left="444" w:right="100" w:hanging="444"/>
        <w:spacing w:after="0" w:line="235" w:lineRule="auto"/>
        <w:tabs>
          <w:tab w:leader="none" w:pos="444" w:val="left"/>
        </w:tabs>
        <w:numPr>
          <w:ilvl w:val="0"/>
          <w:numId w:val="176"/>
        </w:numPr>
        <w:rPr>
          <w:rFonts w:ascii="Arial" w:cs="Arial" w:eastAsia="Arial" w:hAnsi="Arial"/>
          <w:sz w:val="27"/>
          <w:szCs w:val="27"/>
          <w:color w:val="auto"/>
          <w:vertAlign w:val="superscript"/>
        </w:rPr>
      </w:pPr>
      <w:r>
        <w:rPr>
          <w:rFonts w:ascii="Arial" w:cs="Arial" w:eastAsia="Arial" w:hAnsi="Arial"/>
          <w:sz w:val="18"/>
          <w:szCs w:val="18"/>
          <w:color w:val="auto"/>
        </w:rPr>
        <w:t>Consists of 19,934 shares of Class A Common Stock and 212,903 shares of Class B Common Stock held by Mr. Huff (which consist of 9,534 shares of Class A Common Stock over which he exercises sole voting and investment control, 10,398 shares of Class A Common Stock in a trust for which Mr. Huff has shared voting and investment control, and 212,903 shares of Class B Common Stock over which he exercises sole voting and investment control); 33,333 shares of Class A Common Stock issuable pursuant to currently exercisable stock options and 411,001 shares of Class B Common Stock issuable pursuant to currently exercisable stock options; and 9,177 shares of Class A Common Stock issuable pursuant to stock options and 2,260 restricted stock units representing shares of Class A Common Stock that will become exercisable or settle within 60 days after July 27, 2023.</w:t>
      </w:r>
    </w:p>
    <w:p>
      <w:pPr>
        <w:sectPr>
          <w:pgSz w:w="11900" w:h="16838" w:orient="portrait"/>
          <w:cols w:equalWidth="0" w:num="1">
            <w:col w:w="11024"/>
          </w:cols>
          <w:pgMar w:left="436" w:top="486" w:right="4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VOTING AND SUPPORT AGREEMENT</w:t>
      </w:r>
    </w:p>
    <w:p>
      <w:pPr>
        <w:spacing w:after="0" w:line="229"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THIS VOTING AND SUPPORT AGREEMENT is dated as of July 28, 2023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by and among each stockholder of Reata Pharmaceuticals, Inc., a Delaware corporation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set forth on Exhibit A hereto (each a “</w:t>
      </w:r>
      <w:r>
        <w:rPr>
          <w:rFonts w:ascii="Arial" w:cs="Arial" w:eastAsia="Arial" w:hAnsi="Arial"/>
          <w:sz w:val="16"/>
          <w:szCs w:val="16"/>
          <w:u w:val="single" w:color="auto"/>
          <w:color w:val="auto"/>
        </w:rPr>
        <w:t>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Biogen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River Acquisition, Inc., a Delaware corporation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WHEREAS, the Company, Parent and Merger Sub are entering into an Agreement and Plan of Merger dated as of the date hereof (as the same may be amended or supplemented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providing for, among other things, the merger of Merger Sub, a wholly owned Subsidiary of Parent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which the Company shall be the Surviving Corporation and shall continue its corporate existence under the laws of the State of Delaware as a wholly owned Subsidiary of Parent, on the terms and subject to the conditions of the Merger Agreement;</w:t>
      </w:r>
    </w:p>
    <w:p>
      <w:pPr>
        <w:spacing w:after="0" w:line="18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WHEREAS, as of the date hereof, each Holder Beneficially Owns (as defined below) such number of Shares of Class A Common Stock and Class B Common Stock set forth opposite such 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(with respect to each Holder, such Shares are referred to herein as such Holder’s “</w:t>
      </w:r>
      <w:r>
        <w:rPr>
          <w:rFonts w:ascii="Arial" w:cs="Arial" w:eastAsia="Arial" w:hAnsi="Arial"/>
          <w:sz w:val="18"/>
          <w:szCs w:val="18"/>
          <w:u w:val="single" w:color="auto"/>
          <w:color w:val="auto"/>
        </w:rPr>
        <w:t>Subject Shares</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WHEREAS, concurrently with the execution and delivery of the Merger Agreement, and as a condition and an inducement to Parent and Merger Sub entering into the Merger Agreement, each Holder is entering into this Agreement with respect to its Subject Shares; and</w:t>
      </w:r>
    </w:p>
    <w:p>
      <w:pPr>
        <w:spacing w:after="0" w:line="146"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WHEREAS, Parent and Merger Sub desire that each Holder agree, and each Holder is willing to agree, subject to the limitations herein, not to Transfer (as defined below) any of its Subject Shares (except as permitted in this Agreement), and to vote its Subject Shares that are outstanding as of the applicable record date in a manner so as to facilitate consummation of the Merger and the other transactions contemplated by the Merger Agreement.</w:t>
      </w:r>
    </w:p>
    <w:p>
      <w:pPr>
        <w:spacing w:after="0" w:line="14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NOW, THEREFORE, in consideration of the foregoing and the mutual covenants, representations, warranties and agreements contained herein, the receipt and sufficiency of which are hereby acknowledged, and intending to be legally bound hereby, the parties agree as follows:</w:t>
      </w:r>
    </w:p>
    <w:p>
      <w:pPr>
        <w:spacing w:after="0" w:line="3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This Agreement is one of the “Support Agreements” as defined in the Merger Agreement. Capitalized terms used but not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have the respective meanings set forth in the Merger Agreement.</w:t>
      </w:r>
    </w:p>
    <w:p>
      <w:pPr>
        <w:spacing w:after="0" w:line="58"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ectPr>
          <w:pgSz w:w="11900" w:h="16838" w:orient="portrait"/>
          <w:cols w:equalWidth="0" w:num="1">
            <w:col w:w="11020"/>
          </w:cols>
          <w:pgMar w:left="440" w:top="121" w:right="439" w:bottom="1440" w:gutter="0" w:footer="0" w:header="0"/>
        </w:sectPr>
      </w:pPr>
    </w:p>
    <w:bookmarkStart w:id="166" w:name="page167"/>
    <w:bookmarkEnd w:id="16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Beneficial Owner</w:t>
      </w:r>
      <w:r>
        <w:rPr>
          <w:rFonts w:ascii="Arial" w:cs="Arial" w:eastAsia="Arial" w:hAnsi="Arial"/>
          <w:sz w:val="18"/>
          <w:szCs w:val="18"/>
          <w:color w:val="auto"/>
        </w:rPr>
        <w:t>” means, in respect of a security, the Person(s) who Beneficially Own(s) such security.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assigned to such term in Section 13(d)(3) of the Exchange Act and Regulation 13D-G thereunder.</w:t>
      </w:r>
    </w:p>
    <w:p>
      <w:pPr>
        <w:spacing w:after="0" w:line="117" w:lineRule="exact"/>
        <w:rPr>
          <w:sz w:val="20"/>
          <w:szCs w:val="20"/>
          <w:color w:val="auto"/>
        </w:rPr>
      </w:pPr>
    </w:p>
    <w:p>
      <w:pPr>
        <w:ind w:left="42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the spouse of an individual and the grandparents, parents, siblings and children (and children and spouses of any of the foregoing) of the individual or his or her spouse. An adopted child will be treated as a child of his or her adoptive parent or parents (but only if he or she was adopted before he or she reached 21 years of age).</w:t>
      </w:r>
    </w:p>
    <w:p>
      <w:pPr>
        <w:spacing w:after="0" w:line="76" w:lineRule="exact"/>
        <w:rPr>
          <w:sz w:val="20"/>
          <w:szCs w:val="20"/>
          <w:color w:val="auto"/>
        </w:rPr>
      </w:pPr>
    </w:p>
    <w:p>
      <w:pPr>
        <w:ind w:left="420" w:right="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means, only in a Transfer without consideration, (1) any controlled Affiliate of such Holder which remains such, (2) a partner or member, active or retired, of such Holder or a stockholder of such Holder, (3) the estate of any such Holder or a trust established for the benefit of the descendants or any relatives or spouse of such Holder, (4) a parent corporation or wholly-owned subsidiary of such Holder or to a wholly-owned subsidiary of such parent unless and until such transferee ceases to be a parent or wholly-owned subsidiary of the Holder or a wholly-owned subsidiary of such parent, or (5) a member of the Immediate Family of such Holder.</w:t>
      </w:r>
    </w:p>
    <w:p>
      <w:pPr>
        <w:spacing w:after="0" w:line="68" w:lineRule="exact"/>
        <w:rPr>
          <w:sz w:val="20"/>
          <w:szCs w:val="20"/>
          <w:color w:val="auto"/>
        </w:rPr>
      </w:pPr>
    </w:p>
    <w:p>
      <w:pPr>
        <w:ind w:left="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in respect of a Holder’s Subject Shares, any direct or indirect: (1) offer, sale, lease, assignment, encumbrance, loan, pledge, gift, hedge, short sale, distribution, grant of a security interest, hypothecation, disposition or other similar transfer or disposal (including, for the avoidance of doubt, any deposit, submission or other tendering into any tender or exchange offer), change, limit or entry into or acquisition of any derivative arrangement, by operation of law or otherwise and whether voluntary or involuntary, (2) entry into any option, contract, agreement or other arrangement to do any of the foregoing in clause (1) and (3) entry into any swap or any other agreement, transaction or series of transactions that results in an amount of Subject Shares subject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that is less than the amount of Subject Shares subject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of the date hereof (including, in the case of each of clauses (1), (2) and (3), through the Transfer of any Person or any interest in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-47625</wp:posOffset>
            </wp:positionV>
            <wp:extent cx="28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RETAIN SHARES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Transfer and Encumbrance of Shares</w:t>
      </w:r>
      <w:r>
        <w:rPr>
          <w:rFonts w:ascii="Arial" w:cs="Arial" w:eastAsia="Arial" w:hAnsi="Arial"/>
          <w:sz w:val="18"/>
          <w:szCs w:val="18"/>
          <w:color w:val="auto"/>
        </w:rPr>
        <w:t>.</w:t>
      </w:r>
    </w:p>
    <w:p>
      <w:pPr>
        <w:spacing w:after="0" w:line="121" w:lineRule="exact"/>
        <w:rPr>
          <w:sz w:val="20"/>
          <w:szCs w:val="20"/>
          <w:color w:val="auto"/>
        </w:rPr>
      </w:pPr>
    </w:p>
    <w:p>
      <w:pPr>
        <w:ind w:left="-20" w:right="40" w:firstLine="436"/>
        <w:spacing w:after="0" w:line="255" w:lineRule="auto"/>
        <w:tabs>
          <w:tab w:leader="none" w:pos="6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From the date hereof until the Termination Date (as defined below), each Holder shall not (i) Transfer any of its Subject Shares except as permitted by this Agreement, (ii) deposit any of its Subject Shares into a voting trust or enter into a voting agreement or arrangement with respect to any of its Subject Shares or grant any proxy (except as otherwise provided herein) or power of attorney with respect thereto or (iii) give instructions with respect to the voting of any of its Subject Shares in any manner that is inconsistent or otherwise take any other action with respect to any of its Subject Shares that would in any way restrict, limit or interfere with the performance by such Holder of its obligations hereunder or the transactions contemplated hereby.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490" w:right="459" w:bottom="1440" w:gutter="0" w:footer="0" w:header="0"/>
        </w:sectPr>
      </w:pPr>
    </w:p>
    <w:bookmarkStart w:id="167" w:name="page168"/>
    <w:bookmarkEnd w:id="167"/>
    <w:p>
      <w:pPr>
        <w:ind w:left="700" w:hanging="264"/>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Notwithstanding </w:t>
      </w:r>
      <w:r>
        <w:rPr>
          <w:rFonts w:ascii="Arial" w:cs="Arial" w:eastAsia="Arial" w:hAnsi="Arial"/>
          <w:sz w:val="18"/>
          <w:szCs w:val="18"/>
          <w:u w:val="single" w:color="auto"/>
          <w:color w:val="auto"/>
        </w:rPr>
        <w:t>Section 2.1(a)</w:t>
      </w:r>
      <w:r>
        <w:rPr>
          <w:rFonts w:ascii="Arial" w:cs="Arial" w:eastAsia="Arial" w:hAnsi="Arial"/>
          <w:sz w:val="18"/>
          <w:szCs w:val="18"/>
          <w:color w:val="auto"/>
        </w:rPr>
        <w:t>, each Holder may Transfer its Subject Shares:</w:t>
      </w:r>
    </w:p>
    <w:p>
      <w:pPr>
        <w:spacing w:after="0" w:line="117" w:lineRule="exact"/>
        <w:rPr>
          <w:rFonts w:ascii="Arial" w:cs="Arial" w:eastAsia="Arial" w:hAnsi="Arial"/>
          <w:sz w:val="18"/>
          <w:szCs w:val="18"/>
          <w:color w:val="auto"/>
        </w:rPr>
      </w:pPr>
    </w:p>
    <w:p>
      <w:pPr>
        <w:ind w:left="440" w:right="100" w:firstLine="419"/>
        <w:spacing w:after="0" w:line="279" w:lineRule="auto"/>
        <w:tabs>
          <w:tab w:leader="none" w:pos="107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one or more of its Affiliates or Permitted Transferees who, as a condition to the consummation of such Transfer, executes and delivers to Parent a written agreement, in form and substance reasonably acceptable to Parent, to assume such Holder’s obligations hereunder and to be bound by the terms of this Agreement to the same extent as such Holder is bound hereunder and to make each of the representations and warranties hereunder in respect of the Subject Shares transferred as such Holder shall have made hereunder;</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with the prior written consent of Parent; or</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7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connection with the satisfaction of the exercise price or a withholding tax liability incident to the vesting, exercise or settlement of any Company Stock Awards.</w:t>
      </w:r>
    </w:p>
    <w:p>
      <w:pPr>
        <w:spacing w:after="0" w:line="58"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Additional Purchases; Adjustments</w:t>
      </w:r>
      <w:r>
        <w:rPr>
          <w:rFonts w:ascii="Arial" w:cs="Arial" w:eastAsia="Arial" w:hAnsi="Arial"/>
          <w:sz w:val="17"/>
          <w:szCs w:val="17"/>
          <w:color w:val="auto"/>
        </w:rPr>
        <w:t>. Each Holder agrees that any Shares and any other shares of capital stock or other equity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that such Holder purchases or otherwise acquires or with respect to which such Holder otherwise acquires voting power after the execution of this Agreement and prior to the Termination Date shall be subject to the terms and conditions of this Agreement to the same extent as if they constituted such Holder’s Subject Shares as of the date hereof. Each Holder agrees that, in the event of any stock split, stock dividend, merger, reorganization, recapitalization, reclassification, combination, exchange of shares or the like of the capital stock of the Company affecting the Shares, the terms of this Agreement shall apply to resulting securities that are Beneficially Owned by such Holder.</w:t>
      </w:r>
    </w:p>
    <w:p>
      <w:pPr>
        <w:spacing w:after="0" w:line="6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Unpermitted Transfers; Involuntary Transfers</w:t>
      </w:r>
      <w:r>
        <w:rPr>
          <w:rFonts w:ascii="Arial" w:cs="Arial" w:eastAsia="Arial" w:hAnsi="Arial"/>
          <w:sz w:val="18"/>
          <w:szCs w:val="18"/>
          <w:color w:val="auto"/>
        </w:rPr>
        <w:t>. Any Transfer or attempted Transfer of any Shares in violation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fullest extent permitted by Law,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If any involuntary Transfer of any of such Holder’s Subject Shares shall occur,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Termination Date.</w:t>
      </w:r>
    </w:p>
    <w:p>
      <w:pPr>
        <w:spacing w:after="0" w:line="7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No Conversion of Class B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Except in connection with Transfers permitted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2.1(b)(ii)</w:t>
      </w:r>
      <w:r>
        <w:rPr>
          <w:rFonts w:ascii="Arial" w:cs="Arial" w:eastAsia="Arial" w:hAnsi="Arial"/>
          <w:sz w:val="17"/>
          <w:szCs w:val="17"/>
          <w:color w:val="auto"/>
        </w:rPr>
        <w:t>, each Holder agrees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without the prior written consent of Parent, such Holder shall not, prior to the Termination Date, convert, or permit or cause to be converted, any Class B Common Stock Beneficially Owned by such Holder into Class A Common Stock. Any conversion of Class B Common Stock in violation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to the fullest extent permitted by Law,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the Company shall not, and shall instruct its transfer agent and other third parties not to, record or recognize any such purported conversion on the share register of the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TO VOTE</w:t>
      </w:r>
    </w:p>
    <w:p>
      <w:pPr>
        <w:spacing w:after="0" w:line="207" w:lineRule="exact"/>
        <w:rPr>
          <w:sz w:val="20"/>
          <w:szCs w:val="20"/>
          <w:color w:val="auto"/>
        </w:rPr>
      </w:pPr>
    </w:p>
    <w:p>
      <w:pPr>
        <w:ind w:right="400" w:firstLine="440"/>
        <w:spacing w:after="0" w:line="281"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Agreement to Vote</w:t>
      </w:r>
      <w:r>
        <w:rPr>
          <w:rFonts w:ascii="Arial" w:cs="Arial" w:eastAsia="Arial" w:hAnsi="Arial"/>
          <w:sz w:val="17"/>
          <w:szCs w:val="17"/>
          <w:color w:val="auto"/>
        </w:rPr>
        <w:t>. Prior to the Termination Date, each Holder irrevocably and unconditionally agrees that it shall, at any meeting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of the Company (whether annual or special and whether or not an adjourned or postponed meeting), however called, appear at such meeting or otherwise cause such Holder’s Subject Shares that are outstanding as of the applicable record date to be counted as present thereat for purposes of establishing a quorum, and vote, or cause to be voted at such meeting, all such Subject Shares: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168" w:name="page169"/>
    <w:bookmarkEnd w:id="168"/>
    <w:p>
      <w:pPr>
        <w:ind w:right="60" w:firstLine="436"/>
        <w:spacing w:after="0" w:line="279" w:lineRule="auto"/>
        <w:tabs>
          <w:tab w:leader="none" w:pos="685"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favor of (A) the adoption of the Merger Agreement and, without limiting the penultimate sentence of this </w:t>
      </w:r>
      <w:r>
        <w:rPr>
          <w:rFonts w:ascii="Arial" w:cs="Arial" w:eastAsia="Arial" w:hAnsi="Arial"/>
          <w:sz w:val="17"/>
          <w:szCs w:val="17"/>
          <w:u w:val="single" w:color="auto"/>
          <w:color w:val="auto"/>
        </w:rPr>
        <w:t>Section 3.1</w:t>
      </w:r>
      <w:r>
        <w:rPr>
          <w:rFonts w:ascii="Arial" w:cs="Arial" w:eastAsia="Arial" w:hAnsi="Arial"/>
          <w:sz w:val="17"/>
          <w:szCs w:val="17"/>
          <w:color w:val="auto"/>
        </w:rPr>
        <w:t>, any amended and restated Merger Agreement or amendment to the Merger Agreement (the “</w:t>
      </w:r>
      <w:r>
        <w:rPr>
          <w:rFonts w:ascii="Arial" w:cs="Arial" w:eastAsia="Arial" w:hAnsi="Arial"/>
          <w:sz w:val="17"/>
          <w:szCs w:val="17"/>
          <w:u w:val="single" w:color="auto"/>
          <w:color w:val="auto"/>
        </w:rPr>
        <w:t>Merger Proposal</w:t>
      </w:r>
      <w:r>
        <w:rPr>
          <w:rFonts w:ascii="Arial" w:cs="Arial" w:eastAsia="Arial" w:hAnsi="Arial"/>
          <w:sz w:val="17"/>
          <w:szCs w:val="17"/>
          <w:color w:val="auto"/>
        </w:rPr>
        <w:t>”), and approving any other matters necessary for the consummation of the transactions contemplated by the Merger Agreement, including the Merger, and (B) any proposal to adjourn or postpone any such meeting of the stockholders of the Company to a later date if there are not sufficient votes to adopt the Merger Proposal;</w:t>
      </w:r>
    </w:p>
    <w:p>
      <w:pPr>
        <w:spacing w:after="0" w:line="63" w:lineRule="exact"/>
        <w:rPr>
          <w:rFonts w:ascii="Arial" w:cs="Arial" w:eastAsia="Arial" w:hAnsi="Arial"/>
          <w:sz w:val="17"/>
          <w:szCs w:val="17"/>
          <w:color w:val="auto"/>
        </w:rPr>
      </w:pPr>
    </w:p>
    <w:p>
      <w:pPr>
        <w:ind w:right="60" w:firstLine="436"/>
        <w:spacing w:after="0" w:line="269" w:lineRule="auto"/>
        <w:tabs>
          <w:tab w:leader="none" w:pos="69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against (A) any agreement, transaction or proposal that relates to an Acquisition Proposal or any other transaction, proposal, agreement or action made in opposition to adoption of the Merger Agreement or in competition or inconsistent with the Merger or matters contemplated by the Merger Agreement; (B) any action or agreement that would result in a breach of any covenant, representation or warranty or any other obligation or agreement of the Company or any of its Subsidiaries contained in the Merger Agreement or of such Holder contained in this Agreement; (C) any action or agreement that would reasonably be expected to result in (1) any condition to the consummation of the Merger set forth in Article VII of the Merger Agreement not being fulfilled or (2) any change to the voting rights of any class of shares of capital stock of the Company (including any amendments to the Company’s organizational documents); and (D) any other action that could reasonably be expected to impede, interfere with, delay, discourage, postpone or adversely affect any of the transactions contemplated by the Merger Agreement, including the Merger, or this Agreement. Any attempt by such Holder to vote, consent or express dissent with respect to (or otherwise to utilize the voting power of) its Subject Shares in contravention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If such Holder is the Beneficial Owner, but not the holder of record, of any of its Subject Shares, such Holder agrees to take all actions necessary to cause such holder of record and any nominees to vote (or exercise a consent with respect to) all of such Subject Shares in accordance with this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Notwithstanding anything herein to the contrary in this Agreement,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not require any Holder to be present (in person or by proxy) or vote (or cause to be voted) any of its Subject Shares to amend, modify or waive any provision of the Merger Agreement in a manner that reduces the amount or changes the form of the Merger Consideration payable, imposes any material restrictions on or additional material conditions on the payment of the Merger Consideration, extends the Outside Date or otherwise adversely affects such Holder (in its capacity as a stockholder of the Company) in any material respect. Notwithstanding anything to the contrary in this Agreement, each Holder shall remain free to vote (or execute consents or proxies with respect to) its Subject Shares with respect to any matter other than as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in any manner such Holder deems appropriate, including in connection with the election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-40640</wp:posOffset>
            </wp:positionV>
            <wp:extent cx="285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490" w:right="519" w:bottom="1440" w:gutter="0" w:footer="0" w:header="0"/>
        </w:sectPr>
      </w:pPr>
    </w:p>
    <w:bookmarkStart w:id="169" w:name="page170"/>
    <w:bookmarkEnd w:id="169"/>
    <w:p>
      <w:pPr>
        <w:ind w:right="20" w:firstLine="440"/>
        <w:spacing w:after="0" w:line="25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w:t>
      </w:r>
      <w:r>
        <w:rPr>
          <w:rFonts w:ascii="Arial" w:cs="Arial" w:eastAsia="Arial" w:hAnsi="Arial"/>
          <w:sz w:val="18"/>
          <w:szCs w:val="18"/>
          <w:b w:val="1"/>
          <w:bCs w:val="1"/>
          <w:u w:val="single" w:color="auto"/>
          <w:color w:val="auto"/>
        </w:rPr>
        <w:t>Proxy</w:t>
      </w:r>
      <w:r>
        <w:rPr>
          <w:rFonts w:ascii="Arial" w:cs="Arial" w:eastAsia="Arial" w:hAnsi="Arial"/>
          <w:sz w:val="18"/>
          <w:szCs w:val="18"/>
          <w:color w:val="auto"/>
        </w:rPr>
        <w:t>. Each Holder hereby irrevocably appoints as its proxy and attorney-in-fact, Parent and any Person designated in writing by Parent,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them individually, with full power of substitution and resubstitution, to consent to or vote such Holder’s Subject Shares as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Each Holder intends this proxy to be irrevocable and unconditional during the term</w:t>
      </w:r>
    </w:p>
    <w:p>
      <w:pPr>
        <w:spacing w:after="0" w:line="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 xml:space="preserve">of this Agreement and coupled with an interest and will take such further action or execute such other instruments as may be reasonably necessary to effect the intent of this proxy, and hereby revokes any proxy previously granted by such Holder with respect to its Subject Shares (and such Holder hereby represents that any such proxy is revocable). The proxy granted by each Holder shall be automatically revoked upon the occurrence of the Termination Date, and Parent may further terminate this proxy at any time at its sole election by written notice provided to such Holder. Each Holder understands and acknowledges that Parent has entered into the Merger Agreement in reliance upon such Holder’s execution and delivery of this Agreement and hereby affirms that the irrevocable proxy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is given to secure the performance of the duties of such Holder under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20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Waiver of Appraisal Rights; Litigation</w:t>
      </w:r>
      <w:r>
        <w:rPr>
          <w:rFonts w:ascii="Arial" w:cs="Arial" w:eastAsia="Arial" w:hAnsi="Arial"/>
          <w:sz w:val="17"/>
          <w:szCs w:val="17"/>
          <w:color w:val="auto"/>
        </w:rPr>
        <w:t>. To the fullest extent permitted by law, each Holder hereby irrevocably and unconditionally waives,</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agrees not to exercise or assert, any rights of appraisal (including under Section 262 of the DGCL) relating to the Merger that such Holder may have by virtue of the ownership of any of its Subject Shares or otherwise. Each Holder further agrees not to commence, join in, and agrees to take all actions necessary to opt out of any class in any class action with respect to, any claim, derivative or otherwise, against Parent, Merger Sub or the Company or any of their respective Affiliates or Representatives and each of their successors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 (b) alleging a breach of any fiduciary duty of the Company Board in connection with the negotiation, execution and delivery of this Agreement or the Merger Agreement or the consummation of the transactions contemplated hereby or thereby, and hereby irrevocably waives any claim or rights whatsoever with respect to any of the foregoing.</w:t>
      </w:r>
    </w:p>
    <w:p>
      <w:pPr>
        <w:spacing w:after="0" w:line="69"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Holder agrees that from and after the date hereof and until the Termination Date, such Holder shall and shall cause</w:t>
      </w:r>
      <w:r>
        <w:rPr>
          <w:rFonts w:ascii="Arial" w:cs="Arial" w:eastAsia="Arial" w:hAnsi="Arial"/>
          <w:sz w:val="18"/>
          <w:szCs w:val="18"/>
          <w:b w:val="1"/>
          <w:bCs w:val="1"/>
          <w:color w:val="auto"/>
        </w:rPr>
        <w:t xml:space="preserve"> </w:t>
      </w:r>
      <w:r>
        <w:rPr>
          <w:rFonts w:ascii="Arial" w:cs="Arial" w:eastAsia="Arial" w:hAnsi="Arial"/>
          <w:sz w:val="18"/>
          <w:szCs w:val="18"/>
          <w:color w:val="auto"/>
        </w:rPr>
        <w:t>its controlled Affiliates to take no action that would reasonably be likely to adversely affect or delay the ability to perform its respective covenants and agreements under this Agreement.</w:t>
      </w:r>
    </w:p>
    <w:p>
      <w:pPr>
        <w:spacing w:after="0" w:line="68"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Fiduciary Duties</w:t>
      </w:r>
      <w:r>
        <w:rPr>
          <w:rFonts w:ascii="Arial" w:cs="Arial" w:eastAsia="Arial" w:hAnsi="Arial"/>
          <w:sz w:val="16"/>
          <w:szCs w:val="16"/>
          <w:color w:val="auto"/>
        </w:rPr>
        <w:t>. Each Holder is entering into this Agreement solely in its capacity as the Beneficial Owner of its Subject Shares and nothing</w:t>
      </w:r>
      <w:r>
        <w:rPr>
          <w:rFonts w:ascii="Arial" w:cs="Arial" w:eastAsia="Arial" w:hAnsi="Arial"/>
          <w:sz w:val="16"/>
          <w:szCs w:val="16"/>
          <w:b w:val="1"/>
          <w:bCs w:val="1"/>
          <w:color w:val="auto"/>
        </w:rPr>
        <w:t xml:space="preserve"> </w:t>
      </w:r>
      <w:r>
        <w:rPr>
          <w:rFonts w:ascii="Arial" w:cs="Arial" w:eastAsia="Arial" w:hAnsi="Arial"/>
          <w:sz w:val="16"/>
          <w:szCs w:val="16"/>
          <w:color w:val="auto"/>
        </w:rPr>
        <w:t>herein is intended to or shall limit or affect any actions taken by such Holder or any of such Holder’s designees serving in his or her capacity as a director or officer of the Company (or a Subsidiary of the Company). The taking of any actions (or failures to act) by such Holder or such Holder’s designees serving as a director of the Company (in such capacity as a director) shall not be deemed to constitute a breach of this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486" w:right="47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HOLDER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Holder hereby represents and warrants to Parent and Merger Sub as follows:</w:t>
      </w:r>
    </w:p>
    <w:p>
      <w:pPr>
        <w:spacing w:after="0" w:line="121" w:lineRule="exact"/>
        <w:rPr>
          <w:sz w:val="20"/>
          <w:szCs w:val="20"/>
          <w:color w:val="auto"/>
        </w:rPr>
      </w:pPr>
    </w:p>
    <w:p>
      <w:pPr>
        <w:ind w:right="140" w:firstLine="436"/>
        <w:spacing w:after="0" w:line="273" w:lineRule="auto"/>
        <w:tabs>
          <w:tab w:leader="none" w:pos="685"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As of the date hereof, such Holder does not own Beneficially Own any Shares any other shares of capital stock or other equity of the Company, other than such Holder’s Subject Shares listed opposite such Holder’s name or otherwise disclosed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Such Holder is the sole record and beneficial owner of all of such Holder’s Subject Shares, free and clear of all Liens of every nature whatsoever (including any restriction on the right to vote or otherwise Transfer such Subject Shares), except as provided under this Agreement, as noted on </w:t>
      </w:r>
      <w:r>
        <w:rPr>
          <w:rFonts w:ascii="Arial" w:cs="Arial" w:eastAsia="Arial" w:hAnsi="Arial"/>
          <w:sz w:val="17"/>
          <w:szCs w:val="17"/>
          <w:u w:val="single" w:color="auto"/>
          <w:color w:val="auto"/>
        </w:rPr>
        <w:t>Exhibit A</w:t>
      </w:r>
      <w:r>
        <w:rPr>
          <w:rFonts w:ascii="Arial" w:cs="Arial" w:eastAsia="Arial" w:hAnsi="Arial"/>
          <w:sz w:val="17"/>
          <w:szCs w:val="17"/>
          <w:color w:val="auto"/>
        </w:rPr>
        <w:t>, or pursuant to any applicable restrictions on transfer under the Securities Act and, as to such Subject Shares that are subject to vesting or forfeiture, except as provided in the applicable benefit plans and award agreements of the Company.</w:t>
      </w:r>
    </w:p>
    <w:p>
      <w:pPr>
        <w:spacing w:after="0" w:line="69" w:lineRule="exact"/>
        <w:rPr>
          <w:rFonts w:ascii="Arial" w:cs="Arial" w:eastAsia="Arial" w:hAnsi="Arial"/>
          <w:sz w:val="17"/>
          <w:szCs w:val="17"/>
          <w:color w:val="auto"/>
        </w:rPr>
      </w:pPr>
    </w:p>
    <w:p>
      <w:pPr>
        <w:ind w:right="40" w:firstLine="436"/>
        <w:spacing w:after="0" w:line="293" w:lineRule="auto"/>
        <w:tabs>
          <w:tab w:leader="none" w:pos="69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Power to Vote and Dispose of Shares</w:t>
      </w:r>
      <w:r>
        <w:rPr>
          <w:rFonts w:ascii="Arial" w:cs="Arial" w:eastAsia="Arial" w:hAnsi="Arial"/>
          <w:sz w:val="16"/>
          <w:szCs w:val="16"/>
          <w:color w:val="auto"/>
        </w:rPr>
        <w:t xml:space="preserve">. Such Holder has, with respect to its Subject Shares, power to vote, issue instructions with respect to the matters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agree to all of the matters set forth in this Agreement, take all actions required under this Agreement and Transfer its Subject Shares. Other than this Agreement, other than with respect to the Group of which the Holder is part, and other than applicable benefit plans and award agreements of the Company with respect to its Subject Shares that are subject to vesting or forfeiture, (i) there are no agreements or arrangements of any kind, contingent or otherwise, to which such Holder is a party obligating such Holder to Transfer or cause to be Transferred to any Person any of its Subject Shares and (ii) no Person has any contractual or other right or obligation to purchase or otherwise acquire any of its Subject Shares.</w:t>
      </w:r>
    </w:p>
    <w:p>
      <w:pPr>
        <w:spacing w:after="0" w:line="56" w:lineRule="exact"/>
        <w:rPr>
          <w:rFonts w:ascii="Arial" w:cs="Arial" w:eastAsia="Arial" w:hAnsi="Arial"/>
          <w:sz w:val="16"/>
          <w:szCs w:val="16"/>
          <w:color w:val="auto"/>
        </w:rPr>
      </w:pPr>
    </w:p>
    <w:p>
      <w:pPr>
        <w:ind w:right="100" w:firstLine="436"/>
        <w:spacing w:after="0" w:line="291" w:lineRule="auto"/>
        <w:tabs>
          <w:tab w:leader="none" w:pos="68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If such Holder is an entity, such Holder is duly organized, validly existing and in good standing under the Laws of its jurisdiction of formation. Such Holder has full power and authority and is duly authorized to make, enter into and carry out the terms of this Agreement and to perform its obligations hereunder. If such Holder is an individual, such Holder has all necessary legal capacity, power and authority to make, enter into and carry out the terms of this Agreement and to perform its obligations hereunder. This Agreement has been duly and validly executed and delivered by such Holder and (assuming due authorization, execution and delivery by Parent) constitutes a valid and binding agreement of such Holder, enforceable against such Holder in accordance with its terms except to the extent that enforceability may be limited by the Enforceability Exceptions; and no other action is necessary to authorize the execution and delivery by such Holder or the performance of such Holder’s obligations hereunder.</w:t>
      </w:r>
    </w:p>
    <w:p>
      <w:pPr>
        <w:spacing w:after="0" w:line="58" w:lineRule="exact"/>
        <w:rPr>
          <w:rFonts w:ascii="Arial" w:cs="Arial" w:eastAsia="Arial" w:hAnsi="Arial"/>
          <w:sz w:val="16"/>
          <w:szCs w:val="16"/>
          <w:color w:val="auto"/>
        </w:rPr>
      </w:pPr>
    </w:p>
    <w:p>
      <w:pPr>
        <w:ind w:firstLine="436"/>
        <w:spacing w:after="0" w:line="272" w:lineRule="auto"/>
        <w:tabs>
          <w:tab w:leader="none" w:pos="695"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The execution, delivery and performance by such Holder of this Agreement will not (i) violate any provision of any Law applicable to such Holder or by which any of such Holder’s Subject Shares are bound; (ii) violate any order, judgment or decree applicable to such Holder or any of its Affiliates or by which any of such Holder’s Subject Shares are bound; or (iii) conflict with, or result in a breach or default under, any agreement or instrument to which such Holder or any of its Affiliates is a party or any term or condition of its certificate of formation, limited liability company agreement or comparable organizational documents, as applicable, except where such conflict, breach or default would not reasonably be expected to, individually or in the aggregate, have an adverse effect on such Holder’s ability to satisfy its obligations under this Agreement or to consummate the transactions contemplated hereby or by the Merger Agreement, including the Merger, on a timely basis.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86" w:right="459" w:bottom="1440" w:gutter="0" w:footer="0" w:header="0"/>
        </w:sectPr>
      </w:pPr>
    </w:p>
    <w:bookmarkStart w:id="171" w:name="page172"/>
    <w:bookmarkEnd w:id="171"/>
    <w:p>
      <w:pPr>
        <w:ind w:right="80" w:firstLine="436"/>
        <w:spacing w:after="0" w:line="311" w:lineRule="auto"/>
        <w:tabs>
          <w:tab w:leader="none" w:pos="685"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Consents and Approvals</w:t>
      </w:r>
      <w:r>
        <w:rPr>
          <w:rFonts w:ascii="Arial" w:cs="Arial" w:eastAsia="Arial" w:hAnsi="Arial"/>
          <w:sz w:val="16"/>
          <w:szCs w:val="16"/>
          <w:color w:val="auto"/>
        </w:rPr>
        <w:t>. Neither the execution and delivery by such Holder of this Agreement, nor the performance of such Holder’s obligations hereunder, require such Holder or any of its Affiliates to obtain any consent, approval, authorization or permit of, or to make any filing with or notification to, any Governmental Authority or other Person, except such filings and authorizations as may be required under the Exchange Act.</w:t>
      </w:r>
    </w:p>
    <w:p>
      <w:pPr>
        <w:spacing w:after="0" w:line="40" w:lineRule="exact"/>
        <w:rPr>
          <w:rFonts w:ascii="Arial" w:cs="Arial" w:eastAsia="Arial" w:hAnsi="Arial"/>
          <w:sz w:val="16"/>
          <w:szCs w:val="16"/>
          <w:color w:val="auto"/>
        </w:rPr>
      </w:pPr>
    </w:p>
    <w:p>
      <w:pPr>
        <w:jc w:val="both"/>
        <w:ind w:right="80" w:firstLine="436"/>
        <w:spacing w:after="0" w:line="259"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To the knowledge of such Holder, as of the date hereof, there is no Legal Proceeding pending against, or threatened in writing against, such Holder that would reasonably be expected, individually or in the aggregate, to have an adverse effect on such Holder’s ability to satisfy its obligations under this Agreement or to consummate the transactions contemplated hereby or by the Merger Agreement, including the Merger, on a timely basis.</w:t>
      </w:r>
    </w:p>
    <w:p>
      <w:pPr>
        <w:spacing w:after="0" w:line="78" w:lineRule="exact"/>
        <w:rPr>
          <w:rFonts w:ascii="Arial" w:cs="Arial" w:eastAsia="Arial" w:hAnsi="Arial"/>
          <w:sz w:val="18"/>
          <w:szCs w:val="18"/>
          <w:color w:val="auto"/>
        </w:rPr>
      </w:pPr>
    </w:p>
    <w:p>
      <w:pPr>
        <w:ind w:firstLine="436"/>
        <w:spacing w:after="0" w:line="255" w:lineRule="auto"/>
        <w:tabs>
          <w:tab w:leader="none" w:pos="68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Absence of Other Voting Agreements</w:t>
      </w:r>
      <w:r>
        <w:rPr>
          <w:rFonts w:ascii="Arial" w:cs="Arial" w:eastAsia="Arial" w:hAnsi="Arial"/>
          <w:sz w:val="18"/>
          <w:szCs w:val="18"/>
          <w:color w:val="auto"/>
        </w:rPr>
        <w:t>. None of the Subject Shares of such Holder is subject to any voting trust, proxy or other agreement, arrangement or restriction or other Lien with respect to voting, in each case, that is inconsistent with this Agreement, except as disclosed in the Company SEC Documents, as contemplated by this Agreement, or as disclosed in the Schedule 13D, as amended, currently filed by such Holder with respect to the Company. None of the Subject Shares of such Holder is subject to any pledge agreement pursuant to which such Holder does not retain voting rights with respect to its Subject Shares subject to such pledge agreement at least until the occurrence of an event of default under the related debt instrument.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80" w:firstLine="440"/>
        <w:spacing w:after="0" w:line="274"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No Solicitation</w:t>
      </w:r>
      <w:r>
        <w:rPr>
          <w:rFonts w:ascii="Arial" w:cs="Arial" w:eastAsia="Arial" w:hAnsi="Arial"/>
          <w:sz w:val="17"/>
          <w:szCs w:val="17"/>
          <w:color w:val="auto"/>
        </w:rPr>
        <w:t>. Each Holder agrees that it will not, and will cause its Affiliates not to, and will use reasonable best efforts to cause its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Representatives not to, directly or indirectly, take any action that would violate Section 5.2 of the Merger Agreement as if such Holder were deemed to be the Company for purposes of the Section 5.2 of the Merger Agreement. Notwithstanding the foregoing, in the event that the Company participates in discussions or negotiations with a Person regarding an Acquisition Proposal in accordance with Section 5.2 of the Merger Agreement, such Holder and/or any of its Representatives may engage in discussions or negotiations with such Person, provided that the Company remains at all times in full compliance with its obligations under Section 5.2 of the Merger Agreement.</w:t>
      </w:r>
    </w:p>
    <w:p>
      <w:pPr>
        <w:spacing w:after="0" w:line="6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Non-Recourse</w:t>
      </w:r>
      <w:r>
        <w:rPr>
          <w:rFonts w:ascii="Arial" w:cs="Arial" w:eastAsia="Arial" w:hAnsi="Arial"/>
          <w:sz w:val="16"/>
          <w:szCs w:val="16"/>
          <w:color w:val="auto"/>
        </w:rPr>
        <w:t>. This Agreement may only be enforced against, and any claim or cause of action based upon, arising out of, or related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transactions contemplated by this Agreement may only be brought against, the individual and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or made under this Agreement (whether for indemnification or otherwise) or of or for any claim based on, arising out of, or related to this Agreement or the transactions contemplated by this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490" w:right="479" w:bottom="1440" w:gutter="0" w:footer="0" w:header="0"/>
        </w:sectPr>
      </w:pPr>
    </w:p>
    <w:bookmarkStart w:id="172" w:name="page173"/>
    <w:bookmarkEnd w:id="172"/>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No Ownership Interest</w:t>
      </w:r>
      <w:r>
        <w:rPr>
          <w:rFonts w:ascii="Arial" w:cs="Arial" w:eastAsia="Arial" w:hAnsi="Arial"/>
          <w:sz w:val="18"/>
          <w:szCs w:val="18"/>
          <w:color w:val="auto"/>
        </w:rPr>
        <w:t>. Nothing contained in this Agreement shall be deemed to vest in Parent any direct or indirect ownership or incidence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ownership of or with respect to the Subject Shares. All rights, ownership and economic benefits of and relating to the Subject Shares shall remain vested in and belong to the applicable Holder, and Parent shall not have any authority to manage, direct, restrict, regulate, govern or administer any of the policies or operations of the Company or exercise any power or authority to direct any Holder in the voting or disposition of any Subject Shares, except as otherwise expressly provided herein.</w:t>
      </w:r>
    </w:p>
    <w:p>
      <w:pPr>
        <w:spacing w:after="0" w:line="7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Disclosure</w:t>
      </w:r>
      <w:r>
        <w:rPr>
          <w:rFonts w:ascii="Arial" w:cs="Arial" w:eastAsia="Arial" w:hAnsi="Arial"/>
          <w:sz w:val="16"/>
          <w:szCs w:val="16"/>
          <w:color w:val="auto"/>
        </w:rPr>
        <w:t>. Each Holder agrees that it will not, and will cause its controlled Affiliates not to, and will use reasonable best efforts to cause 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Representatives not to, make any public announcement or other communication to a third party regarding this Agreement or the transactions contemplated hereby without the prior written consent of Parent, except (a) to Affiliates and Representatives of such Holder or (b) as may be required by applicable Law (provided that, to the extent it is reasonably practicable and permitted by applicable Law, reasonable notice of any such disclosure required by applicable Law will be provided to Parent, and such Holder will consider in good faith the reasonable comments of Parent with respect to such disclosure and otherwise reasonably cooperate with Parent in obtaining confidential treatment with respect to such disclosure, in each case, at Parent’s sole cost and expense). Each Holder consents to and authorizes the publication and disclosure by the Company and Parent of such Holder’s identity and holding of its Subject Shares, and the terms of this Agreement (including, for avoidance of doubt, the disclosure of this Agreement), in any press release, the Proxy Statement and any other disclosure document required in connection with the Merger Agreement, the Merger and the transactions contemplated by the Merger Agreement. Each Holder agrees to, as promptly as reasonably practicable, give the Company and Parent any information with respect to such Holder’s Beneficial Ownership of its Subject Shares as the Company and Parent may reasonably require for the preparation of any such disclosure documents, and such Holder agrees to promptly notify the Company Parent of any required corrections with respect to any such information supplied by such Holder specifically for use in any such disclosure document, if and to the extent that any such information shall have, to the knowledge of such Holder, become false or misleading in any material respect.</w:t>
      </w:r>
    </w:p>
    <w:p>
      <w:pPr>
        <w:spacing w:after="0" w:line="63"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shall terminate at the earliest of: (i) the delivery of a written notice to Parent of a Company Board</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 Change in accordance with Section 5.3 of the Merger Agreement, (ii) the valid termination of the Merger Agreement in accordance with its terms, or (iii) the Effective Time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the termination of this Agreement. Neither the provisions of this </w:t>
      </w:r>
      <w:r>
        <w:rPr>
          <w:rFonts w:ascii="Arial" w:cs="Arial" w:eastAsia="Arial" w:hAnsi="Arial"/>
          <w:sz w:val="18"/>
          <w:szCs w:val="18"/>
          <w:u w:val="single" w:color="auto"/>
          <w:color w:val="auto"/>
        </w:rPr>
        <w:t>Section 6.55</w:t>
      </w:r>
      <w:r>
        <w:rPr>
          <w:rFonts w:ascii="Arial" w:cs="Arial" w:eastAsia="Arial" w:hAnsi="Arial"/>
          <w:sz w:val="18"/>
          <w:szCs w:val="18"/>
          <w:color w:val="auto"/>
        </w:rPr>
        <w:t xml:space="preserve"> nor the termination of this Agreement shall relieve (x) any party hereto from any liability of such party to any other party incurred prior to such termination or (y) any party hereto from any liability to any other party arising out of or in connection with a breach of this Agreement. Nothing in the Merger Agreement shall relieve any Holder from any liability arising out of or in connection with a breach of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486" w:right="479" w:bottom="1440" w:gutter="0" w:footer="0" w:header="0"/>
        </w:sectPr>
      </w:pPr>
    </w:p>
    <w:bookmarkStart w:id="173" w:name="page174"/>
    <w:bookmarkEnd w:id="173"/>
    <w:p>
      <w:pPr>
        <w:ind w:right="56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6.6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To the extent permitted by applicable Law and subject to the other provisions of this Agreement, this Agreement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the parties hereto at any time by execution of an instrument in writing signed on behalf of each of the parties hereto.</w:t>
      </w:r>
    </w:p>
    <w:p>
      <w:pPr>
        <w:spacing w:after="0" w:line="3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Reliance</w:t>
      </w:r>
      <w:r>
        <w:rPr>
          <w:rFonts w:ascii="Arial" w:cs="Arial" w:eastAsia="Arial" w:hAnsi="Arial"/>
          <w:sz w:val="18"/>
          <w:szCs w:val="18"/>
          <w:color w:val="auto"/>
        </w:rPr>
        <w:t>. Each Holder understands and acknowledges that Parent, Merger Sub and the Company are entering into the Merger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such Holder’s execution and delivery of this Agreement.</w:t>
      </w:r>
    </w:p>
    <w:p>
      <w:pPr>
        <w:spacing w:after="0" w:line="5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u w:val="single" w:color="auto"/>
          <w:color w:val="auto"/>
        </w:rPr>
        <w:t>Extension; Waiver</w:t>
      </w:r>
      <w:r>
        <w:rPr>
          <w:rFonts w:ascii="Arial" w:cs="Arial" w:eastAsia="Arial" w:hAnsi="Arial"/>
          <w:sz w:val="16"/>
          <w:szCs w:val="16"/>
          <w:color w:val="auto"/>
        </w:rPr>
        <w:t>. At any time and from time to time prior to the Effective Time, any party or parties hereto (it being agreed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extension or waiver by Parent also shall be an effective extension or waiver by Merger Sub) may, to the extent permitted by applicable Law and except as otherwise set forth herein, (a) extend the time for the performance of any of the obligations or other acts of the other party or parties hereto, as applicable, (b) waive any inaccuracies in the representations and warranties made to such party or parties hereto contained herein or in any document delivered pursuant hereto and (c) waive compliance with any of the agreements or conditions for the benefit of such party or parties hereto contained herein. Any agreement on the part of a party or parties hereto to any such extension or waiver (it being agreed that any agreement to an extension or waiver by Parent also shall be an effective extension or waiver by Merger Sub) shall be valid only if set forth in an instrument in writing signed on behalf of such party or parties, as applicable. Any delay in exercising any right under this Agreement shall not constitute a waiver of such right.</w:t>
      </w:r>
    </w:p>
    <w:p>
      <w:pPr>
        <w:spacing w:after="0" w:line="51"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All fees and expenses incurred in connection with this Agreement and the transactions contemplated hereby shall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incurring such fees or expenses, whether or not the Merger is consummated.</w:t>
      </w:r>
    </w:p>
    <w:p>
      <w:pPr>
        <w:spacing w:after="0" w:line="54"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and other communications hereunder shall be in writing and shall be deemed to have been duly delivered and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(a) two (2) Business Days after being sent by registered or certified mail, return receipt requested, postage prepaid, (b) one (1) Business Day after being sent for next Business Day delivery, fees prepaid, via a reputable nationwide overnight courier service, (c) immediately upon delivery by hand, or (d) on the date of receipt, if delivered by email (to the extent that no “bounce back” or similar message indicating non-delivery is received with respect thereto), in each case, to the intended recipient as set forth below (or to such other recipient or address as designated in a written notice to the other parties hereto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w:t>
      </w:r>
    </w:p>
    <w:p>
      <w:pPr>
        <w:spacing w:after="0" w:line="69" w:lineRule="exact"/>
        <w:rPr>
          <w:sz w:val="20"/>
          <w:szCs w:val="20"/>
          <w:color w:val="auto"/>
        </w:rPr>
      </w:pPr>
    </w:p>
    <w:p>
      <w:pPr>
        <w:ind w:left="1100" w:hanging="241"/>
        <w:spacing w:after="0"/>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to any Holder, to the address or electronic mail set forth for such Holder on Exhibit A hereto.</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Biogen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legaldepartment@biogen.com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486" w:right="519" w:bottom="1440" w:gutter="0" w:footer="0" w:header="0"/>
        </w:sectPr>
      </w:pPr>
    </w:p>
    <w:bookmarkStart w:id="174" w:name="page175"/>
    <w:bookmarkEnd w:id="174"/>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River Acquisition,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legaldepartment@biogen.com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420" w:right="8000" w:firstLine="8"/>
        <w:spacing w:after="0" w:line="281" w:lineRule="auto"/>
        <w:tabs>
          <w:tab w:leader="none" w:pos="17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Attention: Faiza Saeed; Mark Greene; Aaron Gruber; Bethany Pfalzgraf</w:t>
      </w:r>
    </w:p>
    <w:p>
      <w:pPr>
        <w:spacing w:after="0" w:line="9" w:lineRule="exact"/>
        <w:rPr>
          <w:rFonts w:ascii="Arial" w:cs="Arial" w:eastAsia="Arial" w:hAnsi="Arial"/>
          <w:sz w:val="16"/>
          <w:szCs w:val="16"/>
          <w:color w:val="auto"/>
        </w:rPr>
      </w:pPr>
    </w:p>
    <w:p>
      <w:pPr>
        <w:ind w:left="1420" w:right="5720"/>
        <w:spacing w:after="0" w:line="323" w:lineRule="auto"/>
        <w:rPr>
          <w:rFonts w:ascii="Arial" w:cs="Arial" w:eastAsia="Arial" w:hAnsi="Arial"/>
          <w:sz w:val="16"/>
          <w:szCs w:val="16"/>
          <w:color w:val="auto"/>
        </w:rPr>
      </w:pPr>
      <w:r>
        <w:rPr>
          <w:rFonts w:ascii="Arial" w:cs="Arial" w:eastAsia="Arial" w:hAnsi="Arial"/>
          <w:sz w:val="16"/>
          <w:szCs w:val="16"/>
          <w:color w:val="auto"/>
        </w:rPr>
        <w:t>Email: fsaeed@cravath.com; mgreene@cravath.com; agruber@cravath.com; bpfalzgraf@cravath.com</w:t>
      </w:r>
    </w:p>
    <w:p>
      <w:pPr>
        <w:spacing w:after="0" w:line="2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The parties have participated jointly in negotiating and drafting this Agreement. In the event that an ambiguity or a question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“knowledge” of a Holder means the actual knowledge of such Holder, if such Holder is an individual, or any officer of such Holder after due inquiry, if such Holder is an entity, and the “knowledge” of Parent or Merger Sub means the actual knowledge of the executive officers of Parent without investigation or further inquiry. As used herein, (a) “business day” shall have the meaning given to such term in Rule 14d-1(g) under the Exchange Act, and (b) an “Affiliate” means, with respect to any Person, any other Person directly or indirectly, controlling, controlled by, or under common control with, such Person, through one or more intermediaries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solely for purposes of this Agreement, notwithstanding anything to the contrary set forth herein, neither the Company nor any of its Subsidiaries shall be deemed to be a Subsidiary or Affiliate of any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for the avoidance of doubt, any member of a Holder shall be deemed an Affiliate such Holder;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an Affiliate of a Holder shall include any investment fund, vehicle or holding company of which such Holder or an Affiliate thereof serves as the general partner, managing member or discretionary manager or advisor;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notwithstanding the foregoing, an Affiliate of a Holder shall not include any portfolio company or other investment of such Holder or any Affiliate of such Holder.</w:t>
      </w:r>
    </w:p>
    <w:p>
      <w:pPr>
        <w:spacing w:after="0" w:line="69"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shall become effective when one or more counterparts have been signed by each of the parties and delivered to the other party, it being understood that all parties need not sign the same counterpart. Delivery of an executed counterpart of a signature page to this Agreement by facsimile or other electronic transmission, including by e-mail attachment, shall be effective as delivery of a manually executed counterpart of this Agreement. Notwithstanding the foregoing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this Agreement shall not be effective unless and until the Merger Agreement is executed and delivered by all parties thereto.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175" w:name="page176"/>
    <w:bookmarkEnd w:id="175"/>
    <w:p>
      <w:pPr>
        <w:ind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6.13 </w:t>
      </w:r>
      <w:r>
        <w:rPr>
          <w:rFonts w:ascii="Arial" w:cs="Arial" w:eastAsia="Arial" w:hAnsi="Arial"/>
          <w:sz w:val="17"/>
          <w:szCs w:val="17"/>
          <w:b w:val="1"/>
          <w:bCs w:val="1"/>
          <w:u w:val="single" w:color="auto"/>
          <w:color w:val="auto"/>
        </w:rPr>
        <w:t>No Partnership, Agency or Joint Venture</w:t>
      </w:r>
      <w:r>
        <w:rPr>
          <w:rFonts w:ascii="Arial" w:cs="Arial" w:eastAsia="Arial" w:hAnsi="Arial"/>
          <w:sz w:val="17"/>
          <w:szCs w:val="17"/>
          <w:color w:val="auto"/>
        </w:rPr>
        <w:t>. This Agreement is intended to create, and creates, a contractual relationship and is not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50"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b w:val="1"/>
          <w:bCs w:val="1"/>
          <w:color w:val="auto"/>
        </w:rPr>
        <w:t xml:space="preserve">6.14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(including any exhibits hereto), the Merger Agreement, the Confidentiality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instruments and other agreements among the parties hereto as contemplated by or referred to herein constitutes the entire agreement and supersedes all prior agreements and understandings, both written and oral, among the parties with respect to the subject matter hereof.</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Governing Law; Venue; Waiver of Jury Trial</w:t>
      </w:r>
      <w:r>
        <w:rPr>
          <w:rFonts w:ascii="Arial" w:cs="Arial" w:eastAsia="Arial" w:hAnsi="Arial"/>
          <w:sz w:val="18"/>
          <w:szCs w:val="18"/>
          <w:color w:val="auto"/>
        </w:rPr>
        <w:t>.</w:t>
      </w:r>
    </w:p>
    <w:p>
      <w:pPr>
        <w:spacing w:after="0" w:line="121" w:lineRule="exact"/>
        <w:rPr>
          <w:sz w:val="20"/>
          <w:szCs w:val="20"/>
          <w:color w:val="auto"/>
        </w:rPr>
      </w:pPr>
    </w:p>
    <w:p>
      <w:pPr>
        <w:ind w:left="440" w:right="120" w:firstLine="419"/>
        <w:spacing w:after="0" w:line="257" w:lineRule="auto"/>
        <w:tabs>
          <w:tab w:leader="none" w:pos="110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This Agreement, including any claims or causes of action (whether in contract, tort or statute) that may be based upon, arise out of or relate to this Agreement, or the negotiation, execution or performance 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79" w:lineRule="exact"/>
        <w:rPr>
          <w:rFonts w:ascii="Arial" w:cs="Arial" w:eastAsia="Arial" w:hAnsi="Arial"/>
          <w:sz w:val="18"/>
          <w:szCs w:val="18"/>
          <w:color w:val="auto"/>
        </w:rPr>
      </w:pPr>
    </w:p>
    <w:p>
      <w:pPr>
        <w:ind w:left="440" w:right="40" w:firstLine="419"/>
        <w:spacing w:after="0" w:line="268" w:lineRule="auto"/>
        <w:tabs>
          <w:tab w:leader="none" w:pos="111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Each of the parties hereto (i)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or in such other manner as may be permitted by applicable Law, and nothing in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shall affect the right of any party to serve legal process in any other manner permitted by applicable Law; (ii)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 (iii) agrees that it will not attempt to deny or defeat such personal jurisdiction by motion or other request for leave from any such court; (iv)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(v) waives any objection that it may now or hereafter have to the venue of any such action or proceeding in any such court or that such action or proceeding was brought in an inconvenient court and agrees not to plead or claim the same;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86" w:right="459" w:bottom="1440" w:gutter="0" w:footer="0" w:header="0"/>
        </w:sectPr>
      </w:pPr>
    </w:p>
    <w:bookmarkStart w:id="176" w:name="page177"/>
    <w:bookmarkEnd w:id="176"/>
    <w:p>
      <w:pPr>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(vi) agrees that it will not bring any action relating to this Agreement or the transactions contemplated hereby in any court other than the aforesaid courts. Each party hereto agrees that a final judgment in any action or proceeding in such courts as provided above shall be conclusive and may be enforced in other jurisdictions by suit on the judgment or in any other manner provided by applicable Law.</w:t>
      </w:r>
    </w:p>
    <w:p>
      <w:pPr>
        <w:spacing w:after="0" w:line="57" w:lineRule="exact"/>
        <w:rPr>
          <w:sz w:val="20"/>
          <w:szCs w:val="20"/>
          <w:color w:val="auto"/>
        </w:rPr>
      </w:pPr>
    </w:p>
    <w:p>
      <w:pPr>
        <w:ind w:left="440" w:firstLine="419"/>
        <w:spacing w:after="0" w:line="270" w:lineRule="auto"/>
        <w:tabs>
          <w:tab w:leader="none" w:pos="110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PARTY HEREBY IRREVOCABLY WAIVES ALL RIGHT TO TRIAL BY JURY IN ANY ACTION, PROCEEDING OR COUNTERCLAIM (WHETHER BASED ON CONTRACT, TORT OR OTHERWISE) DIRECTLY OR INDIRECTLY ARISING OUT OF OR RELATING TO THIS AGREEMENT, THE TRANSACTIONS CONTEMPLATED HEREBY OR THE ACTIONS OF ANY PARTY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69"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6.16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Neither this Agreement nor any of the rights, interests or obligations hereunder shall be assigned by any of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(whether by operation of law or otherwise) without the prior written consent of the other party. Any purported assignment in contravention hereof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Subject to the preceding sentence and except as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this Agreement will be binding upon, inure to the benefit of and be enforceable by the parties and their respective successors and permitted assigns.</w:t>
      </w:r>
    </w:p>
    <w:p>
      <w:pPr>
        <w:spacing w:after="0" w:line="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6.17 </w:t>
      </w: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The parties agree that irreparable damage, for which monetary damages would not be an adequate remedy, would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occur in the event that any of the provisions of this Agreement were not performed in accordance with their specific terms or were otherwise breached by the parties. Prior to the termination of this Agreement pursuant to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Arial" w:cs="Arial" w:eastAsia="Arial" w:hAnsi="Arial"/>
          <w:sz w:val="17"/>
          <w:szCs w:val="17"/>
          <w:u w:val="single" w:color="auto"/>
          <w:color w:val="auto"/>
        </w:rPr>
        <w:t>Section 6.177</w:t>
      </w:r>
      <w:r>
        <w:rPr>
          <w:rFonts w:ascii="Arial" w:cs="Arial" w:eastAsia="Arial" w:hAnsi="Arial"/>
          <w:sz w:val="17"/>
          <w:szCs w:val="17"/>
          <w:color w:val="auto"/>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Arial" w:cs="Arial" w:eastAsia="Arial" w:hAnsi="Arial"/>
          <w:sz w:val="17"/>
          <w:szCs w:val="17"/>
          <w:u w:val="single" w:color="auto"/>
          <w:color w:val="auto"/>
        </w:rPr>
        <w:t>Section 6.177</w:t>
      </w:r>
      <w:r>
        <w:rPr>
          <w:rFonts w:ascii="Arial" w:cs="Arial" w:eastAsia="Arial" w:hAnsi="Arial"/>
          <w:sz w:val="17"/>
          <w:szCs w:val="17"/>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Arial" w:cs="Arial" w:eastAsia="Arial" w:hAnsi="Arial"/>
          <w:sz w:val="17"/>
          <w:szCs w:val="17"/>
          <w:u w:val="single" w:color="auto"/>
          <w:color w:val="auto"/>
        </w:rPr>
        <w:t>Section 6.177</w:t>
      </w:r>
      <w:r>
        <w:rPr>
          <w:rFonts w:ascii="Arial" w:cs="Arial" w:eastAsia="Arial" w:hAnsi="Arial"/>
          <w:sz w:val="17"/>
          <w:szCs w:val="17"/>
          <w:color w:val="auto"/>
        </w:rPr>
        <w:t>, and each party irrevocably waives any right it may have to require the obtaining, furnishing or posting of any such bond or similar instrument.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490" w:right="499" w:bottom="1440" w:gutter="0" w:footer="0" w:header="0"/>
        </w:sectPr>
      </w:pPr>
    </w:p>
    <w:bookmarkStart w:id="177" w:name="page178"/>
    <w:bookmarkEnd w:id="177"/>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term or other provision of this Agreement, or the application thereof, is determined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invalid, illegal or incapable of being enforced by any rule of Law, or public policy, all other terms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w:t>
      </w:r>
    </w:p>
    <w:p>
      <w:pPr>
        <w:spacing w:after="0" w:line="7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6.19 </w:t>
      </w:r>
      <w:r>
        <w:rPr>
          <w:rFonts w:ascii="Arial" w:cs="Arial" w:eastAsia="Arial" w:hAnsi="Arial"/>
          <w:sz w:val="17"/>
          <w:szCs w:val="17"/>
          <w:b w:val="1"/>
          <w:bCs w:val="1"/>
          <w:u w:val="single" w:color="auto"/>
          <w:color w:val="auto"/>
        </w:rPr>
        <w:t>Liability</w:t>
      </w:r>
      <w:r>
        <w:rPr>
          <w:rFonts w:ascii="Arial" w:cs="Arial" w:eastAsia="Arial" w:hAnsi="Arial"/>
          <w:sz w:val="17"/>
          <w:szCs w:val="17"/>
          <w:color w:val="auto"/>
        </w:rPr>
        <w:t>. The rights and obligations of each of the Holders under this Agreement shall be several and not joint. All references to actions to be</w:t>
      </w:r>
      <w:r>
        <w:rPr>
          <w:rFonts w:ascii="Arial" w:cs="Arial" w:eastAsia="Arial" w:hAnsi="Arial"/>
          <w:sz w:val="17"/>
          <w:szCs w:val="17"/>
          <w:b w:val="1"/>
          <w:bCs w:val="1"/>
          <w:color w:val="auto"/>
        </w:rPr>
        <w:t xml:space="preserve"> </w:t>
      </w:r>
      <w:r>
        <w:rPr>
          <w:rFonts w:ascii="Arial" w:cs="Arial" w:eastAsia="Arial" w:hAnsi="Arial"/>
          <w:sz w:val="17"/>
          <w:szCs w:val="17"/>
          <w:color w:val="auto"/>
        </w:rPr>
        <w:t>taken by the Holders, or representations and warranties to be made, under this Agreement refer to actions to be taken or representations and warranties to be made by Holders acting severally and not jointly. Except for any liability for claims, losses, damages, liabilities or other obligations arising out of a Holder’s failure to perform its obligations hereunder, Parent agrees that no Holder (in its capacity as a Holder of its Subject Shares) will be liable for claims, losses, damages, liabilities or other obligations resulting from or relating to the Merger Agreement, including any breach by the Company of the Merger Agreement, and that the Company shall not be liable for claims, losses, damages, liabilities or other obligations resulting from or related to any Holder’s failure to perform its obligations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486" w:right="459" w:bottom="1440" w:gutter="0" w:footer="0" w:header="0"/>
        </w:sectPr>
      </w:pPr>
    </w:p>
    <w:bookmarkStart w:id="178" w:name="page179"/>
    <w:bookmarkEnd w:id="17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intending to be legally bound hereby, have executed or caused this Agreement to be executed in counterparts, all as of the day and year first above written.</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BIOGEN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Christopher A. Viehbacher</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President and Chief Executive Officer</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RIVER ACQUISITION,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Michael Dambach</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10640"/>
          </w:cols>
          <w:pgMar w:left="440" w:top="490" w:right="819" w:bottom="1440" w:gutter="0" w:footer="0" w:header="0"/>
        </w:sectPr>
      </w:pPr>
    </w:p>
    <w:bookmarkStart w:id="179" w:name="page180"/>
    <w:bookmarkEnd w:id="179"/>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WILLIAM E. ROSE</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Rose</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William E. Rose</w:t>
            </w:r>
          </w:p>
        </w:tc>
      </w:tr>
    </w:tbl>
    <w:p>
      <w:pPr>
        <w:spacing w:after="0" w:line="13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10020"/>
          </w:cols>
          <w:pgMar w:left="1440" w:top="486" w:right="439" w:bottom="1440" w:gutter="0" w:footer="0" w:header="0"/>
        </w:sectPr>
      </w:pPr>
    </w:p>
    <w:bookmarkStart w:id="180" w:name="page181"/>
    <w:bookmarkEnd w:id="180"/>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EVELYN P. ROSE</w:t>
      </w:r>
    </w:p>
    <w:p>
      <w:pPr>
        <w:spacing w:after="0" w:line="229" w:lineRule="exact"/>
        <w:rPr>
          <w:sz w:val="20"/>
          <w:szCs w:val="20"/>
          <w:color w:val="auto"/>
        </w:rPr>
      </w:pPr>
    </w:p>
    <w:p>
      <w:pPr>
        <w:jc w:val="both"/>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E. Gale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Charles E. Gale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Attorney-In-Fact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sectPr>
      </w:pPr>
    </w:p>
    <w:bookmarkStart w:id="181" w:name="page182"/>
    <w:bookmarkEnd w:id="181"/>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EVELYN P. ROSE FIDELITY SEP IRA</w:t>
      </w:r>
    </w:p>
    <w:p>
      <w:pPr>
        <w:spacing w:after="0" w:line="24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E. Gale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Charles E. Gale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Attorney-In-Fact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sectPr>
      </w:pPr>
    </w:p>
    <w:bookmarkStart w:id="182" w:name="page183"/>
    <w:bookmarkEnd w:id="182"/>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EVELYN POTTER ROSE SURVIVOR’S TRUST</w:t>
      </w:r>
    </w:p>
    <w:p>
      <w:pPr>
        <w:spacing w:after="0" w:line="24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E. Gale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Charles E. Gale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Co-Trustee</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9460"/>
          </w:cols>
          <w:pgMar w:left="1440" w:top="486" w:right="999" w:bottom="1440" w:gutter="0" w:footer="0" w:header="0"/>
        </w:sectPr>
      </w:pPr>
    </w:p>
    <w:bookmarkStart w:id="183" w:name="page184"/>
    <w:bookmarkEnd w:id="183"/>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CHARLES HENRY ROSE 2001 TRUST</w:t>
      </w:r>
    </w:p>
    <w:p>
      <w:pPr>
        <w:spacing w:after="0" w:line="24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William E. Rose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Co-Trustee</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sectPr>
      </w:pPr>
    </w:p>
    <w:bookmarkStart w:id="184" w:name="page185"/>
    <w:bookmarkEnd w:id="184"/>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JOHN WILLIAM ROSE 2002 TRUST</w:t>
      </w:r>
    </w:p>
    <w:p>
      <w:pPr>
        <w:spacing w:after="0" w:line="24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William E. Rose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Co-Trustee</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sectPr>
      </w:pPr>
    </w:p>
    <w:bookmarkStart w:id="185" w:name="page186"/>
    <w:bookmarkEnd w:id="185"/>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CHARLES E. GALE</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Gale</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Charles E. Gale</w:t>
            </w:r>
          </w:p>
        </w:tc>
      </w:tr>
    </w:tbl>
    <w:p>
      <w:pPr>
        <w:spacing w:after="0" w:line="13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10020"/>
          </w:cols>
          <w:pgMar w:left="1440" w:top="486" w:right="439" w:bottom="1440" w:gutter="0" w:footer="0" w:header="0"/>
        </w:sectPr>
      </w:pPr>
    </w:p>
    <w:bookmarkStart w:id="186" w:name="page187"/>
    <w:bookmarkEnd w:id="186"/>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CHARLES E. GALE FIDELITY ROLLOVER IRA</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Gale</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Charles E. Gale</w:t>
            </w:r>
          </w:p>
        </w:tc>
      </w:tr>
    </w:tbl>
    <w:p>
      <w:pPr>
        <w:spacing w:after="0" w:line="13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10020"/>
          </w:cols>
          <w:pgMar w:left="1440" w:top="486" w:right="439" w:bottom="1440" w:gutter="0" w:footer="0" w:header="0"/>
        </w:sectPr>
      </w:pPr>
    </w:p>
    <w:bookmarkStart w:id="187" w:name="page188"/>
    <w:bookmarkEnd w:id="187"/>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MONTROSE INVESTMENTS I, L.P.</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MONTROSE INVESTMENTS GP, LLC</w:t>
      </w:r>
    </w:p>
    <w:p>
      <w:pPr>
        <w:spacing w:after="0" w:line="237"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William E. Rose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Sole Member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sectPr>
      </w:pPr>
    </w:p>
    <w:bookmarkStart w:id="188" w:name="page189"/>
    <w:bookmarkEnd w:id="188"/>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MONTROSE INVESTMENTS GP, LLC</w:t>
      </w:r>
    </w:p>
    <w:p>
      <w:pPr>
        <w:spacing w:after="0" w:line="229"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24345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William E. Rose</w:t>
      </w:r>
    </w:p>
    <w:p>
      <w:pPr>
        <w:spacing w:after="0" w:line="23"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Sole Member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Voting and Support Agreement</w:t>
      </w: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sectPr>
      </w:pPr>
    </w:p>
    <w:bookmarkStart w:id="189" w:name="page190"/>
    <w:bookmarkEnd w:id="18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Ownership of Company Shares</w:t>
      </w:r>
      <w:r>
        <w:rPr>
          <w:rFonts w:ascii="Arial" w:cs="Arial" w:eastAsia="Arial" w:hAnsi="Arial"/>
          <w:sz w:val="26"/>
          <w:szCs w:val="26"/>
          <w:b w:val="1"/>
          <w:bCs w:val="1"/>
          <w:color w:val="auto"/>
          <w:vertAlign w:val="superscript"/>
        </w:rPr>
        <w:t>1</w:t>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Address and Email of Holder</w:t>
            </w:r>
          </w:p>
        </w:tc>
        <w:tc>
          <w:tcPr>
            <w:tcW w:w="4140" w:type="dxa"/>
            <w:vAlign w:val="bottom"/>
            <w:vMerge w:val="restart"/>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No. of Shares of</w:t>
            </w:r>
          </w:p>
        </w:tc>
        <w:tc>
          <w:tcPr>
            <w:tcW w:w="80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 of Shares of</w:t>
            </w:r>
          </w:p>
        </w:tc>
        <w:tc>
          <w:tcPr>
            <w:tcW w:w="0" w:type="dxa"/>
            <w:vAlign w:val="bottom"/>
          </w:tcPr>
          <w:p>
            <w:pPr>
              <w:spacing w:after="0"/>
              <w:rPr>
                <w:sz w:val="1"/>
                <w:szCs w:val="1"/>
                <w:color w:val="auto"/>
              </w:rPr>
            </w:pPr>
          </w:p>
        </w:tc>
      </w:tr>
      <w:tr>
        <w:trPr>
          <w:trHeight w:val="171"/>
        </w:trPr>
        <w:tc>
          <w:tcPr>
            <w:tcW w:w="2220" w:type="dxa"/>
            <w:vAlign w:val="bottom"/>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Class A Common Stock</w:t>
            </w:r>
            <w:r>
              <w:rPr>
                <w:rFonts w:ascii="Arial" w:cs="Arial" w:eastAsia="Arial" w:hAnsi="Arial"/>
                <w:sz w:val="10"/>
                <w:szCs w:val="10"/>
                <w:b w:val="1"/>
                <w:bCs w:val="1"/>
                <w:color w:val="auto"/>
              </w:rPr>
              <w:t>2</w:t>
            </w:r>
          </w:p>
        </w:tc>
        <w:tc>
          <w:tcPr>
            <w:tcW w:w="2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Class B Common Stock</w:t>
            </w:r>
          </w:p>
        </w:tc>
        <w:tc>
          <w:tcPr>
            <w:tcW w:w="0" w:type="dxa"/>
            <w:vAlign w:val="bottom"/>
          </w:tcPr>
          <w:p>
            <w:pPr>
              <w:spacing w:after="0"/>
              <w:rPr>
                <w:sz w:val="1"/>
                <w:szCs w:val="1"/>
                <w:color w:val="auto"/>
              </w:rPr>
            </w:pPr>
          </w:p>
        </w:tc>
      </w:tr>
      <w:tr>
        <w:trPr>
          <w:trHeight w:val="209"/>
        </w:trPr>
        <w:tc>
          <w:tcPr>
            <w:tcW w:w="22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William E. Rose</w:t>
            </w:r>
            <w:r>
              <w:rPr>
                <w:rFonts w:ascii="Arial" w:cs="Arial" w:eastAsia="Arial" w:hAnsi="Arial"/>
                <w:sz w:val="24"/>
                <w:szCs w:val="24"/>
                <w:color w:val="auto"/>
                <w:vertAlign w:val="superscript"/>
              </w:rPr>
              <w:t>3</w:t>
            </w:r>
          </w:p>
        </w:tc>
        <w:tc>
          <w:tcPr>
            <w:tcW w:w="4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3,240,950</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2,132,411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 Cardinal Investment</w:t>
            </w: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Company, Inc.</w:t>
            </w: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4215 West Lovers Lane,</w:t>
            </w: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Suite 200</w:t>
            </w: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Dallas TX 75209</w:t>
            </w: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wrose@montrosecap.net</w:t>
            </w: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6"/>
                <w:szCs w:val="16"/>
                <w:color w:val="auto"/>
              </w:rPr>
              <w:t xml:space="preserve">Evelyn P. Rose </w:t>
            </w:r>
            <w:r>
              <w:rPr>
                <w:rFonts w:ascii="Arial" w:cs="Arial" w:eastAsia="Arial" w:hAnsi="Arial"/>
                <w:sz w:val="23"/>
                <w:szCs w:val="23"/>
                <w:color w:val="auto"/>
                <w:vertAlign w:val="superscript"/>
              </w:rPr>
              <w:t>4</w:t>
            </w:r>
          </w:p>
        </w:tc>
        <w:tc>
          <w:tcPr>
            <w:tcW w:w="82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2,852,941</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1,965,774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c/o Cardinal Investment</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Company, Inc.</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4215 West Lovers Lane,</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Suite 200</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Dallas TX 75209</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cgale@cicinc.net</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44" w:right="200" w:hanging="444"/>
        <w:spacing w:after="0" w:line="207" w:lineRule="auto"/>
        <w:tabs>
          <w:tab w:leader="none" w:pos="444" w:val="left"/>
        </w:tabs>
        <w:numPr>
          <w:ilvl w:val="0"/>
          <w:numId w:val="186"/>
        </w:numPr>
        <w:rPr>
          <w:rFonts w:ascii="Arial" w:cs="Arial" w:eastAsia="Arial" w:hAnsi="Arial"/>
          <w:sz w:val="27"/>
          <w:szCs w:val="27"/>
          <w:color w:val="auto"/>
          <w:vertAlign w:val="superscript"/>
        </w:rPr>
      </w:pPr>
      <w:r>
        <w:rPr>
          <w:rFonts w:ascii="Arial" w:cs="Arial" w:eastAsia="Arial" w:hAnsi="Arial"/>
          <w:sz w:val="18"/>
          <w:szCs w:val="18"/>
          <w:color w:val="auto"/>
        </w:rPr>
        <w:t>The Holders jointly file a beneficial ownership report on Schedule 13D and may be deemed a group with beneficial ownership of shares held by other Holders in the group and to the extent set forth in the Schedule 13D, as amended.</w:t>
      </w:r>
    </w:p>
    <w:p>
      <w:pPr>
        <w:ind w:left="444" w:right="20" w:hanging="444"/>
        <w:spacing w:after="0" w:line="242" w:lineRule="auto"/>
        <w:tabs>
          <w:tab w:leader="none" w:pos="444" w:val="left"/>
        </w:tabs>
        <w:numPr>
          <w:ilvl w:val="0"/>
          <w:numId w:val="187"/>
        </w:numPr>
        <w:rPr>
          <w:rFonts w:ascii="Arial" w:cs="Arial" w:eastAsia="Arial" w:hAnsi="Arial"/>
          <w:sz w:val="24"/>
          <w:szCs w:val="24"/>
          <w:color w:val="auto"/>
          <w:vertAlign w:val="superscript"/>
        </w:rPr>
      </w:pPr>
      <w:r>
        <w:rPr>
          <w:rFonts w:ascii="Arial" w:cs="Arial" w:eastAsia="Arial" w:hAnsi="Arial"/>
          <w:sz w:val="16"/>
          <w:szCs w:val="16"/>
          <w:color w:val="auto"/>
        </w:rPr>
        <w:t>Each share of Class B Common Stock may be converted at the option of the holder into a shares of Class A Common Stock at any time. Accordingly, each Holder listed on this Exhibit A has beneficial ownership of the number of shares of Class A Common Stock equal to the number of shares of Class B Common Stock beneficially owned by such Holder and Class A Common Stock totals include all shares of Class B Common</w:t>
      </w:r>
    </w:p>
    <w:p>
      <w:pPr>
        <w:spacing w:after="0" w:line="200" w:lineRule="exact"/>
        <w:rPr>
          <w:sz w:val="20"/>
          <w:szCs w:val="20"/>
          <w:color w:val="auto"/>
        </w:rPr>
      </w:pPr>
    </w:p>
    <w:p>
      <w:pPr>
        <w:ind w:left="444" w:right="20" w:hanging="444"/>
        <w:spacing w:after="0" w:line="271" w:lineRule="auto"/>
        <w:tabs>
          <w:tab w:leader="none" w:pos="444" w:val="left"/>
        </w:tabs>
        <w:numPr>
          <w:ilvl w:val="0"/>
          <w:numId w:val="188"/>
        </w:numPr>
        <w:rPr>
          <w:rFonts w:ascii="Arial" w:cs="Arial" w:eastAsia="Arial" w:hAnsi="Arial"/>
          <w:sz w:val="24"/>
          <w:szCs w:val="24"/>
          <w:color w:val="auto"/>
          <w:vertAlign w:val="superscript"/>
        </w:rPr>
      </w:pPr>
      <w:r>
        <w:rPr>
          <w:rFonts w:ascii="Arial" w:cs="Arial" w:eastAsia="Arial" w:hAnsi="Arial"/>
          <w:sz w:val="16"/>
          <w:szCs w:val="16"/>
          <w:color w:val="auto"/>
        </w:rPr>
        <w:t>Consists of 11,618 shares of Class A Common Stock and 129,308 shares of Class B Common Stock held by William E. Rose over which he has sole voting and investment control, 20 shares of Class A Common Stock and 215 shares of Class B Common Stock held by the Charles Henry Rose 2001 Trust and 45 shares of Class A Common Stock and 492 shares of Class B Common Stock held by the John William Rose 2002 Trust, over which Mr. Rose is trustee and over which he has shared voting and investment control with Catherine Marcus, 180,909 shares of Class A Common Stock held by Montrose Investments I, L.P., of which Mr. Rose is the sole member and manager of Montrose Investments GP, LLC, its general partner, 7,886 shares of Class A Common Stock and 87,776 shares of Class B Common Stock held by the Evelyn P. Rose Fidelity SEP IRA, which Mr. Rose may be deemed to beneficially own as a member of a stockholder group which includes Evelyn P. Rose and Charles E. Gale, and 879,281 shares of Class A Common Stock and 1,877,998 shares of Class B Common Stock held by the Evelyn Potter Rose Survivor’s Trust (the “Survivor’s Trust”), which Mr. Rose may be deemed to beneficially own as a member of a stockholder group which includes the Survivor’s Trust. Mr. Rose also has beneficial ownership of 36,622 shares of Class B Common Stock issuable pursuant to currently exercisable stock options, 27,440 shares of Class A Common Stock issuable pursuant to currently exercisable stock options and 1,340 shares of Class A Common Stock</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issuable pursuant to stock options that will become exercisable within 60 days after July 27, 2023.</w:t>
      </w:r>
    </w:p>
    <w:p>
      <w:pPr>
        <w:spacing w:after="0" w:line="9" w:lineRule="exact"/>
        <w:rPr>
          <w:sz w:val="20"/>
          <w:szCs w:val="20"/>
          <w:color w:val="auto"/>
        </w:rPr>
      </w:pPr>
    </w:p>
    <w:p>
      <w:pPr>
        <w:jc w:val="both"/>
        <w:ind w:left="444" w:right="440" w:hanging="444"/>
        <w:spacing w:after="0" w:line="242" w:lineRule="auto"/>
        <w:tabs>
          <w:tab w:leader="none" w:pos="444" w:val="left"/>
        </w:tabs>
        <w:numPr>
          <w:ilvl w:val="0"/>
          <w:numId w:val="189"/>
        </w:numPr>
        <w:rPr>
          <w:rFonts w:ascii="Arial" w:cs="Arial" w:eastAsia="Arial" w:hAnsi="Arial"/>
          <w:sz w:val="24"/>
          <w:szCs w:val="24"/>
          <w:color w:val="auto"/>
          <w:vertAlign w:val="superscript"/>
        </w:rPr>
      </w:pPr>
      <w:r>
        <w:rPr>
          <w:rFonts w:ascii="Arial" w:cs="Arial" w:eastAsia="Arial" w:hAnsi="Arial"/>
          <w:sz w:val="16"/>
          <w:szCs w:val="16"/>
          <w:color w:val="auto"/>
        </w:rPr>
        <w:t>Consists of 879,281 shares of Class A Common Stock and 1,877,998 shares of Class B Common Stock held by the Evelyn P. Rose Survivors Trust, for which Ms. Rose serves as co-trustee with Charles E. Gale and over which she has shared voting and investment control, and 7,886 shares of Class A Common Stock and 87,776 shares of Class B Common Stock held by the Evelyn P. Rose SEP IRA, for Ms. Rose’s benefit.</w:t>
      </w:r>
    </w:p>
    <w:p>
      <w:pPr>
        <w:sectPr>
          <w:pgSz w:w="11900" w:h="16838" w:orient="portrait"/>
          <w:cols w:equalWidth="0" w:num="1">
            <w:col w:w="11024"/>
          </w:cols>
          <w:pgMar w:left="436" w:top="486" w:right="439" w:bottom="1440" w:gutter="0" w:footer="0" w:header="0"/>
        </w:sectPr>
      </w:pPr>
    </w:p>
    <w:bookmarkStart w:id="190" w:name="page191"/>
    <w:bookmarkEnd w:id="190"/>
    <w:tbl>
      <w:tblPr>
        <w:tblLayout w:type="fixed"/>
        <w:tblInd w:w="4" w:type="dxa"/>
        <w:tblCellMar>
          <w:top w:w="0" w:type="dxa"/>
          <w:left w:w="0" w:type="dxa"/>
          <w:bottom w:w="0" w:type="dxa"/>
          <w:right w:w="0" w:type="dxa"/>
        </w:tblCellMar>
      </w:tblPr>
      <w:tr>
        <w:trPr>
          <w:trHeight w:val="29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Charles E. Gale</w:t>
            </w:r>
            <w:r>
              <w:rPr>
                <w:rFonts w:ascii="Arial" w:cs="Arial" w:eastAsia="Arial" w:hAnsi="Arial"/>
                <w:sz w:val="26"/>
                <w:szCs w:val="26"/>
                <w:color w:val="auto"/>
                <w:vertAlign w:val="superscript"/>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2,777,416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1,878,311</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 Cardinal Investment</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Company, Inc.</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4215 West Lovers Lane,</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Suite 200</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Dallas TX 75209</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cgale@cicinc.net</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2"/>
        </w:trPr>
        <w:tc>
          <w:tcPr>
            <w:tcW w:w="9180" w:type="dxa"/>
            <w:vAlign w:val="bottom"/>
          </w:tcPr>
          <w:p>
            <w:pPr>
              <w:spacing w:after="0" w:line="201" w:lineRule="exact"/>
              <w:rPr>
                <w:sz w:val="20"/>
                <w:szCs w:val="20"/>
                <w:color w:val="auto"/>
              </w:rPr>
            </w:pPr>
            <w:r>
              <w:rPr>
                <w:rFonts w:ascii="Arial" w:cs="Arial" w:eastAsia="Arial" w:hAnsi="Arial"/>
                <w:sz w:val="16"/>
                <w:szCs w:val="16"/>
                <w:color w:val="auto"/>
              </w:rPr>
              <w:t>Evelyn P. Rose Survivors Trust</w:t>
            </w:r>
            <w:r>
              <w:rPr>
                <w:rFonts w:ascii="Arial" w:cs="Arial" w:eastAsia="Arial" w:hAnsi="Arial"/>
                <w:sz w:val="23"/>
                <w:szCs w:val="23"/>
                <w:color w:val="auto"/>
                <w:vertAlign w:val="superscript"/>
              </w:rPr>
              <w:t>6</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2,757,279</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1,877,998</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c/o Cardinal Investment</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9180" w:type="dxa"/>
            <w:vAlign w:val="bottom"/>
          </w:tcPr>
          <w:p>
            <w:pPr>
              <w:ind w:left="360"/>
              <w:spacing w:after="0"/>
              <w:rPr>
                <w:sz w:val="20"/>
                <w:szCs w:val="20"/>
                <w:color w:val="auto"/>
              </w:rPr>
            </w:pPr>
            <w:r>
              <w:rPr>
                <w:rFonts w:ascii="Arial" w:cs="Arial" w:eastAsia="Arial" w:hAnsi="Arial"/>
                <w:sz w:val="18"/>
                <w:szCs w:val="18"/>
                <w:color w:val="auto"/>
              </w:rPr>
              <w:t>Company, Inc.</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ind w:left="3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4215 West Lovers Lane,</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Dallas TX 75209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cgale@cicinc.net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44" w:right="40" w:hanging="444"/>
        <w:spacing w:after="0" w:line="246" w:lineRule="auto"/>
        <w:tabs>
          <w:tab w:leader="none" w:pos="444" w:val="left"/>
        </w:tabs>
        <w:numPr>
          <w:ilvl w:val="0"/>
          <w:numId w:val="190"/>
        </w:numPr>
        <w:rPr>
          <w:rFonts w:ascii="Arial" w:cs="Arial" w:eastAsia="Arial" w:hAnsi="Arial"/>
          <w:sz w:val="24"/>
          <w:szCs w:val="24"/>
          <w:color w:val="auto"/>
          <w:vertAlign w:val="superscript"/>
        </w:rPr>
      </w:pPr>
      <w:r>
        <w:rPr>
          <w:rFonts w:ascii="Arial" w:cs="Arial" w:eastAsia="Arial" w:hAnsi="Arial"/>
          <w:sz w:val="16"/>
          <w:szCs w:val="16"/>
          <w:color w:val="auto"/>
        </w:rPr>
        <w:t>Consists of 879,281 shares of Class A Common Stock and 1,877,998 shares of Class B Common Stock held by the Evelyn P. Rose Survivors Trust, for which Mr. Gale serves as a co-trustee with Evelyn P. Rose and over which he has shared voting and investment control, 19,795 shares of Class A Common Stock held by Mr. Gale over which he has sole voting and investment control, and 29 shares of Class A Common Stock and 313</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shares of Class B Common Stock held in an IRA for Mr. Gale’s benefit.</w:t>
      </w:r>
    </w:p>
    <w:p>
      <w:pPr>
        <w:spacing w:after="0" w:line="9" w:lineRule="exact"/>
        <w:rPr>
          <w:sz w:val="20"/>
          <w:szCs w:val="20"/>
          <w:color w:val="auto"/>
        </w:rPr>
      </w:pPr>
    </w:p>
    <w:p>
      <w:pPr>
        <w:ind w:left="444" w:right="440" w:hanging="444"/>
        <w:spacing w:after="0" w:line="225" w:lineRule="auto"/>
        <w:tabs>
          <w:tab w:leader="none" w:pos="444" w:val="left"/>
        </w:tabs>
        <w:numPr>
          <w:ilvl w:val="0"/>
          <w:numId w:val="191"/>
        </w:numPr>
        <w:rPr>
          <w:rFonts w:ascii="Arial" w:cs="Arial" w:eastAsia="Arial" w:hAnsi="Arial"/>
          <w:sz w:val="24"/>
          <w:szCs w:val="24"/>
          <w:color w:val="auto"/>
          <w:vertAlign w:val="superscript"/>
        </w:rPr>
      </w:pPr>
      <w:r>
        <w:rPr>
          <w:rFonts w:ascii="Arial" w:cs="Arial" w:eastAsia="Arial" w:hAnsi="Arial"/>
          <w:sz w:val="16"/>
          <w:szCs w:val="16"/>
          <w:color w:val="auto"/>
        </w:rPr>
        <w:t>Consists of 879,281 shares of Class A Common Stock and 1,877,998 shares of Class B Common Stock held by the Evelyn P. Rose Survivors Trust, for which Evelyn P. Rose and Charles E. Gale serve as co-trustees over which they share voting and investment control.</w:t>
      </w:r>
    </w:p>
    <w:sectPr>
      <w:pgSz w:w="11900" w:h="16838" w:orient="portrait"/>
      <w:cols w:equalWidth="0" w:num="1">
        <w:col w:w="11024"/>
      </w:cols>
      <w:pgMar w:left="436" w:top="4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1)"/>
      <w:numFmt w:val="lowerRoman"/>
      <w:start w:val="3"/>
    </w:lvl>
  </w:abstractNum>
  <w:abstractNum w:abstractNumId="4">
    <w:nsid w:val="5FB8011C"/>
    <w:multiLevelType w:val="hybridMultilevel"/>
    <w:lvl w:ilvl="0">
      <w:lvlJc w:val="left"/>
      <w:lvlText w:val="(%1)"/>
      <w:numFmt w:val="lowerRoman"/>
      <w:start w:val="1"/>
    </w:lvl>
  </w:abstractNum>
  <w:abstractNum w:abstractNumId="5">
    <w:nsid w:val="6AA78F7F"/>
    <w:multiLevelType w:val="hybridMultilevel"/>
    <w:lvl w:ilvl="0">
      <w:lvlJc w:val="left"/>
      <w:lvlText w:val="(%1)"/>
      <w:numFmt w:val="lowerRoman"/>
      <w:start w:val="3"/>
    </w:lvl>
  </w:abstractNum>
  <w:abstractNum w:abstractNumId="6">
    <w:nsid w:val="7672BD23"/>
    <w:multiLevelType w:val="hybridMultilevel"/>
    <w:lvl w:ilvl="0">
      <w:lvlJc w:val="left"/>
      <w:lvlText w:val="(%1)"/>
      <w:numFmt w:val="lowerRoman"/>
      <w:start w:val="1"/>
    </w:lvl>
    <w:lvl w:ilvl="1">
      <w:lvlJc w:val="left"/>
      <w:lvlText w:val="-"/>
      <w:numFmt w:val="bullet"/>
      <w:start w:val="1"/>
    </w:lvl>
  </w:abstractNum>
  <w:abstractNum w:abstractNumId="7">
    <w:nsid w:val="6FC75AF8"/>
    <w:multiLevelType w:val="hybridMultilevel"/>
    <w:lvl w:ilvl="0">
      <w:lvlJc w:val="left"/>
      <w:lvlText w:val="%1"/>
      <w:numFmt w:val="decimal"/>
      <w:start w:val="1"/>
    </w:lvl>
    <w:lvl w:ilvl="1">
      <w:lvlJc w:val="left"/>
      <w:lvlText w:val="(%2)"/>
      <w:numFmt w:val="lowerRoman"/>
      <w:start w:val="7"/>
    </w:lvl>
  </w:abstractNum>
  <w:abstractNum w:abstractNumId="8">
    <w:nsid w:val="6A5F7029"/>
    <w:multiLevelType w:val="hybridMultilevel"/>
    <w:lvl w:ilvl="0">
      <w:lvlJc w:val="left"/>
      <w:lvlText w:val="(%1)"/>
      <w:numFmt w:val="decimal"/>
      <w:start w:val="3"/>
    </w:lvl>
    <w:lvl w:ilvl="1">
      <w:lvlJc w:val="left"/>
      <w:lvlText w:val="(%2)"/>
      <w:numFmt w:val="lowerRoman"/>
      <w:start w:val="10"/>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1)"/>
      <w:numFmt w:val="lowerLetter"/>
      <w:start w:val="2"/>
    </w:lvl>
  </w:abstractNum>
  <w:abstractNum w:abstractNumId="11">
    <w:nsid w:val="73A1821B"/>
    <w:multiLevelType w:val="hybridMultilevel"/>
    <w:lvl w:ilvl="0">
      <w:lvlJc w:val="left"/>
      <w:lvlText w:val="(%1)"/>
      <w:numFmt w:val="decimal"/>
      <w:start w:val="30"/>
    </w:lvl>
  </w:abstractNum>
  <w:abstractNum w:abstractNumId="12">
    <w:nsid w:val="7DE67713"/>
    <w:multiLevelType w:val="hybridMultilevel"/>
    <w:lvl w:ilvl="0">
      <w:lvlJc w:val="left"/>
      <w:lvlText w:val="(%1)"/>
      <w:numFmt w:val="lowerLetter"/>
      <w:start w:val="2"/>
    </w:lvl>
  </w:abstractNum>
  <w:abstractNum w:abstractNumId="13">
    <w:nsid w:val="555C55B5"/>
    <w:multiLevelType w:val="hybridMultilevel"/>
    <w:lvl w:ilvl="0">
      <w:lvlJc w:val="left"/>
      <w:lvlText w:val="(%1)"/>
      <w:numFmt w:val="lowerLetter"/>
      <w:start w:val="3"/>
    </w:lvl>
    <w:lvl w:ilvl="1">
      <w:lvlJc w:val="left"/>
      <w:lvlText w:val="-"/>
      <w:numFmt w:val="bullet"/>
      <w:start w:val="1"/>
    </w:lvl>
  </w:abstractNum>
  <w:abstractNum w:abstractNumId="14">
    <w:nsid w:val="3FA62ACA"/>
    <w:multiLevelType w:val="hybridMultilevel"/>
    <w:lvl w:ilvl="0">
      <w:lvlJc w:val="left"/>
      <w:lvlText w:val="(%1)"/>
      <w:numFmt w:val="lowerLetter"/>
      <w:start w:val="1"/>
    </w:lvl>
    <w:lvl w:ilvl="1">
      <w:lvlJc w:val="left"/>
      <w:lvlText w:val="-"/>
      <w:numFmt w:val="bullet"/>
      <w:start w:val="1"/>
    </w:lvl>
  </w:abstractNum>
  <w:abstractNum w:abstractNumId="15">
    <w:nsid w:val="14FCE74E"/>
    <w:multiLevelType w:val="hybridMultilevel"/>
    <w:lvl w:ilvl="0">
      <w:lvlJc w:val="left"/>
      <w:lvlText w:val="%1"/>
      <w:numFmt w:val="lowerLetter"/>
      <w:start w:val="1"/>
    </w:lvl>
    <w:lvl w:ilvl="1">
      <w:lvlJc w:val="left"/>
      <w:lvlText w:val="(%2)"/>
      <w:numFmt w:val="lowerLetter"/>
      <w:start w:val="13"/>
    </w:lvl>
  </w:abstractNum>
  <w:abstractNum w:abstractNumId="16">
    <w:nsid w:val="6A3DD3E8"/>
    <w:multiLevelType w:val="hybridMultilevel"/>
    <w:lvl w:ilvl="0">
      <w:lvlJc w:val="left"/>
      <w:lvlText w:val="(%1)"/>
      <w:numFmt w:val="lowerLetter"/>
      <w:start w:val="35"/>
    </w:lvl>
    <w:lvl w:ilvl="1">
      <w:lvlJc w:val="left"/>
      <w:lvlText w:val="(%2)"/>
      <w:numFmt w:val="lowerLetter"/>
      <w:start w:val="14"/>
    </w:lvl>
  </w:abstractNum>
  <w:abstractNum w:abstractNumId="17">
    <w:nsid w:val="71C91298"/>
    <w:multiLevelType w:val="hybridMultilevel"/>
    <w:lvl w:ilvl="0">
      <w:lvlJc w:val="left"/>
      <w:lvlText w:val="(%1)"/>
      <w:numFmt w:val="lowerLetter"/>
      <w:start w:val="1"/>
    </w:lvl>
  </w:abstractNum>
  <w:abstractNum w:abstractNumId="18">
    <w:nsid w:val="9DAF632"/>
    <w:multiLevelType w:val="hybridMultilevel"/>
    <w:lvl w:ilvl="0">
      <w:lvlJc w:val="left"/>
      <w:lvlText w:val="(%1)"/>
      <w:numFmt w:val="lowerLetter"/>
      <w:start w:val="1"/>
    </w:lvl>
  </w:abstractNum>
  <w:abstractNum w:abstractNumId="19">
    <w:nsid w:val="53299938"/>
    <w:multiLevelType w:val="hybridMultilevel"/>
    <w:lvl w:ilvl="0">
      <w:lvlJc w:val="left"/>
      <w:lvlText w:val="(%1)"/>
      <w:numFmt w:val="lowerLetter"/>
      <w:start w:val="1"/>
    </w:lvl>
    <w:lvl w:ilvl="1">
      <w:lvlJc w:val="left"/>
      <w:lvlText w:val="-"/>
      <w:numFmt w:val="bullet"/>
      <w:start w:val="1"/>
    </w:lvl>
  </w:abstractNum>
  <w:abstractNum w:abstractNumId="20">
    <w:nsid w:val="1FBFE8E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
    <w:nsid w:val="5092CA7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2">
    <w:nsid w:val="1D545C4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3">
    <w:nsid w:val="59ADEA3D"/>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4">
    <w:nsid w:val="288F1A34"/>
    <w:multiLevelType w:val="hybridMultilevel"/>
    <w:lvl w:ilvl="0">
      <w:lvlJc w:val="left"/>
      <w:lvlText w:val="(%1)"/>
      <w:numFmt w:val="lowerLetter"/>
      <w:start w:val="4"/>
    </w:lvl>
    <w:lvl w:ilvl="1">
      <w:lvlJc w:val="left"/>
      <w:lvlText w:val="%2"/>
      <w:numFmt w:val="lowerLetter"/>
      <w:start w:val="1"/>
    </w:lvl>
    <w:lvl w:ilvl="2">
      <w:lvlJc w:val="left"/>
      <w:lvlText w:val="-"/>
      <w:numFmt w:val="bullet"/>
      <w:start w:val="1"/>
    </w:lvl>
  </w:abstractNum>
  <w:abstractNum w:abstractNumId="25">
    <w:nsid w:val="2A155DBC"/>
    <w:multiLevelType w:val="hybridMultilevel"/>
    <w:lvl w:ilvl="0">
      <w:lvlJc w:val="left"/>
      <w:lvlText w:val="(%1)"/>
      <w:numFmt w:val="lowerLetter"/>
      <w:start w:val="6"/>
    </w:lvl>
  </w:abstractNum>
  <w:abstractNum w:abstractNumId="26">
    <w:nsid w:val="1D9F6E5F"/>
    <w:multiLevelType w:val="hybridMultilevel"/>
    <w:lvl w:ilvl="0">
      <w:lvlJc w:val="left"/>
      <w:lvlText w:val="(%1)"/>
      <w:numFmt w:val="lowerLetter"/>
      <w:start w:val="1"/>
    </w:lvl>
    <w:lvl w:ilvl="1">
      <w:lvlJc w:val="left"/>
      <w:lvlText w:val="-"/>
      <w:numFmt w:val="bullet"/>
      <w:start w:val="1"/>
    </w:lvl>
  </w:abstractNum>
  <w:abstractNum w:abstractNumId="27">
    <w:nsid w:val="97E1B4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8">
    <w:nsid w:val="51088277"/>
    <w:multiLevelType w:val="hybridMultilevel"/>
    <w:lvl w:ilvl="0">
      <w:lvlJc w:val="left"/>
      <w:lvlText w:val="(%1)"/>
      <w:numFmt w:val="lowerRoman"/>
      <w:start w:val="2"/>
    </w:lvl>
    <w:lvl w:ilvl="1">
      <w:lvlJc w:val="left"/>
      <w:lvlText w:val="-"/>
      <w:numFmt w:val="bullet"/>
      <w:start w:val="1"/>
    </w:lvl>
  </w:abstractNum>
  <w:abstractNum w:abstractNumId="29">
    <w:nsid w:val="1CA0C5FA"/>
    <w:multiLevelType w:val="hybridMultilevel"/>
    <w:lvl w:ilvl="0">
      <w:lvlJc w:val="left"/>
      <w:lvlText w:val="(%1)"/>
      <w:numFmt w:val="lowerLetter"/>
      <w:start w:val="4"/>
    </w:lvl>
  </w:abstractNum>
  <w:abstractNum w:abstractNumId="30">
    <w:nsid w:val="53584BCB"/>
    <w:multiLevelType w:val="hybridMultilevel"/>
    <w:lvl w:ilvl="0">
      <w:lvlJc w:val="left"/>
      <w:lvlText w:val="(%1)"/>
      <w:numFmt w:val="lowerLetter"/>
      <w:start w:val="25"/>
    </w:lvl>
  </w:abstractNum>
  <w:abstractNum w:abstractNumId="31">
    <w:nsid w:val="415E286C"/>
    <w:multiLevelType w:val="hybridMultilevel"/>
    <w:lvl w:ilvl="0">
      <w:lvlJc w:val="left"/>
      <w:lvlText w:val="(%1)"/>
      <w:numFmt w:val="lowerLetter"/>
      <w:start w:val="1"/>
    </w:lvl>
    <w:lvl w:ilvl="1">
      <w:lvlJc w:val="left"/>
      <w:lvlText w:val="-"/>
      <w:numFmt w:val="bullet"/>
      <w:start w:val="1"/>
    </w:lvl>
  </w:abstractNum>
  <w:abstractNum w:abstractNumId="32">
    <w:nsid w:val="7C58FD05"/>
    <w:multiLevelType w:val="hybridMultilevel"/>
    <w:lvl w:ilvl="0">
      <w:lvlJc w:val="left"/>
      <w:lvlText w:val="(%1)"/>
      <w:numFmt w:val="lowerLetter"/>
      <w:start w:val="2"/>
    </w:lvl>
  </w:abstractNum>
  <w:abstractNum w:abstractNumId="33">
    <w:nsid w:val="23D86AAC"/>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34">
    <w:nsid w:val="45E6D486"/>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35">
    <w:nsid w:val="5C10FE21"/>
    <w:multiLevelType w:val="hybridMultilevel"/>
    <w:lvl w:ilvl="0">
      <w:lvlJc w:val="left"/>
      <w:lvlText w:val="(%1)"/>
      <w:numFmt w:val="lowerLetter"/>
      <w:start w:val="4"/>
    </w:lvl>
  </w:abstractNum>
  <w:abstractNum w:abstractNumId="36">
    <w:nsid w:val="E7FFA2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7">
    <w:nsid w:val="3C5991AA"/>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38">
    <w:nsid w:val="4BD8591A"/>
    <w:multiLevelType w:val="hybridMultilevel"/>
    <w:lvl w:ilvl="0">
      <w:lvlJc w:val="left"/>
      <w:lvlText w:val="(%1)"/>
      <w:numFmt w:val="lowerLetter"/>
      <w:start w:val="4"/>
    </w:lvl>
  </w:abstractNum>
  <w:abstractNum w:abstractNumId="39">
    <w:nsid w:val="78DF6A55"/>
    <w:multiLevelType w:val="hybridMultilevel"/>
    <w:lvl w:ilvl="0">
      <w:lvlJc w:val="left"/>
      <w:lvlText w:val="(%1)"/>
      <w:numFmt w:val="lowerLetter"/>
      <w:start w:val="1"/>
    </w:lvl>
    <w:lvl w:ilvl="1">
      <w:lvlJc w:val="left"/>
      <w:lvlText w:val="-"/>
      <w:numFmt w:val="bullet"/>
      <w:start w:val="1"/>
    </w:lvl>
  </w:abstractNum>
  <w:abstractNum w:abstractNumId="40">
    <w:nsid w:val="39B7AAA2"/>
    <w:multiLevelType w:val="hybridMultilevel"/>
    <w:lvl w:ilvl="0">
      <w:lvlJc w:val="left"/>
      <w:lvlText w:val="(%1)"/>
      <w:numFmt w:val="lowerLetter"/>
      <w:start w:val="2"/>
    </w:lvl>
    <w:lvl w:ilvl="1">
      <w:lvlJc w:val="left"/>
      <w:lvlText w:val="-"/>
      <w:numFmt w:val="bullet"/>
      <w:start w:val="1"/>
    </w:lvl>
  </w:abstractNum>
  <w:abstractNum w:abstractNumId="41">
    <w:nsid w:val="2B0D8DBE"/>
    <w:multiLevelType w:val="hybridMultilevel"/>
    <w:lvl w:ilvl="0">
      <w:lvlJc w:val="left"/>
      <w:lvlText w:val="(%1)"/>
      <w:numFmt w:val="lowerLetter"/>
      <w:start w:val="5"/>
    </w:lvl>
  </w:abstractNum>
  <w:abstractNum w:abstractNumId="42">
    <w:nsid w:val="6C80EC70"/>
    <w:multiLevelType w:val="hybridMultilevel"/>
    <w:lvl w:ilvl="0">
      <w:lvlJc w:val="left"/>
      <w:lvlText w:val="(%1)"/>
      <w:numFmt w:val="lowerLetter"/>
      <w:start w:val="1"/>
    </w:lvl>
  </w:abstractNum>
  <w:abstractNum w:abstractNumId="43">
    <w:nsid w:val="379E21B5"/>
    <w:multiLevelType w:val="hybridMultilevel"/>
    <w:lvl w:ilvl="0">
      <w:lvlJc w:val="left"/>
      <w:lvlText w:val="(%1)"/>
      <w:numFmt w:val="lowerLetter"/>
      <w:start w:val="1"/>
    </w:lvl>
    <w:lvl w:ilvl="1">
      <w:lvlJc w:val="left"/>
      <w:lvlText w:val="-"/>
      <w:numFmt w:val="bullet"/>
      <w:start w:val="1"/>
    </w:lvl>
  </w:abstractNum>
  <w:abstractNum w:abstractNumId="44">
    <w:nsid w:val="69E373"/>
    <w:multiLevelType w:val="hybridMultilevel"/>
    <w:lvl w:ilvl="0">
      <w:lvlJc w:val="left"/>
      <w:lvlText w:val="(%1)"/>
      <w:numFmt w:val="lowerLetter"/>
      <w:start w:val="2"/>
    </w:lvl>
  </w:abstractNum>
  <w:abstractNum w:abstractNumId="45">
    <w:nsid w:val="2C27173B"/>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46">
    <w:nsid w:val="4C9B0904"/>
    <w:multiLevelType w:val="hybridMultilevel"/>
    <w:lvl w:ilvl="0">
      <w:lvlJc w:val="left"/>
      <w:lvlText w:val="(%1)"/>
      <w:numFmt w:val="upperLetter"/>
      <w:start w:val="3"/>
    </w:lvl>
    <w:lvl w:ilvl="1">
      <w:lvlJc w:val="left"/>
      <w:lvlText w:val="%2"/>
      <w:numFmt w:val="lowerLetter"/>
      <w:start w:val="1"/>
    </w:lvl>
    <w:lvl w:ilvl="2">
      <w:lvlJc w:val="left"/>
      <w:lvlText w:val="-"/>
      <w:numFmt w:val="bullet"/>
      <w:start w:val="1"/>
    </w:lvl>
  </w:abstractNum>
  <w:abstractNum w:abstractNumId="47">
    <w:nsid w:val="6AA7B75C"/>
    <w:multiLevelType w:val="hybridMultilevel"/>
    <w:lvl w:ilvl="0">
      <w:lvlJc w:val="left"/>
      <w:lvlText w:val="(%1)"/>
      <w:numFmt w:val="lowerLetter"/>
      <w:start w:val="2"/>
    </w:lvl>
    <w:lvl w:ilvl="1">
      <w:lvlJc w:val="left"/>
      <w:lvlText w:val="-"/>
      <w:numFmt w:val="bullet"/>
      <w:start w:val="1"/>
    </w:lvl>
  </w:abstractNum>
  <w:abstractNum w:abstractNumId="48">
    <w:nsid w:val="1DF029D3"/>
    <w:multiLevelType w:val="hybridMultilevel"/>
    <w:lvl w:ilvl="0">
      <w:lvlJc w:val="left"/>
      <w:lvlText w:val="(%1)"/>
      <w:numFmt w:val="lowerLetter"/>
      <w:start w:val="7"/>
    </w:lvl>
  </w:abstractNum>
  <w:abstractNum w:abstractNumId="49">
    <w:nsid w:val="5675FF3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0">
    <w:nsid w:val="3DD15094"/>
    <w:multiLevelType w:val="hybridMultilevel"/>
    <w:lvl w:ilvl="0">
      <w:lvlJc w:val="left"/>
      <w:lvlText w:val="(%1)"/>
      <w:numFmt w:val="lowerLetter"/>
      <w:start w:val="2"/>
    </w:lvl>
  </w:abstractNum>
  <w:abstractNum w:abstractNumId="51">
    <w:nsid w:val="3DB012B3"/>
    <w:multiLevelType w:val="hybridMultilevel"/>
    <w:lvl w:ilvl="0">
      <w:lvlJc w:val="left"/>
      <w:lvlText w:val="(%1)"/>
      <w:numFmt w:val="lowerLetter"/>
      <w:start w:val="1"/>
    </w:lvl>
    <w:lvl w:ilvl="1">
      <w:lvlJc w:val="left"/>
      <w:lvlText w:val="-"/>
      <w:numFmt w:val="bullet"/>
      <w:start w:val="1"/>
    </w:lvl>
  </w:abstractNum>
  <w:abstractNum w:abstractNumId="52">
    <w:nsid w:val="2708C9AF"/>
    <w:multiLevelType w:val="hybridMultilevel"/>
    <w:lvl w:ilvl="0">
      <w:lvlJc w:val="left"/>
      <w:lvlText w:val="(%1)"/>
      <w:numFmt w:val="lowerLetter"/>
      <w:start w:val="2"/>
    </w:lvl>
  </w:abstractNum>
  <w:abstractNum w:abstractNumId="53">
    <w:nsid w:val="5B25ACE2"/>
    <w:multiLevelType w:val="hybridMultilevel"/>
    <w:lvl w:ilvl="0">
      <w:lvlJc w:val="left"/>
      <w:lvlText w:val="(%1)"/>
      <w:numFmt w:val="lowerLetter"/>
      <w:start w:val="1"/>
    </w:lvl>
    <w:lvl w:ilvl="1">
      <w:lvlJc w:val="left"/>
      <w:lvlText w:val="-"/>
      <w:numFmt w:val="bullet"/>
      <w:start w:val="1"/>
    </w:lvl>
  </w:abstractNum>
  <w:abstractNum w:abstractNumId="54">
    <w:nsid w:val="175DFCF0"/>
    <w:multiLevelType w:val="hybridMultilevel"/>
    <w:lvl w:ilvl="0">
      <w:lvlJc w:val="left"/>
      <w:lvlText w:val="(%1)"/>
      <w:numFmt w:val="lowerLetter"/>
      <w:start w:val="4"/>
    </w:lvl>
    <w:lvl w:ilvl="1">
      <w:lvlJc w:val="left"/>
      <w:lvlText w:val="-"/>
      <w:numFmt w:val="bullet"/>
      <w:start w:val="1"/>
    </w:lvl>
  </w:abstractNum>
  <w:abstractNum w:abstractNumId="55">
    <w:nsid w:val="4F97E3E4"/>
    <w:multiLevelType w:val="hybridMultilevel"/>
    <w:lvl w:ilvl="0">
      <w:lvlJc w:val="left"/>
      <w:lvlText w:val="(%1)"/>
      <w:numFmt w:val="lowerRoman"/>
      <w:start w:val="1"/>
    </w:lvl>
  </w:abstractNum>
  <w:abstractNum w:abstractNumId="56">
    <w:nsid w:val="53B0A9E"/>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57">
    <w:nsid w:val="34FD6B4F"/>
    <w:multiLevelType w:val="hybridMultilevel"/>
    <w:lvl w:ilvl="0">
      <w:lvlJc w:val="left"/>
      <w:lvlText w:val="(%1)"/>
      <w:numFmt w:val="lowerRoman"/>
      <w:start w:val="3"/>
    </w:lvl>
    <w:lvl w:ilvl="1">
      <w:lvlJc w:val="left"/>
      <w:lvlText w:val="(%2)"/>
      <w:numFmt w:val="lowerLetter"/>
      <w:start w:val="2"/>
    </w:lvl>
    <w:lvl w:ilvl="2">
      <w:lvlJc w:val="left"/>
      <w:lvlText w:val="-"/>
      <w:numFmt w:val="bullet"/>
      <w:start w:val="1"/>
    </w:lvl>
  </w:abstractNum>
  <w:abstractNum w:abstractNumId="58">
    <w:nsid w:val="5915FF32"/>
    <w:multiLevelType w:val="hybridMultilevel"/>
    <w:lvl w:ilvl="0">
      <w:lvlJc w:val="left"/>
      <w:lvlText w:val="(%1)"/>
      <w:numFmt w:val="lowerLetter"/>
      <w:start w:val="1"/>
    </w:lvl>
    <w:lvl w:ilvl="1">
      <w:lvlJc w:val="left"/>
      <w:lvlText w:val="-"/>
      <w:numFmt w:val="bullet"/>
      <w:start w:val="1"/>
    </w:lvl>
  </w:abstractNum>
  <w:abstractNum w:abstractNumId="59">
    <w:nsid w:val="56438D1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0">
    <w:nsid w:val="519E3149"/>
    <w:multiLevelType w:val="hybridMultilevel"/>
    <w:lvl w:ilvl="0">
      <w:lvlJc w:val="left"/>
      <w:lvlText w:val="(%1)"/>
      <w:numFmt w:val="lowerRoman"/>
      <w:start w:val="9"/>
    </w:lvl>
  </w:abstractNum>
  <w:abstractNum w:abstractNumId="61">
    <w:nsid w:val="2C6E4AFD"/>
    <w:multiLevelType w:val="hybridMultilevel"/>
    <w:lvl w:ilvl="0">
      <w:lvlJc w:val="left"/>
      <w:lvlText w:val="(%1)"/>
      <w:numFmt w:val="lowerLetter"/>
      <w:start w:val="2"/>
    </w:lvl>
  </w:abstractNum>
  <w:abstractNum w:abstractNumId="62">
    <w:nsid w:val="17A1B582"/>
    <w:multiLevelType w:val="hybridMultilevel"/>
    <w:lvl w:ilvl="0">
      <w:lvlJc w:val="left"/>
      <w:lvlText w:val="(%1)"/>
      <w:numFmt w:val="lowerLetter"/>
      <w:start w:val="1"/>
    </w:lvl>
    <w:lvl w:ilvl="1">
      <w:lvlJc w:val="left"/>
      <w:lvlText w:val="-"/>
      <w:numFmt w:val="bullet"/>
      <w:start w:val="1"/>
    </w:lvl>
  </w:abstractNum>
  <w:abstractNum w:abstractNumId="63">
    <w:nsid w:val="4DF72E4E"/>
    <w:multiLevelType w:val="hybridMultilevel"/>
    <w:lvl w:ilvl="0">
      <w:lvlJc w:val="left"/>
      <w:lvlText w:val="%1"/>
      <w:numFmt w:val="lowerRoman"/>
      <w:start w:val="1"/>
    </w:lvl>
    <w:lvl w:ilvl="1">
      <w:lvlJc w:val="left"/>
      <w:lvlText w:val="(%2)"/>
      <w:numFmt w:val="lowerLetter"/>
      <w:start w:val="2"/>
    </w:lvl>
  </w:abstractNum>
  <w:abstractNum w:abstractNumId="64">
    <w:nsid w:val="5046B5A9"/>
    <w:multiLevelType w:val="hybridMultilevel"/>
    <w:lvl w:ilvl="0">
      <w:lvlJc w:val="left"/>
      <w:lvlText w:val="(%1)"/>
      <w:numFmt w:val="lowerRoman"/>
      <w:start w:val="4"/>
    </w:lvl>
    <w:lvl w:ilvl="1">
      <w:lvlJc w:val="left"/>
      <w:lvlText w:val="%2"/>
      <w:numFmt w:val="lowerLetter"/>
      <w:start w:val="1"/>
    </w:lvl>
  </w:abstractNum>
  <w:abstractNum w:abstractNumId="65">
    <w:nsid w:val="5D888A08"/>
    <w:multiLevelType w:val="hybridMultilevel"/>
    <w:lvl w:ilvl="0">
      <w:lvlJc w:val="left"/>
      <w:lvlText w:val="(%1)"/>
      <w:numFmt w:val="lowerRoman"/>
      <w:start w:val="1"/>
    </w:lvl>
  </w:abstractNum>
  <w:abstractNum w:abstractNumId="66">
    <w:nsid w:val="2A082C70"/>
    <w:multiLevelType w:val="hybridMultilevel"/>
    <w:lvl w:ilvl="0">
      <w:lvlJc w:val="left"/>
      <w:lvlText w:val="(%1)"/>
      <w:numFmt w:val="lowerLetter"/>
      <w:start w:val="1"/>
    </w:lvl>
  </w:abstractNum>
  <w:abstractNum w:abstractNumId="67">
    <w:nsid w:val="5EC6AFD4"/>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68">
    <w:nsid w:val="19E21BB2"/>
    <w:multiLevelType w:val="hybridMultilevel"/>
    <w:lvl w:ilvl="0">
      <w:lvlJc w:val="left"/>
      <w:lvlText w:val="(%1)"/>
      <w:numFmt w:val="decimal"/>
      <w:start w:val="1"/>
    </w:lvl>
    <w:lvl w:ilvl="1">
      <w:lvlJc w:val="left"/>
      <w:lvlText w:val="(%2)"/>
      <w:numFmt w:val="lowerRoman"/>
      <w:start w:val="7"/>
    </w:lvl>
    <w:lvl w:ilvl="2">
      <w:lvlJc w:val="left"/>
      <w:lvlText w:val="-"/>
      <w:numFmt w:val="bullet"/>
      <w:start w:val="1"/>
    </w:lvl>
  </w:abstractNum>
  <w:abstractNum w:abstractNumId="69">
    <w:nsid w:val="75E0858A"/>
    <w:multiLevelType w:val="hybridMultilevel"/>
    <w:lvl w:ilvl="0">
      <w:lvlJc w:val="left"/>
      <w:lvlText w:val="%1"/>
      <w:numFmt w:val="upperLetter"/>
      <w:start w:val="1"/>
    </w:lvl>
    <w:lvl w:ilvl="1">
      <w:lvlJc w:val="left"/>
      <w:lvlText w:val="(%2)"/>
      <w:numFmt w:val="lowerRoman"/>
      <w:start w:val="8"/>
    </w:lvl>
    <w:lvl w:ilvl="2">
      <w:lvlJc w:val="left"/>
      <w:lvlText w:val="-"/>
      <w:numFmt w:val="bullet"/>
      <w:start w:val="1"/>
    </w:lvl>
  </w:abstractNum>
  <w:abstractNum w:abstractNumId="70">
    <w:nsid w:val="57A61A29"/>
    <w:multiLevelType w:val="hybridMultilevel"/>
    <w:lvl w:ilvl="0">
      <w:lvlJc w:val="left"/>
      <w:lvlText w:val="(%1)"/>
      <w:numFmt w:val="upperLetter"/>
      <w:start w:val="6"/>
    </w:lvl>
    <w:lvl w:ilvl="1">
      <w:lvlJc w:val="left"/>
      <w:lvlText w:val="(%2)"/>
      <w:numFmt w:val="lowerRoman"/>
      <w:start w:val="14"/>
    </w:lvl>
    <w:lvl w:ilvl="2">
      <w:lvlJc w:val="left"/>
      <w:lvlText w:val="-"/>
      <w:numFmt w:val="bullet"/>
      <w:start w:val="1"/>
    </w:lvl>
  </w:abstractNum>
  <w:abstractNum w:abstractNumId="71">
    <w:nsid w:val="5399C654"/>
    <w:multiLevelType w:val="hybridMultilevel"/>
    <w:lvl w:ilvl="0">
      <w:lvlJc w:val="left"/>
      <w:lvlText w:val="%1"/>
      <w:numFmt w:val="upperLetter"/>
      <w:start w:val="1"/>
    </w:lvl>
    <w:lvl w:ilvl="1">
      <w:lvlJc w:val="left"/>
      <w:lvlText w:val="(%2)"/>
      <w:numFmt w:val="lowerRoman"/>
      <w:start w:val="17"/>
    </w:lvl>
  </w:abstractNum>
  <w:abstractNum w:abstractNumId="72">
    <w:nsid w:val="20EE1348"/>
    <w:multiLevelType w:val="hybridMultilevel"/>
    <w:lvl w:ilvl="0">
      <w:lvlJc w:val="left"/>
      <w:lvlText w:val="(%1)"/>
      <w:numFmt w:val="upperLetter"/>
      <w:start w:val="2"/>
    </w:lvl>
    <w:lvl w:ilvl="1">
      <w:lvlJc w:val="left"/>
      <w:lvlText w:val="(%2)"/>
      <w:numFmt w:val="lowerRoman"/>
      <w:start w:val="20"/>
    </w:lvl>
  </w:abstractNum>
  <w:abstractNum w:abstractNumId="73">
    <w:nsid w:val="4427069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4">
    <w:nsid w:val="B37E80A"/>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75">
    <w:nsid w:val="2157F6BC"/>
    <w:multiLevelType w:val="hybridMultilevel"/>
    <w:lvl w:ilvl="0">
      <w:lvlJc w:val="left"/>
      <w:lvlText w:val="(%1)"/>
      <w:numFmt w:val="lowerLetter"/>
      <w:start w:val="3"/>
    </w:lvl>
    <w:lvl w:ilvl="1">
      <w:lvlJc w:val="left"/>
      <w:lvlText w:val="-"/>
      <w:numFmt w:val="bullet"/>
      <w:start w:val="1"/>
    </w:lvl>
  </w:abstractNum>
  <w:abstractNum w:abstractNumId="76">
    <w:nsid w:val="704E1DD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7">
    <w:nsid w:val="57D2F10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8">
    <w:nsid w:val="BFFAE18"/>
    <w:multiLevelType w:val="hybridMultilevel"/>
    <w:lvl w:ilvl="0">
      <w:lvlJc w:val="left"/>
      <w:lvlText w:val="%1"/>
      <w:numFmt w:val="lowerLetter"/>
      <w:start w:val="1"/>
    </w:lvl>
    <w:lvl w:ilvl="1">
      <w:lvlJc w:val="left"/>
      <w:lvlText w:val="(%2)"/>
      <w:numFmt w:val="lowerLetter"/>
      <w:start w:val="3"/>
    </w:lvl>
  </w:abstractNum>
  <w:abstractNum w:abstractNumId="79">
    <w:nsid w:val="E3E47A8"/>
    <w:multiLevelType w:val="hybridMultilevel"/>
    <w:lvl w:ilvl="0">
      <w:lvlJc w:val="left"/>
      <w:lvlText w:val="(%1)"/>
      <w:numFmt w:val="lowerLetter"/>
      <w:start w:val="9"/>
    </w:lvl>
    <w:lvl w:ilvl="1">
      <w:lvlJc w:val="left"/>
      <w:lvlText w:val="%2"/>
      <w:numFmt w:val="lowerLetter"/>
      <w:start w:val="1"/>
    </w:lvl>
  </w:abstractNum>
  <w:abstractNum w:abstractNumId="80">
    <w:nsid w:val="2E48F044"/>
    <w:multiLevelType w:val="hybridMultilevel"/>
    <w:lvl w:ilvl="0">
      <w:lvlJc w:val="left"/>
      <w:lvlText w:val="(%1)"/>
      <w:numFmt w:val="lowerLetter"/>
      <w:start w:val="1"/>
    </w:lvl>
    <w:lvl w:ilvl="1">
      <w:lvlJc w:val="left"/>
      <w:lvlText w:val="-"/>
      <w:numFmt w:val="bullet"/>
      <w:start w:val="1"/>
    </w:lvl>
  </w:abstractNum>
  <w:abstractNum w:abstractNumId="81">
    <w:nsid w:val="49D0FEAC"/>
    <w:multiLevelType w:val="hybridMultilevel"/>
    <w:lvl w:ilvl="0">
      <w:lvlJc w:val="left"/>
      <w:lvlText w:val="(%1)"/>
      <w:numFmt w:val="lowerLetter"/>
      <w:start w:val="2"/>
    </w:lvl>
    <w:lvl w:ilvl="1">
      <w:lvlJc w:val="left"/>
      <w:lvlText w:val="-"/>
      <w:numFmt w:val="bullet"/>
      <w:start w:val="1"/>
    </w:lvl>
  </w:abstractNum>
  <w:abstractNum w:abstractNumId="82">
    <w:nsid w:val="4BEE5A5B"/>
    <w:multiLevelType w:val="hybridMultilevel"/>
    <w:lvl w:ilvl="0">
      <w:lvlJc w:val="left"/>
      <w:lvlText w:val="%1"/>
      <w:numFmt w:val="upperLetter"/>
      <w:start w:val="1"/>
    </w:lvl>
    <w:lvl w:ilvl="1">
      <w:lvlJc w:val="left"/>
      <w:lvlText w:val="(%2)"/>
      <w:numFmt w:val="lowerLetter"/>
      <w:start w:val="4"/>
    </w:lvl>
  </w:abstractNum>
  <w:abstractNum w:abstractNumId="83">
    <w:nsid w:val="5551B9F3"/>
    <w:multiLevelType w:val="hybridMultilevel"/>
    <w:lvl w:ilvl="0">
      <w:lvlJc w:val="left"/>
      <w:lvlText w:val="(%1)"/>
      <w:numFmt w:val="upperLetter"/>
      <w:start w:val="1"/>
    </w:lvl>
    <w:lvl w:ilvl="1">
      <w:lvlJc w:val="left"/>
      <w:lvlText w:val="%2"/>
      <w:numFmt w:val="lowerLetter"/>
      <w:start w:val="1"/>
    </w:lvl>
  </w:abstractNum>
  <w:abstractNum w:abstractNumId="84">
    <w:nsid w:val="24F6AB8E"/>
    <w:multiLevelType w:val="hybridMultilevel"/>
    <w:lvl w:ilvl="0">
      <w:lvlJc w:val="left"/>
      <w:lvlText w:val="(%1)"/>
      <w:numFmt w:val="lowerLetter"/>
      <w:start w:val="1"/>
    </w:lvl>
    <w:lvl w:ilvl="1">
      <w:lvlJc w:val="left"/>
      <w:lvlText w:val="-"/>
      <w:numFmt w:val="bullet"/>
      <w:start w:val="1"/>
    </w:lvl>
  </w:abstractNum>
  <w:abstractNum w:abstractNumId="85">
    <w:nsid w:val="634C574C"/>
    <w:multiLevelType w:val="hybridMultilevel"/>
    <w:lvl w:ilvl="0">
      <w:lvlJc w:val="left"/>
      <w:lvlText w:val="(%1)"/>
      <w:numFmt w:val="lowerLetter"/>
      <w:start w:val="22"/>
    </w:lvl>
    <w:lvl w:ilvl="1">
      <w:lvlJc w:val="left"/>
      <w:lvlText w:val="(%2)"/>
      <w:numFmt w:val="lowerLetter"/>
      <w:start w:val="2"/>
    </w:lvl>
    <w:lvl w:ilvl="2">
      <w:lvlJc w:val="left"/>
      <w:lvlText w:val="-"/>
      <w:numFmt w:val="bullet"/>
      <w:start w:val="1"/>
    </w:lvl>
  </w:abstractNum>
  <w:abstractNum w:abstractNumId="86">
    <w:nsid w:val="24E99DD7"/>
    <w:multiLevelType w:val="hybridMultilevel"/>
    <w:lvl w:ilvl="0">
      <w:lvlJc w:val="left"/>
      <w:lvlText w:val="(%1)"/>
      <w:numFmt w:val="upperLetter"/>
      <w:start w:val="1"/>
    </w:lvl>
  </w:abstractNum>
  <w:abstractNum w:abstractNumId="87">
    <w:nsid w:val="2A31B62D"/>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88">
    <w:nsid w:val="1849C29B"/>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89">
    <w:nsid w:val="7DFF9D09"/>
    <w:multiLevelType w:val="hybridMultilevel"/>
    <w:lvl w:ilvl="0">
      <w:lvlJc w:val="left"/>
      <w:lvlText w:val="(%1)"/>
      <w:numFmt w:val="lowerLetter"/>
      <w:start w:val="2"/>
    </w:lvl>
    <w:lvl w:ilvl="1">
      <w:lvlJc w:val="left"/>
      <w:lvlText w:val="-"/>
      <w:numFmt w:val="bullet"/>
      <w:start w:val="1"/>
    </w:lvl>
  </w:abstractNum>
  <w:abstractNum w:abstractNumId="90">
    <w:nsid w:val="754342"/>
    <w:multiLevelType w:val="hybridMultilevel"/>
    <w:lvl w:ilvl="0">
      <w:lvlJc w:val="left"/>
      <w:lvlText w:val="(%1)"/>
      <w:numFmt w:val="lowerLetter"/>
      <w:start w:val="1"/>
    </w:lvl>
    <w:lvl w:ilvl="1">
      <w:lvlJc w:val="left"/>
      <w:lvlText w:val="-"/>
      <w:numFmt w:val="bullet"/>
      <w:start w:val="1"/>
    </w:lvl>
  </w:abstractNum>
  <w:abstractNum w:abstractNumId="91">
    <w:nsid w:val="69E7F3E5"/>
    <w:multiLevelType w:val="hybridMultilevel"/>
    <w:lvl w:ilvl="0">
      <w:lvlJc w:val="left"/>
      <w:lvlText w:val="(%1)"/>
      <w:numFmt w:val="lowerLetter"/>
      <w:start w:val="35"/>
    </w:lvl>
    <w:lvl w:ilvl="1">
      <w:lvlJc w:val="left"/>
      <w:lvlText w:val="-"/>
      <w:numFmt w:val="bullet"/>
      <w:start w:val="1"/>
    </w:lvl>
  </w:abstractNum>
  <w:abstractNum w:abstractNumId="92">
    <w:nsid w:val="2A6DE806"/>
    <w:multiLevelType w:val="hybridMultilevel"/>
    <w:lvl w:ilvl="0">
      <w:lvlJc w:val="left"/>
      <w:lvlText w:val="(%1)"/>
      <w:numFmt w:val="lowerLetter"/>
      <w:start w:val="1"/>
    </w:lvl>
    <w:lvl w:ilvl="1">
      <w:lvlJc w:val="left"/>
      <w:lvlText w:val="-"/>
      <w:numFmt w:val="bullet"/>
      <w:start w:val="1"/>
    </w:lvl>
  </w:abstractNum>
  <w:abstractNum w:abstractNumId="93">
    <w:nsid w:val="1816F8C4"/>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94">
    <w:nsid w:val="37DF2233"/>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95">
    <w:nsid w:val="7AB49DAF"/>
    <w:multiLevelType w:val="hybridMultilevel"/>
    <w:lvl w:ilvl="0">
      <w:lvlJc w:val="left"/>
      <w:lvlText w:val="(%1)"/>
      <w:numFmt w:val="lowerLetter"/>
      <w:start w:val="7"/>
    </w:lvl>
  </w:abstractNum>
  <w:abstractNum w:abstractNumId="96">
    <w:nsid w:val="759F82CD"/>
    <w:multiLevelType w:val="hybridMultilevel"/>
    <w:lvl w:ilvl="0">
      <w:lvlJc w:val="left"/>
      <w:lvlText w:val="(%1)"/>
      <w:numFmt w:val="lowerLetter"/>
      <w:start w:val="1"/>
    </w:lvl>
    <w:lvl w:ilvl="1">
      <w:lvlJc w:val="left"/>
      <w:lvlText w:val="-"/>
      <w:numFmt w:val="bullet"/>
      <w:start w:val="1"/>
    </w:lvl>
  </w:abstractNum>
  <w:abstractNum w:abstractNumId="97">
    <w:nsid w:val="61E74EA3"/>
    <w:multiLevelType w:val="hybridMultilevel"/>
    <w:lvl w:ilvl="0">
      <w:lvlJc w:val="left"/>
      <w:lvlText w:val="(%1)"/>
      <w:numFmt w:val="lowerLetter"/>
      <w:start w:val="3"/>
    </w:lvl>
  </w:abstractNum>
  <w:abstractNum w:abstractNumId="98">
    <w:nsid w:val="597B4D84"/>
    <w:multiLevelType w:val="hybridMultilevel"/>
    <w:lvl w:ilvl="0">
      <w:lvlJc w:val="left"/>
      <w:lvlText w:val="(%1)"/>
      <w:numFmt w:val="lowerLetter"/>
      <w:start w:val="1"/>
    </w:lvl>
    <w:lvl w:ilvl="1">
      <w:lvlJc w:val="left"/>
      <w:lvlText w:val="-"/>
      <w:numFmt w:val="bullet"/>
      <w:start w:val="1"/>
    </w:lvl>
  </w:abstractNum>
  <w:abstractNum w:abstractNumId="99">
    <w:nsid w:val="F819E7F"/>
    <w:multiLevelType w:val="hybridMultilevel"/>
    <w:lvl w:ilvl="0">
      <w:lvlJc w:val="left"/>
      <w:lvlText w:val="(%1)"/>
      <w:numFmt w:val="lowerLetter"/>
      <w:start w:val="3"/>
    </w:lvl>
  </w:abstractNum>
  <w:abstractNum w:abstractNumId="100">
    <w:nsid w:val="57C7D42D"/>
    <w:multiLevelType w:val="hybridMultilevel"/>
    <w:lvl w:ilvl="0">
      <w:lvlJc w:val="left"/>
      <w:lvlText w:val="(%1)"/>
      <w:numFmt w:val="lowerLetter"/>
      <w:start w:val="1"/>
    </w:lvl>
  </w:abstractNum>
  <w:abstractNum w:abstractNumId="101">
    <w:nsid w:val="312167AD"/>
    <w:multiLevelType w:val="hybridMultilevel"/>
    <w:lvl w:ilvl="0">
      <w:lvlJc w:val="left"/>
      <w:lvlText w:val="%1"/>
      <w:numFmt w:val="lowerLetter"/>
      <w:start w:val="1"/>
    </w:lvl>
    <w:lvl w:ilvl="1">
      <w:lvlJc w:val="left"/>
      <w:lvlText w:val="(%2)"/>
      <w:numFmt w:val="lowerRoman"/>
      <w:start w:val="1"/>
    </w:lvl>
  </w:abstractNum>
  <w:abstractNum w:abstractNumId="102">
    <w:nsid w:val="631B64D4"/>
    <w:multiLevelType w:val="hybridMultilevel"/>
    <w:lvl w:ilvl="0">
      <w:lvlJc w:val="left"/>
      <w:lvlText w:val="(%1)"/>
      <w:numFmt w:val="lowerLetter"/>
      <w:start w:val="2"/>
    </w:lvl>
    <w:lvl w:ilvl="1">
      <w:lvlJc w:val="left"/>
      <w:lvlText w:val="%2"/>
      <w:numFmt w:val="lowerRoman"/>
      <w:start w:val="1"/>
    </w:lvl>
  </w:abstractNum>
  <w:abstractNum w:abstractNumId="103">
    <w:nsid w:val="78B5E776"/>
    <w:multiLevelType w:val="hybridMultilevel"/>
    <w:lvl w:ilvl="0">
      <w:lvlJc w:val="left"/>
      <w:lvlText w:val="(%1)"/>
      <w:numFmt w:val="lowerLetter"/>
      <w:start w:val="1"/>
    </w:lvl>
  </w:abstractNum>
  <w:abstractNum w:abstractNumId="104">
    <w:nsid w:val="75486E4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5">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
      <w:numFmt w:val="bullet"/>
      <w:start w:val="1"/>
    </w:lvl>
  </w:abstractNum>
  <w:abstractNum w:abstractNumId="106">
    <w:nsid w:val="1A0DDE3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lvl w:ilvl="3">
      <w:lvlJc w:val="left"/>
      <w:lvlText w:val="-"/>
      <w:numFmt w:val="bullet"/>
      <w:start w:val="1"/>
    </w:lvl>
  </w:abstractNum>
  <w:abstractNum w:abstractNumId="107">
    <w:nsid w:val="65968C1C"/>
    <w:multiLevelType w:val="hybridMultilevel"/>
    <w:lvl w:ilvl="0">
      <w:lvlJc w:val="left"/>
      <w:lvlText w:val="(%1)"/>
      <w:numFmt w:val="decimal"/>
      <w:start w:val="20"/>
    </w:lvl>
    <w:lvl w:ilvl="1">
      <w:lvlJc w:val="left"/>
      <w:lvlText w:val="(%2)"/>
      <w:numFmt w:val="lowerLetter"/>
      <w:start w:val="3"/>
    </w:lvl>
    <w:lvl w:ilvl="2">
      <w:lvlJc w:val="left"/>
      <w:lvlText w:val="(%3)"/>
      <w:numFmt w:val="lowerLetter"/>
      <w:start w:val="35"/>
    </w:lvl>
    <w:lvl w:ilvl="3">
      <w:lvlJc w:val="left"/>
      <w:lvlText w:val="-"/>
      <w:numFmt w:val="bullet"/>
      <w:start w:val="1"/>
    </w:lvl>
  </w:abstractNum>
  <w:abstractNum w:abstractNumId="108">
    <w:nsid w:val="46263D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
      <w:numFmt w:val="bullet"/>
      <w:start w:val="1"/>
    </w:lvl>
  </w:abstractNum>
  <w:abstractNum w:abstractNumId="109">
    <w:nsid w:val="260D8C4A"/>
    <w:multiLevelType w:val="hybridMultilevel"/>
    <w:lvl w:ilvl="0">
      <w:lvlJc w:val="left"/>
      <w:lvlText w:val="(%1)"/>
      <w:numFmt w:val="lowerRoman"/>
      <w:start w:val="2"/>
    </w:lvl>
  </w:abstractNum>
  <w:abstractNum w:abstractNumId="110">
    <w:nsid w:val="73D4D3C4"/>
    <w:multiLevelType w:val="hybridMultilevel"/>
    <w:lvl w:ilvl="0">
      <w:lvlJc w:val="left"/>
      <w:lvlText w:val="(%1)"/>
      <w:numFmt w:val="lowerLetter"/>
      <w:start w:val="1"/>
    </w:lvl>
    <w:lvl w:ilvl="1">
      <w:lvlJc w:val="left"/>
      <w:lvlText w:val="-"/>
      <w:numFmt w:val="bullet"/>
      <w:start w:val="1"/>
    </w:lvl>
  </w:abstractNum>
  <w:abstractNum w:abstractNumId="111">
    <w:nsid w:val="746F2E30"/>
    <w:multiLevelType w:val="hybridMultilevel"/>
    <w:lvl w:ilvl="0">
      <w:lvlJc w:val="left"/>
      <w:lvlText w:val="%1"/>
      <w:numFmt w:val="decimal"/>
      <w:start w:val="1"/>
    </w:lvl>
    <w:lvl w:ilvl="1">
      <w:lvlJc w:val="left"/>
      <w:lvlText w:val="(%2)"/>
      <w:numFmt w:val="lowerRoman"/>
      <w:start w:val="1"/>
    </w:lvl>
  </w:abstractNum>
  <w:abstractNum w:abstractNumId="112">
    <w:nsid w:val="6FDE8AF6"/>
    <w:multiLevelType w:val="hybridMultilevel"/>
    <w:lvl w:ilvl="0">
      <w:lvlJc w:val="left"/>
      <w:lvlText w:val="(%1)"/>
      <w:numFmt w:val="decimal"/>
      <w:start w:val="2"/>
    </w:lvl>
    <w:lvl w:ilvl="1">
      <w:lvlJc w:val="left"/>
      <w:lvlText w:val="(%2)"/>
      <w:numFmt w:val="lowerRoman"/>
      <w:start w:val="2"/>
    </w:lvl>
  </w:abstractNum>
  <w:abstractNum w:abstractNumId="113">
    <w:nsid w:val="3FC32E20"/>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14">
    <w:nsid w:val="49C0E823"/>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115">
    <w:nsid w:val="14D53685"/>
    <w:multiLevelType w:val="hybridMultilevel"/>
    <w:lvl w:ilvl="0">
      <w:lvlJc w:val="left"/>
      <w:lvlText w:val="%1"/>
      <w:numFmt w:val="decimal"/>
      <w:start w:val="1"/>
    </w:lvl>
    <w:lvl w:ilvl="1">
      <w:lvlJc w:val="left"/>
      <w:lvlText w:val="(%2)"/>
      <w:numFmt w:val="lowerLetter"/>
      <w:start w:val="5"/>
    </w:lvl>
  </w:abstractNum>
  <w:abstractNum w:abstractNumId="116">
    <w:nsid w:val="230F856C"/>
    <w:multiLevelType w:val="hybridMultilevel"/>
    <w:lvl w:ilvl="0">
      <w:lvlJc w:val="left"/>
      <w:lvlText w:val="(%1)"/>
      <w:numFmt w:val="decimal"/>
      <w:start w:val="1"/>
    </w:lvl>
    <w:lvl w:ilvl="1">
      <w:lvlJc w:val="left"/>
      <w:lvlText w:val="(%2)"/>
      <w:numFmt w:val="lowerLetter"/>
      <w:start w:val="6"/>
    </w:lvl>
  </w:abstractNum>
  <w:abstractNum w:abstractNumId="117">
    <w:nsid w:val="6EAA85FB"/>
    <w:multiLevelType w:val="hybridMultilevel"/>
    <w:lvl w:ilvl="0">
      <w:lvlJc w:val="left"/>
      <w:lvlText w:val="%1"/>
      <w:numFmt w:val="lowerLetter"/>
      <w:start w:val="1"/>
    </w:lvl>
    <w:lvl w:ilvl="1">
      <w:lvlJc w:val="left"/>
      <w:lvlText w:val="%2"/>
      <w:numFmt w:val="decimal"/>
      <w:start w:val="825"/>
    </w:lvl>
  </w:abstractNum>
  <w:abstractNum w:abstractNumId="118">
    <w:nsid w:val="3F06ECB2"/>
    <w:multiLevelType w:val="hybridMultilevel"/>
    <w:lvl w:ilvl="0">
      <w:lvlJc w:val="left"/>
      <w:lvlText w:val="(%1)"/>
      <w:numFmt w:val="lowerLetter"/>
      <w:start w:val="6"/>
    </w:lvl>
    <w:lvl w:ilvl="1">
      <w:lvlJc w:val="left"/>
      <w:lvlText w:val="%2"/>
      <w:numFmt w:val="decimal"/>
      <w:start w:val="1"/>
    </w:lvl>
  </w:abstractNum>
  <w:abstractNum w:abstractNumId="119">
    <w:nsid w:val="3B594807"/>
    <w:multiLevelType w:val="hybridMultilevel"/>
    <w:lvl w:ilvl="0">
      <w:lvlJc w:val="left"/>
      <w:lvlText w:val="(%1)"/>
      <w:numFmt w:val="lowerLetter"/>
      <w:start w:val="1"/>
    </w:lvl>
  </w:abstractNum>
  <w:abstractNum w:abstractNumId="120">
    <w:nsid w:val="6CAA2304"/>
    <w:multiLevelType w:val="hybridMultilevel"/>
    <w:lvl w:ilvl="0">
      <w:lvlJc w:val="left"/>
      <w:lvlText w:val="(%1)"/>
      <w:numFmt w:val="lowerRoman"/>
      <w:start w:val="6"/>
    </w:lvl>
  </w:abstractNum>
  <w:abstractNum w:abstractNumId="121">
    <w:nsid w:val="3F7C2FF4"/>
    <w:multiLevelType w:val="hybridMultilevel"/>
    <w:lvl w:ilvl="0">
      <w:lvlJc w:val="left"/>
      <w:lvlText w:val="(%1)"/>
      <w:numFmt w:val="lowerRoman"/>
      <w:start w:val="8"/>
    </w:lvl>
  </w:abstractNum>
  <w:abstractNum w:abstractNumId="122">
    <w:nsid w:val="25413BEC"/>
    <w:multiLevelType w:val="hybridMultilevel"/>
    <w:lvl w:ilvl="0">
      <w:lvlJc w:val="left"/>
      <w:lvlText w:val="(%1)"/>
      <w:numFmt w:val="lowerLetter"/>
      <w:start w:val="1"/>
    </w:lvl>
  </w:abstractNum>
  <w:abstractNum w:abstractNumId="123">
    <w:nsid w:val="17180B0B"/>
    <w:multiLevelType w:val="hybridMultilevel"/>
    <w:lvl w:ilvl="0">
      <w:lvlJc w:val="left"/>
      <w:lvlText w:val="(%1)"/>
      <w:numFmt w:val="lowerLetter"/>
      <w:start w:val="2"/>
    </w:lvl>
  </w:abstractNum>
  <w:abstractNum w:abstractNumId="124">
    <w:nsid w:val="579328B9"/>
    <w:multiLevelType w:val="hybridMultilevel"/>
    <w:lvl w:ilvl="0">
      <w:lvlJc w:val="left"/>
      <w:lvlText w:val="(%1)"/>
      <w:numFmt w:val="upperLetter"/>
      <w:start w:val="3"/>
    </w:lvl>
    <w:lvl w:ilvl="1">
      <w:lvlJc w:val="left"/>
      <w:lvlText w:val="(%2)"/>
      <w:numFmt w:val="lowerLetter"/>
      <w:start w:val="3"/>
    </w:lvl>
  </w:abstractNum>
  <w:abstractNum w:abstractNumId="125">
    <w:nsid w:val="5D205E20"/>
    <w:multiLevelType w:val="hybridMultilevel"/>
    <w:lvl w:ilvl="0">
      <w:lvlJc w:val="left"/>
      <w:lvlText w:val="(%1)"/>
      <w:numFmt w:val="lowerLetter"/>
      <w:start w:val="5"/>
    </w:lvl>
  </w:abstractNum>
  <w:abstractNum w:abstractNumId="126">
    <w:nsid w:val="11CCA8BA"/>
    <w:multiLevelType w:val="hybridMultilevel"/>
    <w:lvl w:ilvl="0">
      <w:lvlJc w:val="left"/>
      <w:lvlText w:val="(%1)"/>
      <w:numFmt w:val="decimal"/>
      <w:start w:val="30"/>
    </w:lvl>
  </w:abstractNum>
  <w:abstractNum w:abstractNumId="127">
    <w:nsid w:val="4D32AB86"/>
    <w:multiLevelType w:val="hybridMultilevel"/>
    <w:lvl w:ilvl="0">
      <w:lvlJc w:val="left"/>
      <w:lvlText w:val="(%1)"/>
      <w:numFmt w:val="lowerLetter"/>
      <w:start w:val="1"/>
    </w:lvl>
  </w:abstractNum>
  <w:abstractNum w:abstractNumId="128">
    <w:nsid w:val="3F07ACC3"/>
    <w:multiLevelType w:val="hybridMultilevel"/>
    <w:lvl w:ilvl="0">
      <w:lvlJc w:val="left"/>
      <w:lvlText w:val="(%1)"/>
      <w:numFmt w:val="lowerRoman"/>
      <w:start w:val="2"/>
    </w:lvl>
  </w:abstractNum>
  <w:abstractNum w:abstractNumId="129">
    <w:nsid w:val="6B47F63E"/>
    <w:multiLevelType w:val="hybridMultilevel"/>
    <w:lvl w:ilvl="0">
      <w:lvlJc w:val="left"/>
      <w:lvlText w:val="(%1)"/>
      <w:numFmt w:val="lowerRoman"/>
      <w:start w:val="4"/>
    </w:lvl>
  </w:abstractNum>
  <w:abstractNum w:abstractNumId="130">
    <w:nsid w:val="5CB44A05"/>
    <w:multiLevelType w:val="hybridMultilevel"/>
    <w:lvl w:ilvl="0">
      <w:lvlJc w:val="left"/>
      <w:lvlText w:val="(%1)"/>
      <w:numFmt w:val="lowerRoman"/>
      <w:start w:val="7"/>
    </w:lvl>
  </w:abstractNum>
  <w:abstractNum w:abstractNumId="131">
    <w:nsid w:val="16CF80F1"/>
    <w:multiLevelType w:val="hybridMultilevel"/>
    <w:lvl w:ilvl="0">
      <w:lvlJc w:val="left"/>
      <w:lvlText w:val="(%1)"/>
      <w:numFmt w:val="decimal"/>
      <w:start w:val="5"/>
    </w:lvl>
  </w:abstractNum>
  <w:abstractNum w:abstractNumId="132">
    <w:nsid w:val="1C695DEC"/>
    <w:multiLevelType w:val="hybridMultilevel"/>
    <w:lvl w:ilvl="0">
      <w:lvlJc w:val="left"/>
      <w:lvlText w:val="(%1)"/>
      <w:numFmt w:val="lowerLetter"/>
      <w:start w:val="1"/>
    </w:lvl>
  </w:abstractNum>
  <w:abstractNum w:abstractNumId="133">
    <w:nsid w:val="3FCFAED9"/>
    <w:multiLevelType w:val="hybridMultilevel"/>
    <w:lvl w:ilvl="0">
      <w:lvlJc w:val="left"/>
      <w:lvlText w:val="(%1)"/>
      <w:numFmt w:val="lowerLetter"/>
      <w:start w:val="2"/>
    </w:lvl>
    <w:lvl w:ilvl="1">
      <w:lvlJc w:val="left"/>
      <w:lvlText w:val="(%2)"/>
      <w:numFmt w:val="lowerRoman"/>
      <w:start w:val="1"/>
    </w:lvl>
  </w:abstractNum>
  <w:abstractNum w:abstractNumId="134">
    <w:nsid w:val="F856867"/>
    <w:multiLevelType w:val="hybridMultilevel"/>
    <w:lvl w:ilvl="0">
      <w:lvlJc w:val="left"/>
      <w:lvlText w:val="(%1)"/>
      <w:numFmt w:val="lowerLetter"/>
      <w:start w:val="4"/>
    </w:lvl>
  </w:abstractNum>
  <w:abstractNum w:abstractNumId="135">
    <w:nsid w:val="11B1CC33"/>
    <w:multiLevelType w:val="hybridMultilevel"/>
    <w:lvl w:ilvl="0">
      <w:lvlJc w:val="left"/>
      <w:lvlText w:val="(%1)"/>
      <w:numFmt w:val="lowerRoman"/>
      <w:start w:val="1"/>
    </w:lvl>
  </w:abstractNum>
  <w:abstractNum w:abstractNumId="136">
    <w:nsid w:val="2E22FBB7"/>
    <w:multiLevelType w:val="hybridMultilevel"/>
    <w:lvl w:ilvl="0">
      <w:lvlJc w:val="left"/>
      <w:lvlText w:val="(%1)"/>
      <w:numFmt w:val="upperLetter"/>
      <w:start w:val="1"/>
    </w:lvl>
  </w:abstractNum>
  <w:abstractNum w:abstractNumId="137">
    <w:nsid w:val="29934699"/>
    <w:multiLevelType w:val="hybridMultilevel"/>
    <w:lvl w:ilvl="0">
      <w:lvlJc w:val="left"/>
      <w:lvlText w:val="(%1)"/>
      <w:numFmt w:val="upperLetter"/>
      <w:start w:val="5"/>
    </w:lvl>
  </w:abstractNum>
  <w:abstractNum w:abstractNumId="138">
    <w:nsid w:val="77485850"/>
    <w:multiLevelType w:val="hybridMultilevel"/>
    <w:lvl w:ilvl="0">
      <w:lvlJc w:val="left"/>
      <w:lvlText w:val="%1"/>
      <w:numFmt w:val="lowerLetter"/>
      <w:start w:val="1"/>
    </w:lvl>
    <w:lvl w:ilvl="1">
      <w:lvlJc w:val="left"/>
      <w:lvlText w:val="(%2)"/>
      <w:numFmt w:val="lowerLetter"/>
      <w:start w:val="35"/>
    </w:lvl>
  </w:abstractNum>
  <w:abstractNum w:abstractNumId="139">
    <w:nsid w:val="744939A3"/>
    <w:multiLevelType w:val="hybridMultilevel"/>
    <w:lvl w:ilvl="0">
      <w:lvlJc w:val="left"/>
      <w:lvlText w:val="(%1)"/>
      <w:numFmt w:val="lowerLetter"/>
      <w:start w:val="7"/>
    </w:lvl>
    <w:lvl w:ilvl="1">
      <w:lvlJc w:val="left"/>
      <w:lvlText w:val="%2"/>
      <w:numFmt w:val="lowerLetter"/>
      <w:start w:val="1"/>
    </w:lvl>
  </w:abstractNum>
  <w:abstractNum w:abstractNumId="140">
    <w:nsid w:val="4FA0D2E3"/>
    <w:multiLevelType w:val="hybridMultilevel"/>
    <w:lvl w:ilvl="0">
      <w:lvlJc w:val="left"/>
      <w:lvlText w:val="(%1)"/>
      <w:numFmt w:val="lowerRoman"/>
      <w:start w:val="3"/>
    </w:lvl>
  </w:abstractNum>
  <w:abstractNum w:abstractNumId="141">
    <w:nsid w:val="6B1D2C14"/>
    <w:multiLevelType w:val="hybridMultilevel"/>
    <w:lvl w:ilvl="0">
      <w:lvlJc w:val="left"/>
      <w:lvlText w:val="(%1)"/>
      <w:numFmt w:val="lowerLetter"/>
      <w:start w:val="9"/>
    </w:lvl>
  </w:abstractNum>
  <w:abstractNum w:abstractNumId="142">
    <w:nsid w:val="68B867D3"/>
    <w:multiLevelType w:val="hybridMultilevel"/>
    <w:lvl w:ilvl="0">
      <w:lvlJc w:val="left"/>
      <w:lvlText w:val="(%1)"/>
      <w:numFmt w:val="lowerLetter"/>
      <w:start w:val="11"/>
    </w:lvl>
  </w:abstractNum>
  <w:abstractNum w:abstractNumId="143">
    <w:nsid w:val="3F7F5DD9"/>
    <w:multiLevelType w:val="hybridMultilevel"/>
    <w:lvl w:ilvl="0">
      <w:lvlJc w:val="left"/>
      <w:lvlText w:val="(%1)"/>
      <w:numFmt w:val="lowerLetter"/>
      <w:start w:val="1"/>
    </w:lvl>
  </w:abstractNum>
  <w:abstractNum w:abstractNumId="144">
    <w:nsid w:val="2AE05A34"/>
    <w:multiLevelType w:val="hybridMultilevel"/>
    <w:lvl w:ilvl="0">
      <w:lvlJc w:val="left"/>
      <w:lvlText w:val="(%1)"/>
      <w:numFmt w:val="decimal"/>
      <w:start w:val="10"/>
    </w:lvl>
  </w:abstractNum>
  <w:abstractNum w:abstractNumId="145">
    <w:nsid w:val="32794FF7"/>
    <w:multiLevelType w:val="hybridMultilevel"/>
    <w:lvl w:ilvl="0">
      <w:lvlJc w:val="left"/>
      <w:lvlText w:val="(%1)"/>
      <w:numFmt w:val="lowerLetter"/>
      <w:start w:val="3"/>
    </w:lvl>
  </w:abstractNum>
  <w:abstractNum w:abstractNumId="146">
    <w:nsid w:val="5454945E"/>
    <w:multiLevelType w:val="hybridMultilevel"/>
    <w:lvl w:ilvl="0">
      <w:lvlJc w:val="left"/>
      <w:lvlText w:val="(%1)"/>
      <w:numFmt w:val="lowerLetter"/>
      <w:start w:val="6"/>
    </w:lvl>
  </w:abstractNum>
  <w:abstractNum w:abstractNumId="147">
    <w:nsid w:val="4DEFDFA0"/>
    <w:multiLevelType w:val="hybridMultilevel"/>
    <w:lvl w:ilvl="0">
      <w:lvlJc w:val="left"/>
      <w:lvlText w:val="(%1)"/>
      <w:numFmt w:val="decimal"/>
      <w:start w:val="1"/>
    </w:lvl>
  </w:abstractNum>
  <w:abstractNum w:abstractNumId="148">
    <w:nsid w:val="2123D5F2"/>
    <w:multiLevelType w:val="hybridMultilevel"/>
    <w:lvl w:ilvl="0">
      <w:lvlJc w:val="left"/>
      <w:lvlText w:val="%1"/>
      <w:numFmt w:val="decimal"/>
      <w:start w:val="1"/>
    </w:lvl>
    <w:lvl w:ilvl="1">
      <w:lvlJc w:val="left"/>
      <w:lvlText w:val="(%2)"/>
      <w:numFmt w:val="upperLetter"/>
      <w:start w:val="1"/>
    </w:lvl>
  </w:abstractNum>
  <w:abstractNum w:abstractNumId="149">
    <w:nsid w:val="135B8110"/>
    <w:multiLevelType w:val="hybridMultilevel"/>
    <w:lvl w:ilvl="0">
      <w:lvlJc w:val="left"/>
      <w:lvlText w:val="(%1)"/>
      <w:numFmt w:val="decimal"/>
      <w:start w:val="2"/>
    </w:lvl>
    <w:lvl w:ilvl="1">
      <w:lvlJc w:val="left"/>
      <w:lvlText w:val="%2"/>
      <w:numFmt w:val="upperLetter"/>
      <w:start w:val="1"/>
    </w:lvl>
  </w:abstractNum>
  <w:abstractNum w:abstractNumId="150">
    <w:nsid w:val="94927A8"/>
    <w:multiLevelType w:val="hybridMultilevel"/>
    <w:lvl w:ilvl="0">
      <w:lvlJc w:val="left"/>
      <w:lvlText w:val="(%1)"/>
      <w:numFmt w:val="decimal"/>
      <w:start w:val="2"/>
    </w:lvl>
  </w:abstractNum>
  <w:abstractNum w:abstractNumId="151">
    <w:nsid w:val="DCDF8F6"/>
    <w:multiLevelType w:val="hybridMultilevel"/>
    <w:lvl w:ilvl="0">
      <w:lvlJc w:val="left"/>
      <w:lvlText w:val="(%1)"/>
      <w:numFmt w:val="decimal"/>
      <w:start w:val="3"/>
    </w:lvl>
  </w:abstractNum>
  <w:abstractNum w:abstractNumId="152">
    <w:nsid w:val="52D7B105"/>
    <w:multiLevelType w:val="hybridMultilevel"/>
    <w:lvl w:ilvl="0">
      <w:lvlJc w:val="left"/>
      <w:lvlText w:val="(%1)"/>
      <w:numFmt w:val="lowerLetter"/>
      <w:start w:val="1"/>
    </w:lvl>
  </w:abstractNum>
  <w:abstractNum w:abstractNumId="153">
    <w:nsid w:val="2E8A6394"/>
    <w:multiLevelType w:val="hybridMultilevel"/>
    <w:lvl w:ilvl="0">
      <w:lvlJc w:val="left"/>
      <w:lvlText w:val="(%1)"/>
      <w:numFmt w:val="lowerLetter"/>
      <w:start w:val="2"/>
    </w:lvl>
    <w:lvl w:ilvl="1">
      <w:lvlJc w:val="left"/>
      <w:lvlText w:val="(%2)"/>
      <w:numFmt w:val="lowerRoman"/>
      <w:start w:val="1"/>
    </w:lvl>
  </w:abstractNum>
  <w:abstractNum w:abstractNumId="154">
    <w:nsid w:val="24E60401"/>
    <w:multiLevelType w:val="hybridMultilevel"/>
    <w:lvl w:ilvl="0">
      <w:lvlJc w:val="left"/>
      <w:lvlText w:val="(%1)"/>
      <w:numFmt w:val="lowerLetter"/>
      <w:start w:val="1"/>
    </w:lvl>
  </w:abstractNum>
  <w:abstractNum w:abstractNumId="155">
    <w:nsid w:val="2A6AD9BE"/>
    <w:multiLevelType w:val="hybridMultilevel"/>
    <w:lvl w:ilvl="0">
      <w:lvlJc w:val="left"/>
      <w:lvlText w:val="(%1)"/>
      <w:numFmt w:val="lowerLetter"/>
      <w:start w:val="1"/>
    </w:lvl>
  </w:abstractNum>
  <w:abstractNum w:abstractNumId="156">
    <w:nsid w:val="BAAC1B4"/>
    <w:multiLevelType w:val="hybridMultilevel"/>
    <w:lvl w:ilvl="0">
      <w:lvlJc w:val="left"/>
      <w:lvlText w:val="(%1)"/>
      <w:numFmt w:val="lowerLetter"/>
      <w:start w:val="5"/>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1"/>
      <w:numFmt w:val="decimal"/>
      <w:start w:val="825"/>
    </w:lvl>
  </w:abstractNum>
  <w:abstractNum w:abstractNumId="159">
    <w:nsid w:val="4AB26E78"/>
    <w:multiLevelType w:val="hybridMultilevel"/>
    <w:lvl w:ilvl="0">
      <w:lvlJc w:val="left"/>
      <w:lvlText w:val="(%1)"/>
      <w:numFmt w:val="lowerLetter"/>
      <w:start w:val="1"/>
    </w:lvl>
  </w:abstractNum>
  <w:abstractNum w:abstractNumId="160">
    <w:nsid w:val="21FAA2FA"/>
    <w:multiLevelType w:val="hybridMultilevel"/>
    <w:lvl w:ilvl="0">
      <w:lvlJc w:val="left"/>
      <w:lvlText w:val="(%1)"/>
      <w:numFmt w:val="lowerLetter"/>
      <w:start w:val="3"/>
    </w:lvl>
  </w:abstractNum>
  <w:abstractNum w:abstractNumId="161">
    <w:nsid w:val="5451CF49"/>
    <w:multiLevelType w:val="hybridMultilevel"/>
    <w:lvl w:ilvl="0">
      <w:lvlJc w:val="left"/>
      <w:lvlText w:val="1"/>
      <w:numFmt w:val="bullet"/>
      <w:start w:val="1"/>
    </w:lvl>
  </w:abstractNum>
  <w:abstractNum w:abstractNumId="162">
    <w:nsid w:val="6181EF69"/>
    <w:multiLevelType w:val="hybridMultilevel"/>
    <w:lvl w:ilvl="0">
      <w:lvlJc w:val="left"/>
      <w:lvlText w:val="2"/>
      <w:numFmt w:val="bullet"/>
      <w:start w:val="1"/>
    </w:lvl>
  </w:abstractNum>
  <w:abstractNum w:abstractNumId="163">
    <w:nsid w:val="3E6400E6"/>
    <w:multiLevelType w:val="hybridMultilevel"/>
    <w:lvl w:ilvl="0">
      <w:lvlJc w:val="left"/>
      <w:lvlText w:val="3"/>
      <w:numFmt w:val="bullet"/>
      <w:start w:val="1"/>
    </w:lvl>
  </w:abstractNum>
  <w:abstractNum w:abstractNumId="164">
    <w:nsid w:val="14217E23"/>
    <w:multiLevelType w:val="hybridMultilevel"/>
    <w:lvl w:ilvl="0">
      <w:lvlJc w:val="left"/>
      <w:lvlText w:val="4"/>
      <w:numFmt w:val="bullet"/>
      <w:start w:val="1"/>
    </w:lvl>
  </w:abstractNum>
  <w:abstractNum w:abstractNumId="165">
    <w:nsid w:val="710757D0"/>
    <w:multiLevelType w:val="hybridMultilevel"/>
    <w:lvl w:ilvl="0">
      <w:lvlJc w:val="left"/>
      <w:lvlText w:val="(%1)"/>
      <w:numFmt w:val="lowerLetter"/>
      <w:start w:val="1"/>
    </w:lvl>
  </w:abstractNum>
  <w:abstractNum w:abstractNumId="166">
    <w:nsid w:val="5015CD1A"/>
    <w:multiLevelType w:val="hybridMultilevel"/>
    <w:lvl w:ilvl="0">
      <w:lvlJc w:val="left"/>
      <w:lvlText w:val="(%1)"/>
      <w:numFmt w:val="lowerLetter"/>
      <w:start w:val="2"/>
    </w:lvl>
    <w:lvl w:ilvl="1">
      <w:lvlJc w:val="left"/>
      <w:lvlText w:val="(%2)"/>
      <w:numFmt w:val="lowerRoman"/>
      <w:start w:val="1"/>
    </w:lvl>
  </w:abstractNum>
  <w:abstractNum w:abstractNumId="167">
    <w:nsid w:val="424479DA"/>
    <w:multiLevelType w:val="hybridMultilevel"/>
    <w:lvl w:ilvl="0">
      <w:lvlJc w:val="left"/>
      <w:lvlText w:val="(%1)"/>
      <w:numFmt w:val="lowerLetter"/>
      <w:start w:val="1"/>
    </w:lvl>
  </w:abstractNum>
  <w:abstractNum w:abstractNumId="168">
    <w:nsid w:val="1A9A9E69"/>
    <w:multiLevelType w:val="hybridMultilevel"/>
    <w:lvl w:ilvl="0">
      <w:lvlJc w:val="left"/>
      <w:lvlText w:val="(%1)"/>
      <w:numFmt w:val="lowerLetter"/>
      <w:start w:val="1"/>
    </w:lvl>
  </w:abstractNum>
  <w:abstractNum w:abstractNumId="169">
    <w:nsid w:val="475E256A"/>
    <w:multiLevelType w:val="hybridMultilevel"/>
    <w:lvl w:ilvl="0">
      <w:lvlJc w:val="left"/>
      <w:lvlText w:val="(%1)"/>
      <w:numFmt w:val="lowerLetter"/>
      <w:start w:val="5"/>
    </w:lvl>
  </w:abstractNum>
  <w:abstractNum w:abstractNumId="170">
    <w:nsid w:val="368DB37E"/>
    <w:multiLevelType w:val="hybridMultilevel"/>
    <w:lvl w:ilvl="0">
      <w:lvlJc w:val="left"/>
      <w:lvlText w:val="(%1)"/>
      <w:numFmt w:val="lowerLetter"/>
      <w:start w:val="1"/>
    </w:lvl>
  </w:abstractNum>
  <w:abstractNum w:abstractNumId="171">
    <w:nsid w:val="6A3B714C"/>
    <w:multiLevelType w:val="hybridMultilevel"/>
    <w:lvl w:ilvl="0">
      <w:lvlJc w:val="left"/>
      <w:lvlText w:val="%1"/>
      <w:numFmt w:val="decimal"/>
      <w:start w:val="825"/>
    </w:lvl>
  </w:abstractNum>
  <w:abstractNum w:abstractNumId="172">
    <w:nsid w:val="327B517E"/>
    <w:multiLevelType w:val="hybridMultilevel"/>
    <w:lvl w:ilvl="0">
      <w:lvlJc w:val="left"/>
      <w:lvlText w:val="(%1)"/>
      <w:numFmt w:val="lowerLetter"/>
      <w:start w:val="1"/>
    </w:lvl>
  </w:abstractNum>
  <w:abstractNum w:abstractNumId="173">
    <w:nsid w:val="1F461B51"/>
    <w:multiLevelType w:val="hybridMultilevel"/>
    <w:lvl w:ilvl="0">
      <w:lvlJc w:val="left"/>
      <w:lvlText w:val="(%1)"/>
      <w:numFmt w:val="lowerLetter"/>
      <w:start w:val="3"/>
    </w:lvl>
  </w:abstractNum>
  <w:abstractNum w:abstractNumId="174">
    <w:nsid w:val="29BACF25"/>
    <w:multiLevelType w:val="hybridMultilevel"/>
    <w:lvl w:ilvl="0">
      <w:lvlJc w:val="left"/>
      <w:lvlText w:val="1"/>
      <w:numFmt w:val="bullet"/>
      <w:start w:val="1"/>
    </w:lvl>
  </w:abstractNum>
  <w:abstractNum w:abstractNumId="175">
    <w:nsid w:val="5D5BABB3"/>
    <w:multiLevelType w:val="hybridMultilevel"/>
    <w:lvl w:ilvl="0">
      <w:lvlJc w:val="left"/>
      <w:lvlText w:val="2"/>
      <w:numFmt w:val="bullet"/>
      <w:start w:val="1"/>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lowerLetter"/>
      <w:start w:val="2"/>
    </w:lvl>
    <w:lvl w:ilvl="1">
      <w:lvlJc w:val="left"/>
      <w:lvlText w:val="(%2)"/>
      <w:numFmt w:val="lowerRoman"/>
      <w:start w:val="1"/>
    </w:lvl>
  </w:abstractNum>
  <w:abstractNum w:abstractNumId="178">
    <w:nsid w:val="2B4B8B53"/>
    <w:multiLevelType w:val="hybridMultilevel"/>
    <w:lvl w:ilvl="0">
      <w:lvlJc w:val="left"/>
      <w:lvlText w:val="(%1)"/>
      <w:numFmt w:val="lowerLetter"/>
      <w:start w:val="1"/>
    </w:lvl>
  </w:abstractNum>
  <w:abstractNum w:abstractNumId="179">
    <w:nsid w:val="72E3413A"/>
    <w:multiLevelType w:val="hybridMultilevel"/>
    <w:lvl w:ilvl="0">
      <w:lvlJc w:val="left"/>
      <w:lvlText w:val="(%1)"/>
      <w:numFmt w:val="lowerLetter"/>
      <w:start w:val="1"/>
    </w:lvl>
  </w:abstractNum>
  <w:abstractNum w:abstractNumId="180">
    <w:nsid w:val="116AE494"/>
    <w:multiLevelType w:val="hybridMultilevel"/>
    <w:lvl w:ilvl="0">
      <w:lvlJc w:val="left"/>
      <w:lvlText w:val="(%1)"/>
      <w:numFmt w:val="lowerLetter"/>
      <w:start w:val="5"/>
    </w:lvl>
  </w:abstractNum>
  <w:abstractNum w:abstractNumId="181">
    <w:nsid w:val="3494B2FB"/>
    <w:multiLevelType w:val="hybridMultilevel"/>
    <w:lvl w:ilvl="0">
      <w:lvlJc w:val="left"/>
      <w:lvlText w:val="(%1)"/>
      <w:numFmt w:val="lowerLetter"/>
      <w:start w:val="1"/>
    </w:lvl>
  </w:abstractNum>
  <w:abstractNum w:abstractNumId="182">
    <w:nsid w:val="B13A31"/>
    <w:multiLevelType w:val="hybridMultilevel"/>
    <w:lvl w:ilvl="0">
      <w:lvlJc w:val="left"/>
      <w:lvlText w:val="%1"/>
      <w:numFmt w:val="decimal"/>
      <w:start w:val="825"/>
    </w:lvl>
  </w:abstractNum>
  <w:abstractNum w:abstractNumId="183">
    <w:nsid w:val="64429599"/>
    <w:multiLevelType w:val="hybridMultilevel"/>
    <w:lvl w:ilvl="0">
      <w:lvlJc w:val="left"/>
      <w:lvlText w:val="(%1)"/>
      <w:numFmt w:val="lowerLetter"/>
      <w:start w:val="1"/>
    </w:lvl>
  </w:abstractNum>
  <w:abstractNum w:abstractNumId="184">
    <w:nsid w:val="631F1690"/>
    <w:multiLevelType w:val="hybridMultilevel"/>
    <w:lvl w:ilvl="0">
      <w:lvlJc w:val="left"/>
      <w:lvlText w:val="(%1)"/>
      <w:numFmt w:val="lowerLetter"/>
      <w:start w:val="3"/>
    </w:lvl>
  </w:abstractNum>
  <w:abstractNum w:abstractNumId="185">
    <w:nsid w:val="25973E32"/>
    <w:multiLevelType w:val="hybridMultilevel"/>
    <w:lvl w:ilvl="0">
      <w:lvlJc w:val="left"/>
      <w:lvlText w:val="1"/>
      <w:numFmt w:val="bullet"/>
      <w:start w:val="1"/>
    </w:lvl>
  </w:abstractNum>
  <w:abstractNum w:abstractNumId="186">
    <w:nsid w:val="EAD6F57"/>
    <w:multiLevelType w:val="hybridMultilevel"/>
    <w:lvl w:ilvl="0">
      <w:lvlJc w:val="left"/>
      <w:lvlText w:val="2"/>
      <w:numFmt w:val="bullet"/>
      <w:start w:val="1"/>
    </w:lvl>
  </w:abstractNum>
  <w:abstractNum w:abstractNumId="187">
    <w:nsid w:val="6EC9D844"/>
    <w:multiLevelType w:val="hybridMultilevel"/>
    <w:lvl w:ilvl="0">
      <w:lvlJc w:val="left"/>
      <w:lvlText w:val="3"/>
      <w:numFmt w:val="bullet"/>
      <w:start w:val="1"/>
    </w:lvl>
  </w:abstractNum>
  <w:abstractNum w:abstractNumId="188">
    <w:nsid w:val="5C49EAEE"/>
    <w:multiLevelType w:val="hybridMultilevel"/>
    <w:lvl w:ilvl="0">
      <w:lvlJc w:val="left"/>
      <w:lvlText w:val="4"/>
      <w:numFmt w:val="bullet"/>
      <w:start w:val="1"/>
    </w:lvl>
  </w:abstractNum>
  <w:abstractNum w:abstractNumId="189">
    <w:nsid w:val="64AF49B"/>
    <w:multiLevelType w:val="hybridMultilevel"/>
    <w:lvl w:ilvl="0">
      <w:lvlJc w:val="left"/>
      <w:lvlText w:val="5"/>
      <w:numFmt w:val="bullet"/>
      <w:start w:val="1"/>
    </w:lvl>
  </w:abstractNum>
  <w:abstractNum w:abstractNumId="190">
    <w:nsid w:val="397C46BC"/>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2023-07-31T06:13:33Z</dcterms:created>
  <dcterms:modified xsi:type="dcterms:W3CDTF">2023-07-31T06:13:33Z</dcterms:modified>
</cp:coreProperties>
</file>