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333-265023</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171450</wp:posOffset>
            </wp:positionV>
            <wp:extent cx="1937385"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37385" cy="591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Biogen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Offer to Exchange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up to $700,731,000 of our outstanding unregistered 3.250% Senior Notes due 2051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a like principal amount of 3.250% Senior Notes due 2051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that have been registered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Biogen Inc. is offering $700,731,000 aggregate principal amount of new 3.250% Senior Notes due 2051 (the “New Notes”) in exchange for an equal amount of outstanding 3.250% Senior Notes due 2051 (the “Old Notes”).</w:t>
      </w:r>
    </w:p>
    <w:p>
      <w:pPr>
        <w:spacing w:after="0" w:line="76" w:lineRule="exact"/>
        <w:rPr>
          <w:sz w:val="24"/>
          <w:szCs w:val="24"/>
          <w:color w:val="auto"/>
        </w:rPr>
      </w:pPr>
    </w:p>
    <w:p>
      <w:pPr>
        <w:ind w:left="1080" w:right="1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exchange offer expires at 5:00 p.m., New York City time, on June 27, 2022, unless extended (such date and time is referred to herein as the “expiration date”). We do not currently intend to extend the expiration date.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Tenders of Old Notes may be withdrawn at any time before the expiration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Old Notes that are properly tendered and not properly withdrawn before the expiration date will be exchanged.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exchange of Old Notes for New Notes generally will not be a taxable exchange for U.S. federal income tax purposes.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not receive any proceeds from the exchange offer.</w:t>
      </w:r>
    </w:p>
    <w:p>
      <w:pPr>
        <w:spacing w:after="0" w:line="130" w:lineRule="exact"/>
        <w:rPr>
          <w:rFonts w:ascii="Arial" w:cs="Arial" w:eastAsia="Arial" w:hAnsi="Arial"/>
          <w:sz w:val="18"/>
          <w:szCs w:val="18"/>
          <w:color w:val="auto"/>
        </w:rPr>
      </w:pPr>
    </w:p>
    <w:p>
      <w:pPr>
        <w:jc w:val="both"/>
        <w:ind w:left="1080" w:right="380" w:hanging="424"/>
        <w:spacing w:after="0" w:line="286"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terms of the New Notes to be issued in the exchange offer are substantially the same as the terms of the Old Notes, except that the offer and exchange of the New Notes are registered under the Securities Act of 1933, as amended (the “Securities Act”), and the New Notes generally have no transfer restrictions, rights to additional interest or registration rights.</w:t>
      </w:r>
    </w:p>
    <w:p>
      <w:pPr>
        <w:spacing w:after="0" w:line="70"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New Notes will not be listed on any securities exchange. A public market for the New Notes may not develop, which could make selling the New Notes difficult.</w:t>
      </w:r>
    </w:p>
    <w:p>
      <w:pPr>
        <w:spacing w:after="0" w:line="170" w:lineRule="exact"/>
        <w:rPr>
          <w:sz w:val="24"/>
          <w:szCs w:val="24"/>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the New Notes. The letter of transmittal accompanying this prospectus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We have agreed that, for a period ending on the earlier of (i) 90 days from the date on which this registration statement is declared effective and (ii) the date on which no participating broker-dealer is required to deliver a prospectus in connection with market-making or other trading activities, we will make this prospectus available to any broker-dealer for use in connection with any such resale. See “Plan of Distribution.”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120" w:right="200" w:firstLine="44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New Notes to be issued in the exchange offer involves certain risks. See “</w:t>
      </w:r>
      <w:hyperlink w:anchor="page1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9.</w:t>
      </w:r>
    </w:p>
    <w:p>
      <w:pPr>
        <w:spacing w:after="0" w:line="171" w:lineRule="exact"/>
        <w:rPr>
          <w:sz w:val="24"/>
          <w:szCs w:val="24"/>
          <w:color w:val="auto"/>
        </w:rPr>
      </w:pPr>
    </w:p>
    <w:p>
      <w:pPr>
        <w:ind w:left="120" w:right="760" w:firstLine="440"/>
        <w:spacing w:after="0" w:line="347"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these securities or passed upon the adequacy or accuracy of this prospectus. Any representation to the contrary is a criminal offense.</w:t>
      </w:r>
    </w:p>
    <w:p>
      <w:pPr>
        <w:spacing w:after="0" w:line="3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May 26, 2022</w:t>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22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8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gridSpan w:val="2"/>
          </w:tcPr>
          <w:p>
            <w:pPr>
              <w:ind w:left="1180"/>
              <w:spacing w:after="0"/>
              <w:rPr>
                <w:sz w:val="20"/>
                <w:szCs w:val="20"/>
                <w:color w:val="auto"/>
              </w:rPr>
            </w:pPr>
            <w:r>
              <w:rPr>
                <w:rFonts w:ascii="Arial" w:cs="Arial" w:eastAsia="Arial" w:hAnsi="Arial"/>
                <w:sz w:val="18"/>
                <w:szCs w:val="18"/>
                <w:b w:val="1"/>
                <w:bCs w:val="1"/>
                <w:color w:val="auto"/>
              </w:rPr>
              <w:t>TABLE OF CONTENTS</w:t>
            </w:r>
          </w:p>
        </w:tc>
        <w:tc>
          <w:tcPr>
            <w:tcW w:w="38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71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3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5020" w:type="dxa"/>
            <w:vAlign w:val="bottom"/>
            <w:gridSpan w:val="5"/>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FORWARD-LOOKING STATEMENTS</w:t>
              </w:r>
            </w:hyperlink>
          </w:p>
        </w:tc>
        <w:tc>
          <w:tcPr>
            <w:tcW w:w="4160" w:type="dxa"/>
            <w:vAlign w:val="bottom"/>
            <w:gridSpan w:val="3"/>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200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THE EXCHANGE OFFER</w:t>
              </w:r>
            </w:hyperlink>
          </w:p>
        </w:tc>
        <w:tc>
          <w:tcPr>
            <w:tcW w:w="5100" w:type="dxa"/>
            <w:vAlign w:val="bottom"/>
            <w:gridSpan w:val="7"/>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USE OF PROCEEDS</w:t>
              </w:r>
            </w:hyperlink>
          </w:p>
        </w:tc>
        <w:tc>
          <w:tcPr>
            <w:tcW w:w="5520" w:type="dxa"/>
            <w:vAlign w:val="bottom"/>
            <w:gridSpan w:val="9"/>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20" w:type="dxa"/>
            <w:vAlign w:val="bottom"/>
          </w:tcPr>
          <w:p>
            <w:pPr>
              <w:spacing w:after="0"/>
              <w:rPr>
                <w:sz w:val="17"/>
                <w:szCs w:val="17"/>
                <w:color w:val="auto"/>
              </w:rPr>
            </w:pPr>
          </w:p>
        </w:tc>
        <w:tc>
          <w:tcPr>
            <w:tcW w:w="29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DESCRIPTION OF THE NEW NOTES</w:t>
              </w:r>
            </w:hyperlink>
          </w:p>
        </w:tc>
        <w:tc>
          <w:tcPr>
            <w:tcW w:w="4180" w:type="dxa"/>
            <w:vAlign w:val="bottom"/>
            <w:gridSpan w:val="4"/>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20" w:type="dxa"/>
            <w:vAlign w:val="bottom"/>
          </w:tcPr>
          <w:p>
            <w:pPr>
              <w:spacing w:after="0"/>
              <w:rPr>
                <w:sz w:val="17"/>
                <w:szCs w:val="17"/>
                <w:color w:val="auto"/>
              </w:rPr>
            </w:pPr>
          </w:p>
        </w:tc>
        <w:tc>
          <w:tcPr>
            <w:tcW w:w="336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GLOBAL NOTES; BOOK-ENTRY SYSTEM</w:t>
              </w:r>
            </w:hyperlink>
          </w:p>
        </w:tc>
        <w:tc>
          <w:tcPr>
            <w:tcW w:w="3740" w:type="dxa"/>
            <w:vAlign w:val="bottom"/>
            <w:gridSpan w:val="2"/>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20" w:type="dxa"/>
            <w:vAlign w:val="bottom"/>
          </w:tcPr>
          <w:p>
            <w:pPr>
              <w:spacing w:after="0"/>
              <w:rPr>
                <w:sz w:val="17"/>
                <w:szCs w:val="17"/>
                <w:color w:val="auto"/>
              </w:rPr>
            </w:pPr>
          </w:p>
        </w:tc>
        <w:tc>
          <w:tcPr>
            <w:tcW w:w="7100" w:type="dxa"/>
            <w:vAlign w:val="bottom"/>
            <w:gridSpan w:val="1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REGISTRATION RIGHTS</w:t>
              </w:r>
            </w:hyperlink>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100" w:type="dxa"/>
            <w:vAlign w:val="bottom"/>
            <w:gridSpan w:val="1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PLAN OF DISTRIBUTION</w:t>
              </w:r>
            </w:hyperlink>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100" w:type="dxa"/>
            <w:vAlign w:val="bottom"/>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CERTAIN U.S. FEDERAL INCOME TAX CONSIDERATIONS</w:t>
              </w:r>
            </w:hyperlink>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LEGAL MATTERS</w:t>
              </w:r>
            </w:hyperlink>
          </w:p>
        </w:tc>
        <w:tc>
          <w:tcPr>
            <w:tcW w:w="3240" w:type="dxa"/>
            <w:vAlign w:val="bottom"/>
            <w:tcBorders>
              <w:top w:val="single" w:sz="8" w:color="0000EE"/>
            </w:tcBorders>
            <w:gridSpan w:val="9"/>
          </w:tcPr>
          <w:p>
            <w:pPr>
              <w:spacing w:after="0"/>
              <w:rPr>
                <w:sz w:val="17"/>
                <w:szCs w:val="17"/>
                <w:color w:val="auto"/>
              </w:rPr>
            </w:pPr>
          </w:p>
        </w:tc>
        <w:tc>
          <w:tcPr>
            <w:tcW w:w="2400" w:type="dxa"/>
            <w:vAlign w:val="bottom"/>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20" w:type="dxa"/>
            <w:vAlign w:val="bottom"/>
          </w:tcPr>
          <w:p>
            <w:pPr>
              <w:spacing w:after="0"/>
              <w:rPr>
                <w:sz w:val="17"/>
                <w:szCs w:val="17"/>
                <w:color w:val="auto"/>
              </w:rPr>
            </w:pPr>
          </w:p>
        </w:tc>
        <w:tc>
          <w:tcPr>
            <w:tcW w:w="7100" w:type="dxa"/>
            <w:vAlign w:val="bottom"/>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340" w:type="dxa"/>
            <w:vAlign w:val="bottom"/>
            <w:gridSpan w:val="1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10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WHERE YOU CAN FIND MORE INFORMATION AND INCORPORATION BY REFERENCE</w:t>
              </w:r>
            </w:hyperlink>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firstLine="440"/>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or to which we have referred you. We have not authorized anyone to provide you with different information. If anyone provides you with different or inconsistent information, you should not rely on it. This prospectus does not constitute an offer to sell, or a solicitation of an offer to purchase, the securities offered by this prospectus in any jurisdiction to or from any person to whom or from whom it is unlawful to make such offer or solicitation of an offer in such jurisdiction. You should not assume that the information contained in this prospectus is accurate as of any date other than the date of this prospectus. Also, you should not assume that there has been no change in the affairs of Biogen Inc. since the date of this prospectus. Any information incorporated by reference herein is accurate only as of the date of the document incorporated by reference.</w:t>
      </w:r>
    </w:p>
    <w:p>
      <w:pPr>
        <w:spacing w:after="0" w:line="161" w:lineRule="exact"/>
        <w:rPr>
          <w:sz w:val="20"/>
          <w:szCs w:val="20"/>
          <w:color w:val="auto"/>
        </w:rPr>
      </w:pPr>
    </w:p>
    <w:p>
      <w:pPr>
        <w:jc w:val="both"/>
        <w:ind w:left="120" w:right="700" w:firstLine="440"/>
        <w:spacing w:after="0" w:line="314" w:lineRule="auto"/>
        <w:rPr>
          <w:sz w:val="20"/>
          <w:szCs w:val="20"/>
          <w:color w:val="auto"/>
        </w:rPr>
      </w:pPr>
      <w:r>
        <w:rPr>
          <w:rFonts w:ascii="Arial" w:cs="Arial" w:eastAsia="Arial" w:hAnsi="Arial"/>
          <w:sz w:val="16"/>
          <w:szCs w:val="16"/>
          <w:b w:val="1"/>
          <w:bCs w:val="1"/>
          <w:color w:val="auto"/>
        </w:rPr>
        <w:t>This prospectus incorporates important business and financial information about us that is not included in or delivered with this prospectus. See “Where You Can Find More Information and Incorporation by Reference.” You may request a copy of any document incorporated by reference in this prospectus at no cost by calling us at (617) 464-2442 or writing us at the following address: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Biogen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Attn: Investor Relations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225 Binney Street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Cambridge, Massachusetts 02142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(617) 464-2442</w:t>
      </w:r>
    </w:p>
    <w:p>
      <w:pPr>
        <w:spacing w:after="0" w:line="207" w:lineRule="exact"/>
        <w:rPr>
          <w:sz w:val="20"/>
          <w:szCs w:val="20"/>
          <w:color w:val="auto"/>
        </w:rPr>
      </w:pPr>
    </w:p>
    <w:p>
      <w:pPr>
        <w:ind w:left="120" w:right="720" w:firstLine="440"/>
        <w:spacing w:after="0" w:line="282" w:lineRule="auto"/>
        <w:rPr>
          <w:sz w:val="20"/>
          <w:szCs w:val="20"/>
          <w:color w:val="auto"/>
        </w:rPr>
      </w:pPr>
      <w:r>
        <w:rPr>
          <w:rFonts w:ascii="Arial" w:cs="Arial" w:eastAsia="Arial" w:hAnsi="Arial"/>
          <w:sz w:val="18"/>
          <w:szCs w:val="18"/>
          <w:b w:val="1"/>
          <w:bCs w:val="1"/>
          <w:color w:val="auto"/>
        </w:rPr>
        <w:t>To ensure timely delivery of these documents, any request should be made no later than June 17, 2022 to receive them before the expiration of the exchange offer described herein.</w:t>
      </w:r>
    </w:p>
    <w:p>
      <w:pPr>
        <w:spacing w:after="0" w:line="166"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Unless otherwise indicated or unless the context requires otherwise, all references in this prospectus to the “Company,” “Biogen,” “we,” “us” and “our” refer to Biogen Inc. References in this prospectus to “U.S. dollars,” “U.S. $” or “$” are to the currency of the United States of America.</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46"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or incorporated by reference in this prospectus and may not contain all of the information that is important to you. For a more complete understanding of our business, you should read the entire prospectus and the documents incorporated by reference in this prospectus carefully, particularly the risks discussed under the heading “Risk Factors” in this prospectus and in the documents incorporated by reference in this prospectus, as well as our consolidated financial statements and the respective notes to those statements incorporated by reference herein.</w:t>
      </w: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Biogen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We are a global biopharmaceutical company focused on discovering, developing and delivering worldwide innovative therapies for people living with serious neurological and neurodegenerative diseases as well as related therapeutic adjacencies. We have a leading portfolio of medicines to treat multiple sclerosis (“MS”), have introduced the first approved treatment for spinal muscular atrophy (“SMA”) and are providing the first and only approved treatment to address a defining pathology of Alzheimer’s disease. We also commercialize biosimilars of advanced biologics and focus on advancing our pipeline in neuroscience and specialized immunology. Lastly, we are focused on accelerating our efforts in digital health to support our commercial and pipeline programs while also creating opportunities for potential digital therapeutics. We support our drug discovery and development efforts through the commitment of significant resources to discovery, research and development programs and business development opportunities.</w:t>
      </w:r>
    </w:p>
    <w:p>
      <w:pPr>
        <w:spacing w:after="0" w:line="192"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Our marketed products include TECFIDERA, VUMERITY, AVONEX, PLEGRIDY, TYSABRI and FAMPYRA for the treatment of MS; SPINRAZA for the treatment of SMA; ADUHELM for the treatment of Alzheimer’s disease; and FUMADERM for the treatment of severe plaque psoriasis. We have certain business and financial rights with respect to RITUXAN for the treatment of non-Hodgkin’s lymphoma, chronic lymphocytic leukemia (“CLL”) and other conditions; RITUXAN HYCELA for the treatment of non-Hodgkin’s lymphoma and CLL; GAZYVA for the treatment of CLL and follicular lymphoma; OCREVUS for the treatment of primary progressive MS and relapsing MS; and other potential anti-CD20 therapies, including mosunetuzumab, pursuant to our collaboration arrangements with Genentech, Inc., a wholly-owned member of the Roche Group.</w:t>
      </w:r>
    </w:p>
    <w:p>
      <w:pPr>
        <w:spacing w:after="0" w:line="195" w:lineRule="exact"/>
        <w:rPr>
          <w:sz w:val="20"/>
          <w:szCs w:val="20"/>
          <w:color w:val="auto"/>
        </w:rPr>
      </w:pPr>
    </w:p>
    <w:p>
      <w:pPr>
        <w:ind w:left="300" w:right="360" w:firstLine="426"/>
        <w:spacing w:after="0" w:line="255" w:lineRule="auto"/>
        <w:rPr>
          <w:sz w:val="20"/>
          <w:szCs w:val="20"/>
          <w:color w:val="auto"/>
        </w:rPr>
      </w:pPr>
      <w:r>
        <w:rPr>
          <w:rFonts w:ascii="Arial" w:cs="Arial" w:eastAsia="Arial" w:hAnsi="Arial"/>
          <w:sz w:val="18"/>
          <w:szCs w:val="18"/>
          <w:color w:val="auto"/>
        </w:rPr>
        <w:t>Our innovative drug development and commercialization activities are complemented by our biosimilar business that expands access to medicines and reduces the cost burden for healthcare systems. Through our collaboration with Samsung Bioepis Co., Ltd., we market and sell BENEPALI, an etanercept biosimilar referencing ENBREL, IMRALDI, an adalimumab biosimilar referencing HUMIRA, and FLIXABI, an infliximab biosimilar referencing REMICADE, in certain countries in Europe. We have also secured the exclusive rights to commercialize BYOOVIZ, a ranibizumab biosimilar referencing LUCENTIS, which was approved in the U.S., the European Union. and the United Kingdom during the third quarter of 2021.</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40" w:firstLine="426"/>
        <w:spacing w:after="0" w:line="296" w:lineRule="auto"/>
        <w:rPr>
          <w:sz w:val="20"/>
          <w:szCs w:val="20"/>
          <w:color w:val="auto"/>
        </w:rPr>
      </w:pPr>
      <w:r>
        <w:rPr>
          <w:rFonts w:ascii="Arial" w:cs="Arial" w:eastAsia="Arial" w:hAnsi="Arial"/>
          <w:sz w:val="16"/>
          <w:szCs w:val="16"/>
          <w:color w:val="auto"/>
        </w:rPr>
        <w:t>We were formed as a corporation in the State of California in 1985 under the name IDEC Pharmaceuticals Corporation and reincorporated as a Delaware corporation in 1997. In 2003 we acquired Biogen, Inc. and changed our corporate name to Biogen Idec Inc. In March 2015 we changed our corporate name to Biogen Inc. Our principal executive offices are located at 225 Binney Street, Cambridge, Massachusetts 02142, and our telephone number at our principal executive offices is (617) 679-2000. You may visit us at our website located at http://www.biogen.com. The contents of our website have not been, and shall not be deemed to be, incorporated by reference into, and do not form a part of, this prospectus.</w:t>
      </w:r>
    </w:p>
    <w:p>
      <w:pPr>
        <w:spacing w:after="0" w:line="2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84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7842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AVONEX</w:t>
      </w:r>
      <w:r>
        <w:rPr>
          <w:rFonts w:ascii="Arial" w:cs="Arial" w:eastAsia="Arial" w:hAnsi="Arial"/>
          <w:sz w:val="15"/>
          <w:szCs w:val="15"/>
          <w:color w:val="auto"/>
        </w:rPr>
        <w:t>®</w:t>
      </w:r>
      <w:r>
        <w:rPr>
          <w:rFonts w:ascii="Arial" w:cs="Arial" w:eastAsia="Arial" w:hAnsi="Arial"/>
          <w:sz w:val="18"/>
          <w:szCs w:val="18"/>
          <w:color w:val="auto"/>
        </w:rPr>
        <w:t>, PLEGRIDY</w:t>
      </w:r>
      <w:r>
        <w:rPr>
          <w:rFonts w:ascii="Arial" w:cs="Arial" w:eastAsia="Arial" w:hAnsi="Arial"/>
          <w:sz w:val="15"/>
          <w:szCs w:val="15"/>
          <w:color w:val="auto"/>
        </w:rPr>
        <w:t>®</w:t>
      </w:r>
      <w:r>
        <w:rPr>
          <w:rFonts w:ascii="Arial" w:cs="Arial" w:eastAsia="Arial" w:hAnsi="Arial"/>
          <w:sz w:val="18"/>
          <w:szCs w:val="18"/>
          <w:color w:val="auto"/>
        </w:rPr>
        <w:t>, RITUXAN</w:t>
      </w:r>
      <w:r>
        <w:rPr>
          <w:rFonts w:ascii="Arial" w:cs="Arial" w:eastAsia="Arial" w:hAnsi="Arial"/>
          <w:sz w:val="15"/>
          <w:szCs w:val="15"/>
          <w:color w:val="auto"/>
        </w:rPr>
        <w:t>®</w:t>
      </w:r>
      <w:r>
        <w:rPr>
          <w:rFonts w:ascii="Arial" w:cs="Arial" w:eastAsia="Arial" w:hAnsi="Arial"/>
          <w:sz w:val="18"/>
          <w:szCs w:val="18"/>
          <w:color w:val="auto"/>
        </w:rPr>
        <w:t>, RITUXAN HYCELA</w:t>
      </w:r>
      <w:r>
        <w:rPr>
          <w:rFonts w:ascii="Arial" w:cs="Arial" w:eastAsia="Arial" w:hAnsi="Arial"/>
          <w:sz w:val="15"/>
          <w:szCs w:val="15"/>
          <w:color w:val="auto"/>
        </w:rPr>
        <w:t>®</w:t>
      </w:r>
      <w:r>
        <w:rPr>
          <w:rFonts w:ascii="Arial" w:cs="Arial" w:eastAsia="Arial" w:hAnsi="Arial"/>
          <w:sz w:val="18"/>
          <w:szCs w:val="18"/>
          <w:color w:val="auto"/>
        </w:rPr>
        <w:t>, SPINRAZA</w:t>
      </w:r>
      <w:r>
        <w:rPr>
          <w:rFonts w:ascii="Arial" w:cs="Arial" w:eastAsia="Arial" w:hAnsi="Arial"/>
          <w:sz w:val="15"/>
          <w:szCs w:val="15"/>
          <w:color w:val="auto"/>
        </w:rPr>
        <w:t>®</w:t>
      </w:r>
      <w:r>
        <w:rPr>
          <w:rFonts w:ascii="Arial" w:cs="Arial" w:eastAsia="Arial" w:hAnsi="Arial"/>
          <w:sz w:val="18"/>
          <w:szCs w:val="18"/>
          <w:color w:val="auto"/>
        </w:rPr>
        <w:t>, TECFIDERA</w:t>
      </w:r>
      <w:r>
        <w:rPr>
          <w:rFonts w:ascii="Arial" w:cs="Arial" w:eastAsia="Arial" w:hAnsi="Arial"/>
          <w:sz w:val="15"/>
          <w:szCs w:val="15"/>
          <w:color w:val="auto"/>
        </w:rPr>
        <w:t>®</w:t>
      </w:r>
      <w:r>
        <w:rPr>
          <w:rFonts w:ascii="Arial" w:cs="Arial" w:eastAsia="Arial" w:hAnsi="Arial"/>
          <w:sz w:val="18"/>
          <w:szCs w:val="18"/>
          <w:color w:val="auto"/>
        </w:rPr>
        <w:t>, TYSABRI</w:t>
      </w:r>
      <w:r>
        <w:rPr>
          <w:rFonts w:ascii="Arial" w:cs="Arial" w:eastAsia="Arial" w:hAnsi="Arial"/>
          <w:sz w:val="15"/>
          <w:szCs w:val="15"/>
          <w:color w:val="auto"/>
        </w:rPr>
        <w:t>®</w:t>
      </w:r>
      <w:r>
        <w:rPr>
          <w:rFonts w:ascii="Arial" w:cs="Arial" w:eastAsia="Arial" w:hAnsi="Arial"/>
          <w:sz w:val="18"/>
          <w:szCs w:val="18"/>
          <w:color w:val="auto"/>
        </w:rPr>
        <w:t xml:space="preserve"> and VUMERITY</w:t>
      </w:r>
      <w:r>
        <w:rPr>
          <w:rFonts w:ascii="Arial" w:cs="Arial" w:eastAsia="Arial" w:hAnsi="Arial"/>
          <w:sz w:val="15"/>
          <w:szCs w:val="15"/>
          <w:color w:val="auto"/>
        </w:rPr>
        <w:t>®</w:t>
      </w:r>
      <w:r>
        <w:rPr>
          <w:rFonts w:ascii="Arial" w:cs="Arial" w:eastAsia="Arial" w:hAnsi="Arial"/>
          <w:sz w:val="18"/>
          <w:szCs w:val="18"/>
          <w:color w:val="auto"/>
        </w:rPr>
        <w:t xml:space="preserve"> are registered trademarks of Biogen. ADUHELM</w:t>
      </w:r>
      <w:r>
        <w:rPr>
          <w:rFonts w:ascii="Arial" w:cs="Arial" w:eastAsia="Arial" w:hAnsi="Arial"/>
          <w:sz w:val="15"/>
          <w:szCs w:val="15"/>
          <w:color w:val="auto"/>
        </w:rPr>
        <w:t>TM</w:t>
      </w:r>
      <w:r>
        <w:rPr>
          <w:rFonts w:ascii="Arial" w:cs="Arial" w:eastAsia="Arial" w:hAnsi="Arial"/>
          <w:sz w:val="18"/>
          <w:szCs w:val="18"/>
          <w:color w:val="auto"/>
        </w:rPr>
        <w:t>, BENEPALI</w:t>
      </w:r>
      <w:r>
        <w:rPr>
          <w:rFonts w:ascii="Arial" w:cs="Arial" w:eastAsia="Arial" w:hAnsi="Arial"/>
          <w:sz w:val="15"/>
          <w:szCs w:val="15"/>
          <w:color w:val="auto"/>
        </w:rPr>
        <w:t>TM</w:t>
      </w:r>
      <w:r>
        <w:rPr>
          <w:rFonts w:ascii="Arial" w:cs="Arial" w:eastAsia="Arial" w:hAnsi="Arial"/>
          <w:sz w:val="18"/>
          <w:szCs w:val="18"/>
          <w:color w:val="auto"/>
        </w:rPr>
        <w:t>, BYOOVIZ</w:t>
      </w:r>
      <w:r>
        <w:rPr>
          <w:rFonts w:ascii="Arial" w:cs="Arial" w:eastAsia="Arial" w:hAnsi="Arial"/>
          <w:sz w:val="15"/>
          <w:szCs w:val="15"/>
          <w:color w:val="auto"/>
        </w:rPr>
        <w:t>TM</w:t>
      </w:r>
      <w:r>
        <w:rPr>
          <w:rFonts w:ascii="Arial" w:cs="Arial" w:eastAsia="Arial" w:hAnsi="Arial"/>
          <w:sz w:val="18"/>
          <w:szCs w:val="18"/>
          <w:color w:val="auto"/>
        </w:rPr>
        <w:t>, FLIXABI</w:t>
      </w:r>
      <w:r>
        <w:rPr>
          <w:rFonts w:ascii="Arial" w:cs="Arial" w:eastAsia="Arial" w:hAnsi="Arial"/>
          <w:sz w:val="15"/>
          <w:szCs w:val="15"/>
          <w:color w:val="auto"/>
        </w:rPr>
        <w:t>TM</w:t>
      </w:r>
      <w:r>
        <w:rPr>
          <w:rFonts w:ascii="Arial" w:cs="Arial" w:eastAsia="Arial" w:hAnsi="Arial"/>
          <w:sz w:val="18"/>
          <w:szCs w:val="18"/>
          <w:color w:val="auto"/>
        </w:rPr>
        <w:t>, FUMADERM</w:t>
      </w:r>
      <w:r>
        <w:rPr>
          <w:rFonts w:ascii="Arial" w:cs="Arial" w:eastAsia="Arial" w:hAnsi="Arial"/>
          <w:sz w:val="15"/>
          <w:szCs w:val="15"/>
          <w:color w:val="auto"/>
        </w:rPr>
        <w:t>TM</w:t>
      </w:r>
      <w:r>
        <w:rPr>
          <w:rFonts w:ascii="Arial" w:cs="Arial" w:eastAsia="Arial" w:hAnsi="Arial"/>
          <w:sz w:val="18"/>
          <w:szCs w:val="18"/>
          <w:color w:val="auto"/>
        </w:rPr>
        <w:t>, and IMRALDI</w:t>
      </w:r>
      <w:r>
        <w:rPr>
          <w:rFonts w:ascii="Arial" w:cs="Arial" w:eastAsia="Arial" w:hAnsi="Arial"/>
          <w:sz w:val="15"/>
          <w:szCs w:val="15"/>
          <w:color w:val="auto"/>
        </w:rPr>
        <w:t>TM</w:t>
      </w:r>
      <w:r>
        <w:rPr>
          <w:rFonts w:ascii="Arial" w:cs="Arial" w:eastAsia="Arial" w:hAnsi="Arial"/>
          <w:sz w:val="18"/>
          <w:szCs w:val="18"/>
          <w:color w:val="auto"/>
        </w:rPr>
        <w:t xml:space="preserve"> are trademarks of Biogen. CIMZIA</w:t>
      </w:r>
      <w:r>
        <w:rPr>
          <w:rFonts w:ascii="Arial" w:cs="Arial" w:eastAsia="Arial" w:hAnsi="Arial"/>
          <w:sz w:val="15"/>
          <w:szCs w:val="15"/>
          <w:color w:val="auto"/>
        </w:rPr>
        <w:t>®</w:t>
      </w:r>
      <w:r>
        <w:rPr>
          <w:rFonts w:ascii="Arial" w:cs="Arial" w:eastAsia="Arial" w:hAnsi="Arial"/>
          <w:sz w:val="18"/>
          <w:szCs w:val="18"/>
          <w:color w:val="auto"/>
        </w:rPr>
        <w:t>, ENBREL</w:t>
      </w:r>
      <w:r>
        <w:rPr>
          <w:rFonts w:ascii="Arial" w:cs="Arial" w:eastAsia="Arial" w:hAnsi="Arial"/>
          <w:sz w:val="15"/>
          <w:szCs w:val="15"/>
          <w:color w:val="auto"/>
        </w:rPr>
        <w:t>®</w:t>
      </w:r>
      <w:r>
        <w:rPr>
          <w:rFonts w:ascii="Arial" w:cs="Arial" w:eastAsia="Arial" w:hAnsi="Arial"/>
          <w:sz w:val="18"/>
          <w:szCs w:val="18"/>
          <w:color w:val="auto"/>
        </w:rPr>
        <w:t>, EYLEA</w:t>
      </w:r>
      <w:r>
        <w:rPr>
          <w:rFonts w:ascii="Arial" w:cs="Arial" w:eastAsia="Arial" w:hAnsi="Arial"/>
          <w:sz w:val="15"/>
          <w:szCs w:val="15"/>
          <w:color w:val="auto"/>
        </w:rPr>
        <w:t>®</w:t>
      </w:r>
      <w:r>
        <w:rPr>
          <w:rFonts w:ascii="Arial" w:cs="Arial" w:eastAsia="Arial" w:hAnsi="Arial"/>
          <w:sz w:val="18"/>
          <w:szCs w:val="18"/>
          <w:color w:val="auto"/>
        </w:rPr>
        <w:t>, FAMPYRA</w:t>
      </w:r>
      <w:r>
        <w:rPr>
          <w:rFonts w:ascii="Arial" w:cs="Arial" w:eastAsia="Arial" w:hAnsi="Arial"/>
          <w:sz w:val="15"/>
          <w:szCs w:val="15"/>
          <w:color w:val="auto"/>
        </w:rPr>
        <w:t>TM</w:t>
      </w:r>
      <w:r>
        <w:rPr>
          <w:rFonts w:ascii="Arial" w:cs="Arial" w:eastAsia="Arial" w:hAnsi="Arial"/>
          <w:sz w:val="18"/>
          <w:szCs w:val="18"/>
          <w:color w:val="auto"/>
        </w:rPr>
        <w:t>, GAZYVA</w:t>
      </w:r>
      <w:r>
        <w:rPr>
          <w:rFonts w:ascii="Arial" w:cs="Arial" w:eastAsia="Arial" w:hAnsi="Arial"/>
          <w:sz w:val="15"/>
          <w:szCs w:val="15"/>
          <w:color w:val="auto"/>
        </w:rPr>
        <w:t>®</w:t>
      </w:r>
      <w:r>
        <w:rPr>
          <w:rFonts w:ascii="Arial" w:cs="Arial" w:eastAsia="Arial" w:hAnsi="Arial"/>
          <w:sz w:val="18"/>
          <w:szCs w:val="18"/>
          <w:color w:val="auto"/>
        </w:rPr>
        <w:t>, HUMIRA</w:t>
      </w:r>
      <w:r>
        <w:rPr>
          <w:rFonts w:ascii="Arial" w:cs="Arial" w:eastAsia="Arial" w:hAnsi="Arial"/>
          <w:sz w:val="15"/>
          <w:szCs w:val="15"/>
          <w:color w:val="auto"/>
        </w:rPr>
        <w:t>®</w:t>
      </w:r>
      <w:r>
        <w:rPr>
          <w:rFonts w:ascii="Arial" w:cs="Arial" w:eastAsia="Arial" w:hAnsi="Arial"/>
          <w:sz w:val="18"/>
          <w:szCs w:val="18"/>
          <w:color w:val="auto"/>
        </w:rPr>
        <w:t>, LUCENTIS</w:t>
      </w:r>
      <w:r>
        <w:rPr>
          <w:rFonts w:ascii="Arial" w:cs="Arial" w:eastAsia="Arial" w:hAnsi="Arial"/>
          <w:sz w:val="15"/>
          <w:szCs w:val="15"/>
          <w:color w:val="auto"/>
        </w:rPr>
        <w:t>®</w:t>
      </w:r>
      <w:r>
        <w:rPr>
          <w:rFonts w:ascii="Arial" w:cs="Arial" w:eastAsia="Arial" w:hAnsi="Arial"/>
          <w:sz w:val="18"/>
          <w:szCs w:val="18"/>
          <w:color w:val="auto"/>
        </w:rPr>
        <w:t>, OCREVUS</w:t>
      </w:r>
      <w:r>
        <w:rPr>
          <w:rFonts w:ascii="Arial" w:cs="Arial" w:eastAsia="Arial" w:hAnsi="Arial"/>
          <w:sz w:val="15"/>
          <w:szCs w:val="15"/>
          <w:color w:val="auto"/>
        </w:rPr>
        <w:t>®</w:t>
      </w:r>
      <w:r>
        <w:rPr>
          <w:rFonts w:ascii="Arial" w:cs="Arial" w:eastAsia="Arial" w:hAnsi="Arial"/>
          <w:sz w:val="18"/>
          <w:szCs w:val="18"/>
          <w:color w:val="auto"/>
        </w:rPr>
        <w:t>, REMICADE</w:t>
      </w:r>
      <w:r>
        <w:rPr>
          <w:rFonts w:ascii="Arial" w:cs="Arial" w:eastAsia="Arial" w:hAnsi="Arial"/>
          <w:sz w:val="15"/>
          <w:szCs w:val="15"/>
          <w:color w:val="auto"/>
        </w:rPr>
        <w:t>®</w:t>
      </w:r>
      <w:r>
        <w:rPr>
          <w:rFonts w:ascii="Arial" w:cs="Arial" w:eastAsia="Arial" w:hAnsi="Arial"/>
          <w:sz w:val="18"/>
          <w:szCs w:val="18"/>
          <w:color w:val="auto"/>
        </w:rPr>
        <w:t xml:space="preserve"> and other trademarks referenced in this prospectus are the property of their respective owners.</w:t>
      </w:r>
    </w:p>
    <w:p>
      <w:pPr>
        <w:spacing w:after="0" w:line="29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320" w:top="459" w:right="8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Exchange Offer</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The following is a brief summary of the exchange offer. For a more complete description of the exchange offer, see “The Exchange Offer.”</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Background</w:t>
            </w:r>
          </w:p>
        </w:tc>
        <w:tc>
          <w:tcPr>
            <w:tcW w:w="7760" w:type="dxa"/>
            <w:vAlign w:val="bottom"/>
          </w:tcPr>
          <w:p>
            <w:pPr>
              <w:ind w:left="960"/>
              <w:spacing w:after="0"/>
              <w:rPr>
                <w:sz w:val="20"/>
                <w:szCs w:val="20"/>
                <w:color w:val="auto"/>
              </w:rPr>
            </w:pPr>
            <w:r>
              <w:rPr>
                <w:rFonts w:ascii="Arial" w:cs="Arial" w:eastAsia="Arial" w:hAnsi="Arial"/>
                <w:sz w:val="18"/>
                <w:szCs w:val="18"/>
                <w:color w:val="auto"/>
                <w:w w:val="93"/>
              </w:rPr>
              <w:t>On February 16, 2021, we consummated a private offer to exchange Old Notes pursuant to</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rPr>
              <w:t>exemptions from the registration requirements of the Securities Act (the “private</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7"/>
              </w:rPr>
              <w:t>exchange”) for our 5.200% Senior Notes due 2045. We issued $700,731,000 aggregate</w:t>
            </w:r>
          </w:p>
        </w:tc>
      </w:tr>
      <w:tr>
        <w:trPr>
          <w:trHeight w:val="230"/>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rPr>
              <w:t>principal amount of Old Notes in the private exchange.</w:t>
            </w:r>
          </w:p>
        </w:tc>
      </w:tr>
      <w:tr>
        <w:trPr>
          <w:trHeight w:val="445"/>
        </w:trPr>
        <w:tc>
          <w:tcPr>
            <w:tcW w:w="3260" w:type="dxa"/>
            <w:vAlign w:val="bottom"/>
          </w:tcPr>
          <w:p>
            <w:pPr>
              <w:spacing w:after="0"/>
              <w:rPr>
                <w:sz w:val="24"/>
                <w:szCs w:val="24"/>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4"/>
              </w:rPr>
              <w:t>In connection with the private exchange, we entered into a Registration Rights Agreement</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4"/>
              </w:rPr>
              <w:t>(as defined in “The Exchange Offer”) in which we agreed, among other things, to complete</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6"/>
              </w:rPr>
              <w:t>this exchange offer. Under the terms of the exchange offer, you are entitled to exchange</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rPr>
              <w:t>outstanding Old Notes for New Notes evidencing the same indebtedness and having</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7"/>
              </w:rPr>
              <w:t>substantially identical terms to the Old Notes, except that the offer and exchange of the</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5"/>
              </w:rPr>
              <w:t>New Notes will be registered under the Securities Act, and the New Notes generally have</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6"/>
              </w:rPr>
              <w:t>no transfer restrictions, rights to additional interest or registration rights. You should read</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8"/>
              </w:rPr>
              <w:t>the discussion under the heading “Description of the New Notes” for further information</w:t>
            </w:r>
          </w:p>
        </w:tc>
      </w:tr>
      <w:tr>
        <w:trPr>
          <w:trHeight w:val="230"/>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rPr>
              <w:t>regarding the New Notes.</w:t>
            </w:r>
          </w:p>
        </w:tc>
      </w:tr>
      <w:tr>
        <w:trPr>
          <w:trHeight w:val="445"/>
        </w:trPr>
        <w:tc>
          <w:tcPr>
            <w:tcW w:w="3260" w:type="dxa"/>
            <w:vAlign w:val="bottom"/>
          </w:tcPr>
          <w:p>
            <w:pPr>
              <w:ind w:left="180"/>
              <w:spacing w:after="0"/>
              <w:rPr>
                <w:sz w:val="20"/>
                <w:szCs w:val="20"/>
                <w:color w:val="auto"/>
              </w:rPr>
            </w:pPr>
            <w:r>
              <w:rPr>
                <w:rFonts w:ascii="Arial" w:cs="Arial" w:eastAsia="Arial" w:hAnsi="Arial"/>
                <w:sz w:val="18"/>
                <w:szCs w:val="18"/>
                <w:color w:val="auto"/>
              </w:rPr>
              <w:t>The Exchange Offer</w:t>
            </w:r>
          </w:p>
        </w:tc>
        <w:tc>
          <w:tcPr>
            <w:tcW w:w="7760" w:type="dxa"/>
            <w:vAlign w:val="bottom"/>
          </w:tcPr>
          <w:p>
            <w:pPr>
              <w:ind w:left="960"/>
              <w:spacing w:after="0"/>
              <w:rPr>
                <w:sz w:val="20"/>
                <w:szCs w:val="20"/>
                <w:color w:val="auto"/>
              </w:rPr>
            </w:pPr>
            <w:r>
              <w:rPr>
                <w:rFonts w:ascii="Arial" w:cs="Arial" w:eastAsia="Arial" w:hAnsi="Arial"/>
                <w:sz w:val="18"/>
                <w:szCs w:val="18"/>
                <w:color w:val="auto"/>
              </w:rPr>
              <w:t>We are offering to exchange New Notes for a like principal amount of the Old Notes.</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5"/>
              </w:rPr>
              <w:t>Subject to the satisfaction or waiver of the conditions of the exchange offer, all Old Notes</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7"/>
              </w:rPr>
              <w:t>that are properly tendered and not properly withdrawn before the expiration date will be</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7"/>
              </w:rPr>
              <w:t>accepted by us and exchanged. No alternative, conditional or contingent tenders will be</w:t>
            </w:r>
          </w:p>
        </w:tc>
      </w:tr>
      <w:tr>
        <w:trPr>
          <w:trHeight w:val="230"/>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rPr>
              <w:t>accepted.</w:t>
            </w:r>
          </w:p>
        </w:tc>
      </w:tr>
      <w:tr>
        <w:trPr>
          <w:trHeight w:val="445"/>
        </w:trPr>
        <w:tc>
          <w:tcPr>
            <w:tcW w:w="3260" w:type="dxa"/>
            <w:vAlign w:val="bottom"/>
          </w:tcPr>
          <w:p>
            <w:pPr>
              <w:spacing w:after="0"/>
              <w:rPr>
                <w:sz w:val="24"/>
                <w:szCs w:val="24"/>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9"/>
              </w:rPr>
              <w:t>As of the date of this prospectus, $700,731,000 aggregate principal amount of the Old</w:t>
            </w:r>
          </w:p>
        </w:tc>
      </w:tr>
      <w:tr>
        <w:trPr>
          <w:trHeight w:val="230"/>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rPr>
              <w:t>Notes are outstanding.</w:t>
            </w:r>
          </w:p>
        </w:tc>
      </w:tr>
      <w:tr>
        <w:trPr>
          <w:trHeight w:val="445"/>
        </w:trPr>
        <w:tc>
          <w:tcPr>
            <w:tcW w:w="326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760" w:type="dxa"/>
            <w:vAlign w:val="bottom"/>
          </w:tcPr>
          <w:p>
            <w:pPr>
              <w:ind w:left="960"/>
              <w:spacing w:after="0"/>
              <w:rPr>
                <w:sz w:val="20"/>
                <w:szCs w:val="20"/>
                <w:color w:val="auto"/>
              </w:rPr>
            </w:pPr>
            <w:r>
              <w:rPr>
                <w:rFonts w:ascii="Arial" w:cs="Arial" w:eastAsia="Arial" w:hAnsi="Arial"/>
                <w:sz w:val="18"/>
                <w:szCs w:val="18"/>
                <w:color w:val="auto"/>
                <w:w w:val="96"/>
              </w:rPr>
              <w:t>Interest on the New Notes will be payable in cash and will accrue at a rate of 3.250% per</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5"/>
              </w:rPr>
              <w:t>annum. Interest on the New Notes will accrue from the last interest date on which interest</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7"/>
              </w:rPr>
              <w:t>was paid on your Old Notes. Any Old Notes not exchanged will remain outstanding and</w:t>
            </w:r>
          </w:p>
        </w:tc>
      </w:tr>
      <w:tr>
        <w:trPr>
          <w:trHeight w:val="230"/>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rPr>
              <w:t>continue to accrue interest according to their terms.</w:t>
            </w:r>
          </w:p>
        </w:tc>
      </w:tr>
      <w:tr>
        <w:trPr>
          <w:trHeight w:val="445"/>
        </w:trPr>
        <w:tc>
          <w:tcPr>
            <w:tcW w:w="326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760" w:type="dxa"/>
            <w:vAlign w:val="bottom"/>
          </w:tcPr>
          <w:p>
            <w:pPr>
              <w:ind w:left="960"/>
              <w:spacing w:after="0"/>
              <w:rPr>
                <w:sz w:val="20"/>
                <w:szCs w:val="20"/>
                <w:color w:val="auto"/>
              </w:rPr>
            </w:pPr>
            <w:r>
              <w:rPr>
                <w:rFonts w:ascii="Arial" w:cs="Arial" w:eastAsia="Arial" w:hAnsi="Arial"/>
                <w:sz w:val="18"/>
                <w:szCs w:val="18"/>
                <w:color w:val="auto"/>
                <w:w w:val="95"/>
              </w:rPr>
              <w:t>Interest on the New Notes will be payable semiannually on February 15 and August 15 of</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rPr>
              <w:t>each year, beginning August 15, 2021 (or, if later, the first interest payment date after</w:t>
            </w:r>
          </w:p>
        </w:tc>
      </w:tr>
      <w:tr>
        <w:trPr>
          <w:trHeight w:val="230"/>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rPr>
              <w:t>issuance of the New Notes).</w:t>
            </w:r>
          </w:p>
        </w:tc>
      </w:tr>
      <w:tr>
        <w:trPr>
          <w:trHeight w:val="445"/>
        </w:trPr>
        <w:tc>
          <w:tcPr>
            <w:tcW w:w="3260" w:type="dxa"/>
            <w:vAlign w:val="bottom"/>
          </w:tcPr>
          <w:p>
            <w:pPr>
              <w:ind w:left="180"/>
              <w:spacing w:after="0"/>
              <w:rPr>
                <w:sz w:val="20"/>
                <w:szCs w:val="20"/>
                <w:color w:val="auto"/>
              </w:rPr>
            </w:pPr>
            <w:r>
              <w:rPr>
                <w:rFonts w:ascii="Arial" w:cs="Arial" w:eastAsia="Arial" w:hAnsi="Arial"/>
                <w:sz w:val="18"/>
                <w:szCs w:val="18"/>
                <w:color w:val="auto"/>
              </w:rPr>
              <w:t>Denominations of New Notes</w:t>
            </w:r>
          </w:p>
        </w:tc>
        <w:tc>
          <w:tcPr>
            <w:tcW w:w="7760" w:type="dxa"/>
            <w:vAlign w:val="bottom"/>
          </w:tcPr>
          <w:p>
            <w:pPr>
              <w:ind w:left="960"/>
              <w:spacing w:after="0"/>
              <w:rPr>
                <w:sz w:val="20"/>
                <w:szCs w:val="20"/>
                <w:color w:val="auto"/>
              </w:rPr>
            </w:pPr>
            <w:r>
              <w:rPr>
                <w:rFonts w:ascii="Arial" w:cs="Arial" w:eastAsia="Arial" w:hAnsi="Arial"/>
                <w:sz w:val="18"/>
                <w:szCs w:val="18"/>
                <w:color w:val="auto"/>
              </w:rPr>
              <w:t>Tendering holders of Old Notes must tender Old Notes in minimum denominations of</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rPr>
              <w:t>$2,000 in principal amount and integral multiples of $1,000 in excess thereof (the</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w w:val="99"/>
              </w:rPr>
              <w:t>“Authorized Denominations”). Holders who tender less than all of their Old Notes must</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rPr>
              <w:t>continue to hold the Old Notes in at least the minimum Authorized Denomination of</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rPr>
              <w:t>$2,000 in principal amount. New Notes will be issued only in the Authorized</w:t>
            </w:r>
          </w:p>
        </w:tc>
      </w:tr>
      <w:tr>
        <w:trPr>
          <w:trHeight w:val="230"/>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Arial" w:cs="Arial" w:eastAsia="Arial" w:hAnsi="Arial"/>
                <w:sz w:val="18"/>
                <w:szCs w:val="18"/>
                <w:color w:val="auto"/>
              </w:rPr>
              <w:t>Denominations.</w:t>
            </w:r>
          </w:p>
        </w:tc>
      </w:tr>
      <w:tr>
        <w:trPr>
          <w:trHeight w:val="159"/>
        </w:trPr>
        <w:tc>
          <w:tcPr>
            <w:tcW w:w="3260" w:type="dxa"/>
            <w:vAlign w:val="bottom"/>
            <w:tcBorders>
              <w:bottom w:val="single" w:sz="8" w:color="auto"/>
            </w:tcBorders>
          </w:tcPr>
          <w:p>
            <w:pPr>
              <w:spacing w:after="0"/>
              <w:rPr>
                <w:sz w:val="13"/>
                <w:szCs w:val="13"/>
                <w:color w:val="auto"/>
              </w:rPr>
            </w:pPr>
          </w:p>
        </w:tc>
        <w:tc>
          <w:tcPr>
            <w:tcW w:w="7760" w:type="dxa"/>
            <w:vAlign w:val="bottom"/>
            <w:tcBorders>
              <w:bottom w:val="single" w:sz="8" w:color="auto"/>
            </w:tcBorders>
          </w:tcPr>
          <w:p>
            <w:pPr>
              <w:spacing w:after="0"/>
              <w:rPr>
                <w:sz w:val="13"/>
                <w:szCs w:val="13"/>
                <w:color w:val="auto"/>
              </w:rPr>
            </w:pPr>
          </w:p>
        </w:tc>
      </w:tr>
      <w:tr>
        <w:trPr>
          <w:trHeight w:val="361"/>
        </w:trPr>
        <w:tc>
          <w:tcPr>
            <w:tcW w:w="3260" w:type="dxa"/>
            <w:vAlign w:val="bottom"/>
          </w:tcPr>
          <w:p>
            <w:pPr>
              <w:spacing w:after="0"/>
              <w:rPr>
                <w:sz w:val="24"/>
                <w:szCs w:val="24"/>
                <w:color w:val="auto"/>
              </w:rPr>
            </w:pPr>
          </w:p>
        </w:tc>
        <w:tc>
          <w:tcPr>
            <w:tcW w:w="7760" w:type="dxa"/>
            <w:vAlign w:val="bottom"/>
          </w:tcPr>
          <w:p>
            <w:pPr>
              <w:ind w:left="22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901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Settlement Date</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Withdrawal of Tenders</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Conditions to the Exchange Offer</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Procedures for Tendering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Consequences of Failure to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Taxation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5" w:right="40"/>
        <w:spacing w:after="0" w:line="259" w:lineRule="auto"/>
        <w:rPr>
          <w:sz w:val="20"/>
          <w:szCs w:val="20"/>
          <w:color w:val="auto"/>
        </w:rPr>
      </w:pPr>
      <w:r>
        <w:rPr>
          <w:rFonts w:ascii="Arial" w:cs="Arial" w:eastAsia="Arial" w:hAnsi="Arial"/>
          <w:sz w:val="18"/>
          <w:szCs w:val="18"/>
          <w:color w:val="auto"/>
        </w:rPr>
        <w:t>The exchange offer will expire at 5:00 p.m., New York City time, on June 27, 2022, unless we extend the exchange offer, in which case “expiration date” will mean the latest date and time to which we extend the exchange offer. We do not currently intend to extend the expiration date.</w:t>
      </w:r>
    </w:p>
    <w:p>
      <w:pPr>
        <w:spacing w:after="0" w:line="214" w:lineRule="exact"/>
        <w:rPr>
          <w:sz w:val="20"/>
          <w:szCs w:val="20"/>
          <w:color w:val="auto"/>
        </w:rPr>
      </w:pPr>
    </w:p>
    <w:p>
      <w:pPr>
        <w:ind w:left="5" w:right="140"/>
        <w:spacing w:after="0" w:line="277" w:lineRule="auto"/>
        <w:rPr>
          <w:sz w:val="20"/>
          <w:szCs w:val="20"/>
          <w:color w:val="auto"/>
        </w:rPr>
      </w:pPr>
      <w:r>
        <w:rPr>
          <w:rFonts w:ascii="Arial" w:cs="Arial" w:eastAsia="Arial" w:hAnsi="Arial"/>
          <w:sz w:val="18"/>
          <w:szCs w:val="18"/>
          <w:color w:val="auto"/>
        </w:rPr>
        <w:t>The settlement date of the exchange offer will be promptly after the expiration date of the exchange offer.</w:t>
      </w:r>
    </w:p>
    <w:p>
      <w:pPr>
        <w:spacing w:after="0" w:line="197" w:lineRule="exact"/>
        <w:rPr>
          <w:sz w:val="20"/>
          <w:szCs w:val="20"/>
          <w:color w:val="auto"/>
        </w:rPr>
      </w:pPr>
    </w:p>
    <w:p>
      <w:pPr>
        <w:ind w:left="5" w:right="180"/>
        <w:spacing w:after="0" w:line="277" w:lineRule="auto"/>
        <w:rPr>
          <w:sz w:val="20"/>
          <w:szCs w:val="20"/>
          <w:color w:val="auto"/>
        </w:rPr>
      </w:pPr>
      <w:r>
        <w:rPr>
          <w:rFonts w:ascii="Arial" w:cs="Arial" w:eastAsia="Arial" w:hAnsi="Arial"/>
          <w:sz w:val="18"/>
          <w:szCs w:val="18"/>
          <w:color w:val="auto"/>
        </w:rPr>
        <w:t>Tenders of Old Notes may be withdrawn at any time before the expiration date. See “The Exchange Offer—Withdrawal Rights.”</w:t>
      </w:r>
    </w:p>
    <w:p>
      <w:pPr>
        <w:spacing w:after="0" w:line="197" w:lineRule="exact"/>
        <w:rPr>
          <w:sz w:val="20"/>
          <w:szCs w:val="20"/>
          <w:color w:val="auto"/>
        </w:rPr>
      </w:pPr>
    </w:p>
    <w:p>
      <w:pPr>
        <w:ind w:left="5"/>
        <w:spacing w:after="0" w:line="308" w:lineRule="auto"/>
        <w:rPr>
          <w:sz w:val="20"/>
          <w:szCs w:val="20"/>
          <w:color w:val="auto"/>
        </w:rPr>
      </w:pPr>
      <w:r>
        <w:rPr>
          <w:rFonts w:ascii="Arial" w:cs="Arial" w:eastAsia="Arial" w:hAnsi="Arial"/>
          <w:sz w:val="17"/>
          <w:szCs w:val="17"/>
          <w:color w:val="auto"/>
        </w:rPr>
        <w:t>Our obligation to consummate the exchange offer is subject to certain conditions, which we may assert or waive. See “The Exchange Offer—Conditions to the Exchange Offer.”</w:t>
      </w:r>
    </w:p>
    <w:p>
      <w:pPr>
        <w:spacing w:after="0" w:line="173" w:lineRule="exact"/>
        <w:rPr>
          <w:sz w:val="20"/>
          <w:szCs w:val="20"/>
          <w:color w:val="auto"/>
        </w:rPr>
      </w:pPr>
    </w:p>
    <w:p>
      <w:pPr>
        <w:ind w:left="5" w:right="80"/>
        <w:spacing w:after="0" w:line="293" w:lineRule="auto"/>
        <w:rPr>
          <w:sz w:val="20"/>
          <w:szCs w:val="20"/>
          <w:color w:val="auto"/>
        </w:rPr>
      </w:pPr>
      <w:r>
        <w:rPr>
          <w:rFonts w:ascii="Arial" w:cs="Arial" w:eastAsia="Arial" w:hAnsi="Arial"/>
          <w:sz w:val="16"/>
          <w:szCs w:val="16"/>
          <w:color w:val="auto"/>
        </w:rPr>
        <w:t>If you hold Old Notes through The Depository Trust Company (“DTC”) and wish to participate in the exchange offer, you may follow the automatic tender offer program (“ATOP”) procedures established by DTC for tendering the Old Notes that are held in book-entry form. The ATOP procedures require that (i) the exchange agent receive, before the expiration date of the exchange offer, a computer-generated message known as an “agent’s message” that is transmitted through ATOP and (ii) DTC confirm that:</w:t>
      </w:r>
    </w:p>
    <w:p>
      <w:pPr>
        <w:spacing w:after="0" w:line="70" w:lineRule="exact"/>
        <w:rPr>
          <w:sz w:val="20"/>
          <w:szCs w:val="20"/>
          <w:color w:val="auto"/>
        </w:rPr>
      </w:pPr>
    </w:p>
    <w:p>
      <w:pPr>
        <w:ind w:left="185" w:hanging="185"/>
        <w:spacing w:after="0"/>
        <w:tabs>
          <w:tab w:leader="none" w:pos="185" w:val="left"/>
        </w:tabs>
        <w:numPr>
          <w:ilvl w:val="0"/>
          <w:numId w:val="2"/>
        </w:numPr>
        <w:rPr>
          <w:rFonts w:ascii="Arial" w:cs="Arial" w:eastAsia="Arial" w:hAnsi="Arial"/>
          <w:sz w:val="18"/>
          <w:szCs w:val="18"/>
          <w:color w:val="auto"/>
        </w:rPr>
      </w:pPr>
      <w:r>
        <w:rPr>
          <w:rFonts w:ascii="Arial" w:cs="Arial" w:eastAsia="Arial" w:hAnsi="Arial"/>
          <w:sz w:val="18"/>
          <w:szCs w:val="18"/>
          <w:color w:val="auto"/>
        </w:rPr>
        <w:t>DTC has received instructions to exchange your Old Notes; and</w:t>
      </w:r>
    </w:p>
    <w:p>
      <w:pPr>
        <w:spacing w:after="0" w:line="130" w:lineRule="exact"/>
        <w:rPr>
          <w:rFonts w:ascii="Arial" w:cs="Arial" w:eastAsia="Arial" w:hAnsi="Arial"/>
          <w:sz w:val="18"/>
          <w:szCs w:val="18"/>
          <w:color w:val="auto"/>
        </w:rPr>
      </w:pPr>
    </w:p>
    <w:p>
      <w:pPr>
        <w:ind w:left="185" w:hanging="185"/>
        <w:spacing w:after="0"/>
        <w:tabs>
          <w:tab w:leader="none" w:pos="185"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agree to be bound by the terms of the letter of transmittal.</w:t>
      </w:r>
    </w:p>
    <w:p>
      <w:pPr>
        <w:spacing w:after="0" w:line="252" w:lineRule="exact"/>
        <w:rPr>
          <w:sz w:val="20"/>
          <w:szCs w:val="20"/>
          <w:color w:val="auto"/>
        </w:rPr>
      </w:pPr>
    </w:p>
    <w:p>
      <w:pPr>
        <w:ind w:left="5"/>
        <w:spacing w:after="0" w:line="301" w:lineRule="auto"/>
        <w:rPr>
          <w:sz w:val="20"/>
          <w:szCs w:val="20"/>
          <w:color w:val="auto"/>
        </w:rPr>
      </w:pPr>
      <w:r>
        <w:rPr>
          <w:rFonts w:ascii="Arial" w:cs="Arial" w:eastAsia="Arial" w:hAnsi="Arial"/>
          <w:sz w:val="16"/>
          <w:szCs w:val="16"/>
          <w:color w:val="auto"/>
        </w:rPr>
        <w:t>For more details, please read “The Exchange Offer— Procedures for Tendering Old Notes.” If you elect to have Old Notes exchanged pursuant to this exchange offer, you must properly tender your Old Notes before the expiration date. All Old Notes properly tendered and not properly withdrawn before the expiration date will be accepted for exchange.</w:t>
      </w:r>
    </w:p>
    <w:p>
      <w:pPr>
        <w:spacing w:after="0" w:line="184" w:lineRule="exact"/>
        <w:rPr>
          <w:sz w:val="20"/>
          <w:szCs w:val="20"/>
          <w:color w:val="auto"/>
        </w:rPr>
      </w:pPr>
    </w:p>
    <w:p>
      <w:pPr>
        <w:jc w:val="center"/>
        <w:ind w:right="1415"/>
        <w:spacing w:after="0"/>
        <w:rPr>
          <w:sz w:val="20"/>
          <w:szCs w:val="20"/>
          <w:color w:val="auto"/>
        </w:rPr>
      </w:pPr>
      <w:r>
        <w:rPr>
          <w:rFonts w:ascii="Arial" w:cs="Arial" w:eastAsia="Arial" w:hAnsi="Arial"/>
          <w:sz w:val="16"/>
          <w:szCs w:val="16"/>
          <w:color w:val="auto"/>
        </w:rPr>
        <w:t>If we complete the exchange offer and you do not participate in it, then:</w:t>
      </w:r>
    </w:p>
    <w:p>
      <w:pPr>
        <w:spacing w:after="0" w:line="167" w:lineRule="exact"/>
        <w:rPr>
          <w:sz w:val="20"/>
          <w:szCs w:val="20"/>
          <w:color w:val="auto"/>
        </w:rPr>
      </w:pPr>
    </w:p>
    <w:p>
      <w:pPr>
        <w:ind w:left="185" w:hanging="185"/>
        <w:spacing w:after="0"/>
        <w:tabs>
          <w:tab w:leader="none" w:pos="185" w:val="left"/>
        </w:tabs>
        <w:numPr>
          <w:ilvl w:val="0"/>
          <w:numId w:val="3"/>
        </w:numPr>
        <w:rPr>
          <w:rFonts w:ascii="Arial" w:cs="Arial" w:eastAsia="Arial" w:hAnsi="Arial"/>
          <w:sz w:val="16"/>
          <w:szCs w:val="16"/>
          <w:color w:val="auto"/>
        </w:rPr>
      </w:pPr>
      <w:r>
        <w:rPr>
          <w:rFonts w:ascii="Arial" w:cs="Arial" w:eastAsia="Arial" w:hAnsi="Arial"/>
          <w:sz w:val="16"/>
          <w:szCs w:val="16"/>
          <w:color w:val="auto"/>
        </w:rPr>
        <w:t>your Old Notes will continue to be subject to the existing restrictions upon their transfer;</w:t>
      </w:r>
    </w:p>
    <w:p>
      <w:pPr>
        <w:spacing w:after="0" w:line="153" w:lineRule="exact"/>
        <w:rPr>
          <w:rFonts w:ascii="Arial" w:cs="Arial" w:eastAsia="Arial" w:hAnsi="Arial"/>
          <w:sz w:val="16"/>
          <w:szCs w:val="16"/>
          <w:color w:val="auto"/>
        </w:rPr>
      </w:pPr>
    </w:p>
    <w:p>
      <w:pPr>
        <w:ind w:left="185" w:hanging="185"/>
        <w:spacing w:after="0"/>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interest rate provisions will no longer apply to your Old Notes;</w:t>
      </w:r>
    </w:p>
    <w:p>
      <w:pPr>
        <w:spacing w:after="0" w:line="130" w:lineRule="exact"/>
        <w:rPr>
          <w:rFonts w:ascii="Arial" w:cs="Arial" w:eastAsia="Arial" w:hAnsi="Arial"/>
          <w:sz w:val="18"/>
          <w:szCs w:val="18"/>
          <w:color w:val="auto"/>
        </w:rPr>
      </w:pPr>
    </w:p>
    <w:p>
      <w:pPr>
        <w:ind w:left="185" w:hanging="185"/>
        <w:spacing w:after="0" w:line="308" w:lineRule="auto"/>
        <w:tabs>
          <w:tab w:leader="none" w:pos="18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have no further obligation to provide for the registration under the Securities Act of those Old Notes except under certain limited circumstances; and</w:t>
      </w:r>
    </w:p>
    <w:p>
      <w:pPr>
        <w:spacing w:after="0" w:line="51" w:lineRule="exact"/>
        <w:rPr>
          <w:rFonts w:ascii="Arial" w:cs="Arial" w:eastAsia="Arial" w:hAnsi="Arial"/>
          <w:sz w:val="17"/>
          <w:szCs w:val="17"/>
          <w:color w:val="auto"/>
        </w:rPr>
      </w:pPr>
    </w:p>
    <w:p>
      <w:pPr>
        <w:ind w:left="185" w:hanging="185"/>
        <w:spacing w:after="0"/>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liquidity of the market for your Old Notes could be adversely affected.</w:t>
      </w:r>
    </w:p>
    <w:p>
      <w:pPr>
        <w:spacing w:after="0" w:line="252" w:lineRule="exact"/>
        <w:rPr>
          <w:sz w:val="20"/>
          <w:szCs w:val="20"/>
          <w:color w:val="auto"/>
        </w:rPr>
      </w:pPr>
    </w:p>
    <w:p>
      <w:pPr>
        <w:ind w:left="5" w:right="80"/>
        <w:spacing w:after="0" w:line="342" w:lineRule="auto"/>
        <w:rPr>
          <w:sz w:val="20"/>
          <w:szCs w:val="20"/>
          <w:color w:val="auto"/>
        </w:rPr>
      </w:pPr>
      <w:r>
        <w:rPr>
          <w:rFonts w:ascii="Arial" w:cs="Arial" w:eastAsia="Arial" w:hAnsi="Arial"/>
          <w:sz w:val="16"/>
          <w:szCs w:val="16"/>
          <w:color w:val="auto"/>
        </w:rPr>
        <w:t>The exchange pursuant to the exchange offer generally will not be a taxable event for U.S. federal income tax purposes. See “Certain U.S. Federal Income Tax Considerations.”</w:t>
      </w:r>
    </w:p>
    <w:p>
      <w:pPr>
        <w:spacing w:after="0" w:line="200" w:lineRule="exact"/>
        <w:rPr>
          <w:sz w:val="20"/>
          <w:szCs w:val="20"/>
          <w:color w:val="auto"/>
        </w:rPr>
      </w:pPr>
    </w:p>
    <w:p>
      <w:pPr>
        <w:sectPr>
          <w:pgSz w:w="11900" w:h="16838" w:orient="portrait"/>
          <w:cols w:equalWidth="0" w:num="2">
            <w:col w:w="3615" w:space="720"/>
            <w:col w:w="6585"/>
          </w:cols>
          <w:pgMar w:left="320" w:top="459" w:right="659" w:bottom="1440" w:gutter="0" w:footer="0" w:header="0"/>
          <w:type w:val="continuous"/>
        </w:sectPr>
      </w:pPr>
    </w:p>
    <w:p>
      <w:pPr>
        <w:spacing w:after="0" w:line="32"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920"/>
          </w:cols>
          <w:pgMar w:left="320" w:top="459" w:right="6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80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22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92"/>
              </w:rPr>
              <w:t>We will not receive any cash proceeds from the issuance of the New Notes in this exchange</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4"/>
              </w:rPr>
              <w:t>offer. In exchange for issuing the New Notes, we will receive the tendered Old Notes. The</w:t>
            </w:r>
          </w:p>
        </w:tc>
      </w:tr>
      <w:tr>
        <w:trPr>
          <w:trHeight w:val="230"/>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Old Notes surrendered in the exchange offer will be retired and cancelled.</w:t>
            </w:r>
          </w:p>
        </w:tc>
      </w:tr>
      <w:tr>
        <w:trPr>
          <w:trHeight w:val="445"/>
        </w:trPr>
        <w:tc>
          <w:tcPr>
            <w:tcW w:w="2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Exchange Agent</w:t>
            </w: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4"/>
              </w:rPr>
              <w:t>Global Bondholder Services Corporation (the “exchange agent”) is the exchange agent for</w:t>
            </w:r>
          </w:p>
        </w:tc>
      </w:tr>
      <w:tr>
        <w:trPr>
          <w:trHeight w:val="230"/>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the exchange offer.</w:t>
            </w:r>
          </w:p>
        </w:tc>
      </w:tr>
      <w:tr>
        <w:trPr>
          <w:trHeight w:val="445"/>
        </w:trPr>
        <w:tc>
          <w:tcPr>
            <w:tcW w:w="2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Appraisal Rights</w:t>
            </w: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4"/>
              </w:rPr>
              <w:t>Holders of Old Notes do not have any appraisal or dissenters’ rights in connection with the</w:t>
            </w:r>
          </w:p>
        </w:tc>
      </w:tr>
      <w:tr>
        <w:trPr>
          <w:trHeight w:val="230"/>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exchange offer.</w:t>
            </w:r>
          </w:p>
        </w:tc>
      </w:tr>
      <w:tr>
        <w:trPr>
          <w:trHeight w:val="445"/>
        </w:trPr>
        <w:tc>
          <w:tcPr>
            <w:tcW w:w="2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See “Risk Factors” for a discussion of factors that should be considered before exchanging</w:t>
            </w:r>
          </w:p>
        </w:tc>
      </w:tr>
      <w:tr>
        <w:trPr>
          <w:trHeight w:val="230"/>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Old Notes in the exchange offer.</w:t>
            </w:r>
          </w:p>
        </w:tc>
      </w:tr>
      <w:tr>
        <w:trPr>
          <w:trHeight w:val="159"/>
        </w:trPr>
        <w:tc>
          <w:tcPr>
            <w:tcW w:w="2800" w:type="dxa"/>
            <w:vAlign w:val="bottom"/>
            <w:tcBorders>
              <w:left w:val="single" w:sz="8" w:color="auto"/>
              <w:bottom w:val="single" w:sz="8" w:color="auto"/>
            </w:tcBorders>
          </w:tcPr>
          <w:p>
            <w:pPr>
              <w:spacing w:after="0"/>
              <w:rPr>
                <w:sz w:val="13"/>
                <w:szCs w:val="13"/>
                <w:color w:val="auto"/>
              </w:rPr>
            </w:pPr>
          </w:p>
        </w:tc>
        <w:tc>
          <w:tcPr>
            <w:tcW w:w="8220" w:type="dxa"/>
            <w:vAlign w:val="bottom"/>
            <w:tcBorders>
              <w:bottom w:val="single" w:sz="8" w:color="auto"/>
              <w:right w:val="single" w:sz="8" w:color="auto"/>
            </w:tcBorders>
          </w:tcPr>
          <w:p>
            <w:pPr>
              <w:spacing w:after="0"/>
              <w:rPr>
                <w:sz w:val="13"/>
                <w:szCs w:val="13"/>
                <w:color w:val="auto"/>
              </w:rPr>
            </w:pPr>
          </w:p>
        </w:tc>
      </w:tr>
      <w:tr>
        <w:trPr>
          <w:trHeight w:val="361"/>
        </w:trPr>
        <w:tc>
          <w:tcPr>
            <w:tcW w:w="2800" w:type="dxa"/>
            <w:vAlign w:val="bottom"/>
          </w:tcPr>
          <w:p>
            <w:pPr>
              <w:spacing w:after="0"/>
              <w:rPr>
                <w:sz w:val="24"/>
                <w:szCs w:val="24"/>
                <w:color w:val="auto"/>
              </w:rPr>
            </w:pPr>
          </w:p>
        </w:tc>
        <w:tc>
          <w:tcPr>
            <w:tcW w:w="8220" w:type="dxa"/>
            <w:vAlign w:val="bottom"/>
          </w:tcPr>
          <w:p>
            <w:pPr>
              <w:ind w:left="266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64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New Notes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The terms of the New Notes offered in the exchange offer are identical in all material respects to the Old Notes, except that:</w:t>
      </w:r>
    </w:p>
    <w:p>
      <w:pPr>
        <w:spacing w:after="0" w:line="131" w:lineRule="exact"/>
        <w:rPr>
          <w:sz w:val="20"/>
          <w:szCs w:val="20"/>
          <w:color w:val="auto"/>
        </w:rPr>
      </w:pPr>
    </w:p>
    <w:p>
      <w:pPr>
        <w:ind w:left="1240" w:right="56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offer and exchange of the New Notes are registered under the Securities Act and therefore the New Notes will generally not be subject to restrictions on transfer under the Securities Act;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New Notes will not be subject to provisions relating to additional interest;</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New Notes will bear different CUSIP numbers and ISINs;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New Notes generally will not entitle their holders to registration rights.</w:t>
      </w:r>
    </w:p>
    <w:p>
      <w:pPr>
        <w:spacing w:after="0" w:line="225" w:lineRule="exact"/>
        <w:rPr>
          <w:sz w:val="20"/>
          <w:szCs w:val="20"/>
          <w:color w:val="auto"/>
        </w:rPr>
      </w:pPr>
    </w:p>
    <w:p>
      <w:pPr>
        <w:ind w:left="300" w:right="400" w:firstLine="426"/>
        <w:spacing w:after="0" w:line="277" w:lineRule="auto"/>
        <w:rPr>
          <w:sz w:val="20"/>
          <w:szCs w:val="20"/>
          <w:color w:val="auto"/>
        </w:rPr>
      </w:pPr>
      <w:r>
        <w:rPr>
          <w:rFonts w:ascii="Arial" w:cs="Arial" w:eastAsia="Arial" w:hAnsi="Arial"/>
          <w:sz w:val="18"/>
          <w:szCs w:val="18"/>
          <w:i w:val="1"/>
          <w:iCs w:val="1"/>
          <w:color w:val="auto"/>
        </w:rPr>
        <w:t xml:space="preserve">The following is a brief summary of the terms of the New Notes. For a more complete description of the New Notes, see </w:t>
      </w:r>
      <w:r>
        <w:rPr>
          <w:rFonts w:ascii="Arial" w:cs="Arial" w:eastAsia="Arial" w:hAnsi="Arial"/>
          <w:sz w:val="18"/>
          <w:szCs w:val="18"/>
          <w:color w:val="auto"/>
        </w:rPr>
        <w:t>“</w:t>
      </w:r>
      <w:r>
        <w:rPr>
          <w:rFonts w:ascii="Arial" w:cs="Arial" w:eastAsia="Arial" w:hAnsi="Arial"/>
          <w:sz w:val="18"/>
          <w:szCs w:val="18"/>
          <w:i w:val="1"/>
          <w:iCs w:val="1"/>
          <w:color w:val="auto"/>
        </w:rPr>
        <w:t>Description of the New Notes.</w:t>
      </w:r>
      <w:r>
        <w:rPr>
          <w:rFonts w:ascii="Arial" w:cs="Arial" w:eastAsia="Arial" w:hAnsi="Arial"/>
          <w:sz w:val="18"/>
          <w:szCs w:val="18"/>
          <w:color w:val="auto"/>
        </w:rPr>
        <w:t>”</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Issuer</w:t>
            </w:r>
          </w:p>
        </w:tc>
        <w:tc>
          <w:tcPr>
            <w:tcW w:w="7440" w:type="dxa"/>
            <w:vAlign w:val="bottom"/>
          </w:tcPr>
          <w:p>
            <w:pPr>
              <w:ind w:left="640"/>
              <w:spacing w:after="0"/>
              <w:rPr>
                <w:sz w:val="20"/>
                <w:szCs w:val="20"/>
                <w:color w:val="auto"/>
              </w:rPr>
            </w:pPr>
            <w:r>
              <w:rPr>
                <w:rFonts w:ascii="Arial" w:cs="Arial" w:eastAsia="Arial" w:hAnsi="Arial"/>
                <w:sz w:val="18"/>
                <w:szCs w:val="18"/>
                <w:color w:val="auto"/>
              </w:rPr>
              <w:t>Biogen Inc.</w:t>
            </w:r>
          </w:p>
        </w:tc>
      </w:tr>
      <w:tr>
        <w:trPr>
          <w:trHeight w:val="473"/>
        </w:trPr>
        <w:tc>
          <w:tcPr>
            <w:tcW w:w="358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7440" w:type="dxa"/>
            <w:vAlign w:val="bottom"/>
          </w:tcPr>
          <w:p>
            <w:pPr>
              <w:ind w:left="640"/>
              <w:spacing w:after="0"/>
              <w:rPr>
                <w:sz w:val="20"/>
                <w:szCs w:val="20"/>
                <w:color w:val="auto"/>
              </w:rPr>
            </w:pPr>
            <w:r>
              <w:rPr>
                <w:rFonts w:ascii="Arial" w:cs="Arial" w:eastAsia="Arial" w:hAnsi="Arial"/>
                <w:sz w:val="18"/>
                <w:szCs w:val="18"/>
                <w:color w:val="auto"/>
              </w:rPr>
              <w:t>Up to $700,731,000 aggregate principal amount of New Notes.</w:t>
            </w:r>
          </w:p>
        </w:tc>
      </w:tr>
      <w:tr>
        <w:trPr>
          <w:trHeight w:val="473"/>
        </w:trPr>
        <w:tc>
          <w:tcPr>
            <w:tcW w:w="3580" w:type="dxa"/>
            <w:vAlign w:val="bottom"/>
          </w:tcPr>
          <w:p>
            <w:pPr>
              <w:ind w:left="180"/>
              <w:spacing w:after="0"/>
              <w:rPr>
                <w:sz w:val="20"/>
                <w:szCs w:val="20"/>
                <w:color w:val="auto"/>
              </w:rPr>
            </w:pPr>
            <w:r>
              <w:rPr>
                <w:rFonts w:ascii="Arial" w:cs="Arial" w:eastAsia="Arial" w:hAnsi="Arial"/>
                <w:sz w:val="18"/>
                <w:szCs w:val="18"/>
                <w:color w:val="auto"/>
              </w:rPr>
              <w:t>Maturity</w:t>
            </w:r>
          </w:p>
        </w:tc>
        <w:tc>
          <w:tcPr>
            <w:tcW w:w="7440" w:type="dxa"/>
            <w:vAlign w:val="bottom"/>
          </w:tcPr>
          <w:p>
            <w:pPr>
              <w:ind w:left="640"/>
              <w:spacing w:after="0"/>
              <w:rPr>
                <w:sz w:val="20"/>
                <w:szCs w:val="20"/>
                <w:color w:val="auto"/>
              </w:rPr>
            </w:pPr>
            <w:r>
              <w:rPr>
                <w:rFonts w:ascii="Arial" w:cs="Arial" w:eastAsia="Arial" w:hAnsi="Arial"/>
                <w:sz w:val="18"/>
                <w:szCs w:val="18"/>
                <w:color w:val="auto"/>
              </w:rPr>
              <w:t>The New Notes will mature on February 15, 2051.</w:t>
            </w:r>
          </w:p>
        </w:tc>
      </w:tr>
      <w:tr>
        <w:trPr>
          <w:trHeight w:val="458"/>
        </w:trPr>
        <w:tc>
          <w:tcPr>
            <w:tcW w:w="35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440" w:type="dxa"/>
            <w:vAlign w:val="bottom"/>
          </w:tcPr>
          <w:p>
            <w:pPr>
              <w:ind w:left="640"/>
              <w:spacing w:after="0"/>
              <w:rPr>
                <w:sz w:val="20"/>
                <w:szCs w:val="20"/>
                <w:color w:val="auto"/>
              </w:rPr>
            </w:pPr>
            <w:r>
              <w:rPr>
                <w:rFonts w:ascii="Arial" w:cs="Arial" w:eastAsia="Arial" w:hAnsi="Arial"/>
                <w:sz w:val="18"/>
                <w:szCs w:val="18"/>
                <w:color w:val="auto"/>
                <w:w w:val="96"/>
              </w:rPr>
              <w:t>Interest on the New Notes will be payable in cash and will accrue at a rate of 3.250% per</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5"/>
              </w:rPr>
              <w:t>annum. Interest on the New Notes will accrue from the last interest date on which interest</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7"/>
              </w:rPr>
              <w:t>was paid on your Old Notes. Any Old Notes not exchanged will remain outstanding and</w:t>
            </w:r>
          </w:p>
        </w:tc>
      </w:tr>
      <w:tr>
        <w:trPr>
          <w:trHeight w:val="230"/>
        </w:trPr>
        <w:tc>
          <w:tcPr>
            <w:tcW w:w="3580" w:type="dxa"/>
            <w:vAlign w:val="bottom"/>
          </w:tcPr>
          <w:p>
            <w:pPr>
              <w:spacing w:after="0"/>
              <w:rPr>
                <w:sz w:val="20"/>
                <w:szCs w:val="20"/>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continue to accrue interest according to their terms.</w:t>
            </w:r>
          </w:p>
        </w:tc>
      </w:tr>
      <w:tr>
        <w:trPr>
          <w:trHeight w:val="445"/>
        </w:trPr>
        <w:tc>
          <w:tcPr>
            <w:tcW w:w="358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440" w:type="dxa"/>
            <w:vAlign w:val="bottom"/>
          </w:tcPr>
          <w:p>
            <w:pPr>
              <w:ind w:left="640"/>
              <w:spacing w:after="0"/>
              <w:rPr>
                <w:sz w:val="20"/>
                <w:szCs w:val="20"/>
                <w:color w:val="auto"/>
              </w:rPr>
            </w:pPr>
            <w:r>
              <w:rPr>
                <w:rFonts w:ascii="Arial" w:cs="Arial" w:eastAsia="Arial" w:hAnsi="Arial"/>
                <w:sz w:val="18"/>
                <w:szCs w:val="18"/>
                <w:color w:val="auto"/>
                <w:w w:val="95"/>
              </w:rPr>
              <w:t>Interest on the New Notes will be payable semiannually on February 15 and August 15 of</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each year, beginning August 15, 2021 (or, if later, the first interest payment date after</w:t>
            </w:r>
          </w:p>
        </w:tc>
      </w:tr>
      <w:tr>
        <w:trPr>
          <w:trHeight w:val="230"/>
        </w:trPr>
        <w:tc>
          <w:tcPr>
            <w:tcW w:w="3580" w:type="dxa"/>
            <w:vAlign w:val="bottom"/>
          </w:tcPr>
          <w:p>
            <w:pPr>
              <w:spacing w:after="0"/>
              <w:rPr>
                <w:sz w:val="20"/>
                <w:szCs w:val="20"/>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issuance of the New Notes).</w:t>
            </w:r>
          </w:p>
        </w:tc>
      </w:tr>
      <w:tr>
        <w:trPr>
          <w:trHeight w:val="445"/>
        </w:trPr>
        <w:tc>
          <w:tcPr>
            <w:tcW w:w="358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7440" w:type="dxa"/>
            <w:vAlign w:val="bottom"/>
          </w:tcPr>
          <w:p>
            <w:pPr>
              <w:ind w:left="640"/>
              <w:spacing w:after="0"/>
              <w:rPr>
                <w:sz w:val="20"/>
                <w:szCs w:val="20"/>
                <w:color w:val="auto"/>
              </w:rPr>
            </w:pPr>
            <w:r>
              <w:rPr>
                <w:rFonts w:ascii="Arial" w:cs="Arial" w:eastAsia="Arial" w:hAnsi="Arial"/>
                <w:sz w:val="18"/>
                <w:szCs w:val="18"/>
                <w:color w:val="auto"/>
                <w:w w:val="96"/>
              </w:rPr>
              <w:t>We may redeem some or all of the New Notes at any time before August 15, 2050 at the</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4"/>
              </w:rPr>
              <w:t>redemption prices described in this prospectus. From and after such date, we may redeem</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5"/>
              </w:rPr>
              <w:t>the New Notes at 100% of principal amount plus accrued interest. See “Description of the</w:t>
            </w:r>
          </w:p>
        </w:tc>
      </w:tr>
      <w:tr>
        <w:trPr>
          <w:trHeight w:val="230"/>
        </w:trPr>
        <w:tc>
          <w:tcPr>
            <w:tcW w:w="3580" w:type="dxa"/>
            <w:vAlign w:val="bottom"/>
          </w:tcPr>
          <w:p>
            <w:pPr>
              <w:spacing w:after="0"/>
              <w:rPr>
                <w:sz w:val="20"/>
                <w:szCs w:val="20"/>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New Notes—Optional Redemption.”</w:t>
            </w:r>
          </w:p>
        </w:tc>
      </w:tr>
      <w:tr>
        <w:trPr>
          <w:trHeight w:val="445"/>
        </w:trPr>
        <w:tc>
          <w:tcPr>
            <w:tcW w:w="3580" w:type="dxa"/>
            <w:vAlign w:val="bottom"/>
          </w:tcPr>
          <w:p>
            <w:pPr>
              <w:ind w:left="180"/>
              <w:spacing w:after="0"/>
              <w:rPr>
                <w:sz w:val="20"/>
                <w:szCs w:val="20"/>
                <w:color w:val="auto"/>
              </w:rPr>
            </w:pPr>
            <w:r>
              <w:rPr>
                <w:rFonts w:ascii="Arial" w:cs="Arial" w:eastAsia="Arial" w:hAnsi="Arial"/>
                <w:sz w:val="18"/>
                <w:szCs w:val="18"/>
                <w:color w:val="auto"/>
              </w:rPr>
              <w:t>Repurchase upon a Change of Control</w:t>
            </w:r>
          </w:p>
        </w:tc>
        <w:tc>
          <w:tcPr>
            <w:tcW w:w="7440" w:type="dxa"/>
            <w:vAlign w:val="bottom"/>
          </w:tcPr>
          <w:p>
            <w:pPr>
              <w:ind w:left="640"/>
              <w:spacing w:after="0"/>
              <w:rPr>
                <w:sz w:val="20"/>
                <w:szCs w:val="20"/>
                <w:color w:val="auto"/>
              </w:rPr>
            </w:pPr>
            <w:r>
              <w:rPr>
                <w:rFonts w:ascii="Arial" w:cs="Arial" w:eastAsia="Arial" w:hAnsi="Arial"/>
                <w:sz w:val="18"/>
                <w:szCs w:val="18"/>
                <w:color w:val="auto"/>
                <w:w w:val="96"/>
              </w:rPr>
              <w:t>Upon the occurrence of a Change of Control Triggering Event (as defined in “Description</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6"/>
              </w:rPr>
              <w:t>of the New Notes—Change of Control”), unless we have exercised our option to redeem</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5"/>
              </w:rPr>
              <w:t>the New Notes, we will be required to make an offer to purchase the New Notes at a price</w:t>
            </w:r>
          </w:p>
        </w:tc>
      </w:tr>
      <w:tr>
        <w:trPr>
          <w:trHeight w:val="216"/>
        </w:trPr>
        <w:tc>
          <w:tcPr>
            <w:tcW w:w="358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w w:val="97"/>
              </w:rPr>
              <w:t>equal to 101% of their principal amount, plus accrued and unpaid interest to the date of</w:t>
            </w:r>
          </w:p>
        </w:tc>
      </w:tr>
      <w:tr>
        <w:trPr>
          <w:trHeight w:val="230"/>
        </w:trPr>
        <w:tc>
          <w:tcPr>
            <w:tcW w:w="3580" w:type="dxa"/>
            <w:vAlign w:val="bottom"/>
          </w:tcPr>
          <w:p>
            <w:pPr>
              <w:spacing w:after="0"/>
              <w:rPr>
                <w:sz w:val="20"/>
                <w:szCs w:val="20"/>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repurchase. See “Description of the New Notes—Change of Control.”</w:t>
            </w:r>
          </w:p>
        </w:tc>
      </w:tr>
      <w:tr>
        <w:trPr>
          <w:trHeight w:val="159"/>
        </w:trPr>
        <w:tc>
          <w:tcPr>
            <w:tcW w:w="3580" w:type="dxa"/>
            <w:vAlign w:val="bottom"/>
            <w:tcBorders>
              <w:bottom w:val="single" w:sz="8" w:color="auto"/>
            </w:tcBorders>
          </w:tcPr>
          <w:p>
            <w:pPr>
              <w:spacing w:after="0"/>
              <w:rPr>
                <w:sz w:val="13"/>
                <w:szCs w:val="13"/>
                <w:color w:val="auto"/>
              </w:rPr>
            </w:pPr>
          </w:p>
        </w:tc>
        <w:tc>
          <w:tcPr>
            <w:tcW w:w="7440" w:type="dxa"/>
            <w:vAlign w:val="bottom"/>
            <w:tcBorders>
              <w:bottom w:val="single" w:sz="8" w:color="auto"/>
            </w:tcBorders>
          </w:tcPr>
          <w:p>
            <w:pPr>
              <w:spacing w:after="0"/>
              <w:rPr>
                <w:sz w:val="13"/>
                <w:szCs w:val="13"/>
                <w:color w:val="auto"/>
              </w:rPr>
            </w:pPr>
          </w:p>
        </w:tc>
      </w:tr>
      <w:tr>
        <w:trPr>
          <w:trHeight w:val="361"/>
        </w:trPr>
        <w:tc>
          <w:tcPr>
            <w:tcW w:w="3580" w:type="dxa"/>
            <w:vAlign w:val="bottom"/>
          </w:tcPr>
          <w:p>
            <w:pPr>
              <w:spacing w:after="0"/>
              <w:rPr>
                <w:sz w:val="24"/>
                <w:szCs w:val="24"/>
                <w:color w:val="auto"/>
              </w:rPr>
            </w:pPr>
          </w:p>
        </w:tc>
        <w:tc>
          <w:tcPr>
            <w:tcW w:w="7440" w:type="dxa"/>
            <w:vAlign w:val="bottom"/>
          </w:tcPr>
          <w:p>
            <w:pPr>
              <w:ind w:left="188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0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Covenants</w:t>
            </w:r>
          </w:p>
        </w:tc>
        <w:tc>
          <w:tcPr>
            <w:tcW w:w="794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color w:val="auto"/>
                <w:w w:val="98"/>
              </w:rPr>
              <w:t>The indenture (as defined in “Description of the New Notes”) governing the New Notes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contains covenants that, among other things, limit our ability and the ability of our</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subsidiaries to:</w:t>
            </w:r>
          </w:p>
        </w:tc>
      </w:tr>
      <w:tr>
        <w:trPr>
          <w:trHeight w:val="323"/>
        </w:trPr>
        <w:tc>
          <w:tcPr>
            <w:tcW w:w="308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5"/>
              </w:rPr>
              <w:t>•  issue, assume or guarantee debt secured by Property (as defined in “Description of the</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New Notes—Definitions”);</w:t>
            </w:r>
          </w:p>
        </w:tc>
      </w:tr>
      <w:tr>
        <w:trPr>
          <w:trHeight w:val="338"/>
        </w:trPr>
        <w:tc>
          <w:tcPr>
            <w:tcW w:w="308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  enter into certain sale and leaseback transactions; and</w:t>
            </w:r>
          </w:p>
        </w:tc>
      </w:tr>
      <w:tr>
        <w:trPr>
          <w:trHeight w:val="323"/>
        </w:trPr>
        <w:tc>
          <w:tcPr>
            <w:tcW w:w="308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5"/>
              </w:rPr>
              <w:t>•  consolidate, merge or transfer all or substantially all of our assets and the assets of our</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subsidiaries on a consolidated basis.</w:t>
            </w:r>
          </w:p>
        </w:tc>
      </w:tr>
      <w:tr>
        <w:trPr>
          <w:trHeight w:val="323"/>
        </w:trPr>
        <w:tc>
          <w:tcPr>
            <w:tcW w:w="308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3"/>
              </w:rPr>
              <w:t>These covenants are subject to important exceptions and qualifications, as described in the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8"/>
              </w:rPr>
              <w:t>sections titled “Description of the New Notes—Limitation on Liens,” “Description of the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4"/>
              </w:rPr>
              <w:t>New Notes—Limitation on Sale and Leaseback Transactions” and “Description of the New</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Notes—Merger, Consolidation or Sale of Assets.”</w:t>
            </w:r>
          </w:p>
        </w:tc>
      </w:tr>
      <w:tr>
        <w:trPr>
          <w:trHeight w:val="445"/>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9"/>
              </w:rPr>
              <w:t>The New Notes will be our senior unsecured obligations and will rank equal in right of</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7"/>
              </w:rPr>
              <w:t>payment with our other existing and future senior unsecured obligations that are not, by</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7"/>
              </w:rPr>
              <w:t>their terms, expressly subordinated in right of payment to the New Notes (including Old</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Notes that remain outstanding after the exchange offer, if any), and senior in right of</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3"/>
              </w:rPr>
              <w:t>payment to any of our future subordinated indebtedness. The New Notes will be effectively</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9"/>
              </w:rPr>
              <w:t>subordinated to all of our existing and future secured indebtedness and other secured</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4"/>
              </w:rPr>
              <w:t>liabilities to the extent of the value of the assets securing such indebtedness and liabilities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9"/>
              </w:rPr>
              <w:t>and to all indebtedness and other liabilities of our subsidiaries. As of March 31, 2022,</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2"/>
              </w:rPr>
              <w:t>neither we nor our subsidiaries had any secured debt outstanding, and our subsidiaries had</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total liabilities of approximately $5.3 billion.</w:t>
            </w:r>
          </w:p>
        </w:tc>
      </w:tr>
      <w:tr>
        <w:trPr>
          <w:trHeight w:val="445"/>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9"/>
              </w:rPr>
              <w:t>We may from time to time, without notice to or the consent of the holders or beneficial</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5"/>
              </w:rPr>
              <w:t>owners of the New Notes, create and issue additional notes having the same ranking and</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6"/>
              </w:rPr>
              <w:t>the same interest rate, maturity and other terms as the New Notes. Any additional notes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7"/>
              </w:rPr>
              <w:t>having such similar terms, together with the New Notes, could be considered part of the</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9"/>
              </w:rPr>
              <w:t>same series of notes under the indenture, provided that if the additional notes are not</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4"/>
              </w:rPr>
              <w:t>fungible with the New Notes for U.S. federal income tax purposes, the additional notes will</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have a separate CUSIP number.</w:t>
            </w:r>
          </w:p>
        </w:tc>
      </w:tr>
      <w:tr>
        <w:trPr>
          <w:trHeight w:val="445"/>
        </w:trPr>
        <w:tc>
          <w:tcPr>
            <w:tcW w:w="30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Denomination and Form</w:t>
            </w: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We will issue the New Notes in the form of one or more fully registered global notes</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6"/>
              </w:rPr>
              <w:t>registered in the name of the nominee of DTC. Beneficial interests in the New Notes will</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8"/>
              </w:rPr>
              <w:t>be represented through book-entry accounts of financial institutions acting on behalf of</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7"/>
              </w:rPr>
              <w:t>beneficial owners as direct and indirect participants in DTC. Euroclear and Clearstream</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8"/>
              </w:rPr>
              <w:t>Luxembourg (each as defined in “The Exchange Offer—Book-Entry Transfer”) will hold</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w w:val="93"/>
              </w:rPr>
              <w:t>interests on behalf of their participants through their respective U.S. depositaries, which, in</w:t>
            </w:r>
          </w:p>
        </w:tc>
      </w:tr>
      <w:tr>
        <w:trPr>
          <w:trHeight w:val="216"/>
        </w:trPr>
        <w:tc>
          <w:tcPr>
            <w:tcW w:w="30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turn, will hold such interests in accounts as participants of DTC. Except in the limited</w:t>
            </w:r>
          </w:p>
        </w:tc>
      </w:tr>
      <w:tr>
        <w:trPr>
          <w:trHeight w:val="230"/>
        </w:trPr>
        <w:tc>
          <w:tcPr>
            <w:tcW w:w="30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circumstances described under “Global Notes;</w:t>
            </w:r>
          </w:p>
        </w:tc>
      </w:tr>
      <w:tr>
        <w:trPr>
          <w:trHeight w:val="159"/>
        </w:trPr>
        <w:tc>
          <w:tcPr>
            <w:tcW w:w="3080" w:type="dxa"/>
            <w:vAlign w:val="bottom"/>
            <w:tcBorders>
              <w:left w:val="single" w:sz="8" w:color="auto"/>
              <w:bottom w:val="single" w:sz="8" w:color="auto"/>
            </w:tcBorders>
          </w:tcPr>
          <w:p>
            <w:pPr>
              <w:spacing w:after="0"/>
              <w:rPr>
                <w:sz w:val="13"/>
                <w:szCs w:val="13"/>
                <w:color w:val="auto"/>
              </w:rPr>
            </w:pPr>
          </w:p>
        </w:tc>
        <w:tc>
          <w:tcPr>
            <w:tcW w:w="7940" w:type="dxa"/>
            <w:vAlign w:val="bottom"/>
            <w:tcBorders>
              <w:bottom w:val="single" w:sz="8" w:color="auto"/>
              <w:right w:val="single" w:sz="8" w:color="auto"/>
            </w:tcBorders>
          </w:tcPr>
          <w:p>
            <w:pPr>
              <w:spacing w:after="0"/>
              <w:rPr>
                <w:sz w:val="13"/>
                <w:szCs w:val="13"/>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8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940" w:type="dxa"/>
            <w:vAlign w:val="bottom"/>
            <w:tcBorders>
              <w:top w:val="single" w:sz="8" w:color="auto"/>
              <w:left w:val="single" w:sz="8" w:color="auto"/>
            </w:tcBorders>
          </w:tcPr>
          <w:p>
            <w:pPr>
              <w:spacing w:after="0"/>
              <w:rPr>
                <w:sz w:val="24"/>
                <w:szCs w:val="24"/>
                <w:color w:val="auto"/>
              </w:rPr>
            </w:pPr>
          </w:p>
        </w:tc>
        <w:tc>
          <w:tcPr>
            <w:tcW w:w="708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4"/>
              </w:rPr>
              <w:t>Book-Entry System,” owners of beneficial interests in the New Notes will not be entitled to</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have the New Notes registered in their names, will not receive or be entitled to receive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New Notes in definitive form and will not be considered holders of the New Notes under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the indenture. The New Notes will be issued in minimum denominations of $2,000 in</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principal amount and integral multiples of $1,000 principal amount in excess thereof.</w:t>
            </w:r>
          </w:p>
        </w:tc>
      </w:tr>
      <w:tr>
        <w:trPr>
          <w:trHeight w:val="473"/>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U.S. Bank Trust Company, National Association.</w:t>
            </w:r>
          </w:p>
        </w:tc>
      </w:tr>
      <w:tr>
        <w:trPr>
          <w:trHeight w:val="473"/>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New York.</w:t>
            </w:r>
          </w:p>
        </w:tc>
      </w:tr>
      <w:tr>
        <w:trPr>
          <w:trHeight w:val="458"/>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6"/>
              </w:rPr>
              <w:t>Certain U.S. Federal Income Tax Considerations</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2"/>
              </w:rPr>
              <w:t>You should consult your tax advisors concerning the U.S. federal income tax consequences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of owning the New Notes in light of your own specific situation as well as consequences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arising under the laws of any other taxing jurisdiction. See “Certain U.S. Federal Income</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Tax Considerations.”</w:t>
            </w:r>
          </w:p>
        </w:tc>
      </w:tr>
      <w:tr>
        <w:trPr>
          <w:trHeight w:val="159"/>
        </w:trPr>
        <w:tc>
          <w:tcPr>
            <w:tcW w:w="3940" w:type="dxa"/>
            <w:vAlign w:val="bottom"/>
            <w:tcBorders>
              <w:left w:val="single" w:sz="8" w:color="auto"/>
              <w:bottom w:val="single" w:sz="8" w:color="auto"/>
            </w:tcBorders>
          </w:tcPr>
          <w:p>
            <w:pPr>
              <w:spacing w:after="0"/>
              <w:rPr>
                <w:sz w:val="13"/>
                <w:szCs w:val="13"/>
                <w:color w:val="auto"/>
              </w:rPr>
            </w:pPr>
          </w:p>
        </w:tc>
        <w:tc>
          <w:tcPr>
            <w:tcW w:w="7080" w:type="dxa"/>
            <w:vAlign w:val="bottom"/>
            <w:tcBorders>
              <w:bottom w:val="single" w:sz="8" w:color="auto"/>
              <w:right w:val="single" w:sz="8" w:color="auto"/>
            </w:tcBorders>
          </w:tcPr>
          <w:p>
            <w:pPr>
              <w:spacing w:after="0"/>
              <w:rPr>
                <w:sz w:val="13"/>
                <w:szCs w:val="13"/>
                <w:color w:val="auto"/>
              </w:rPr>
            </w:pPr>
          </w:p>
        </w:tc>
      </w:tr>
      <w:tr>
        <w:trPr>
          <w:trHeight w:val="361"/>
        </w:trPr>
        <w:tc>
          <w:tcPr>
            <w:tcW w:w="3940" w:type="dxa"/>
            <w:vAlign w:val="bottom"/>
          </w:tcPr>
          <w:p>
            <w:pPr>
              <w:spacing w:after="0"/>
              <w:rPr>
                <w:sz w:val="24"/>
                <w:szCs w:val="24"/>
                <w:color w:val="auto"/>
              </w:rPr>
            </w:pPr>
          </w:p>
        </w:tc>
        <w:tc>
          <w:tcPr>
            <w:tcW w:w="7080" w:type="dxa"/>
            <w:vAlign w:val="bottom"/>
          </w:tcPr>
          <w:p>
            <w:pPr>
              <w:ind w:left="152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i w:val="1"/>
          <w:iCs w:val="1"/>
          <w:color w:val="auto"/>
        </w:rPr>
        <w:t>Participating in the exchange offer involves risks. You should carefully consider the following risk factors as well as the other information contained or incorporated by reference in this prospectus, including the discussion of risk factors in our Quarterly Report on Form 10-Q for the quarter ended March 31, 2022, which is incorporated by reference into this prospectus, before making a decision to participate in the exchange offer. Some of these factors relate principally to our business and the industry in which we operate. Other factors relate principally to your participation in the exchange offer. If any of the matters described in such risk factors were to occur, our business, financial condition, results of operations, cash flows or prospects could be materially adversely affected. The risks and uncertainties described below are not the only ones we face. Additional risks and uncertainties not presently known to us or that we currently deem immaterial may also materially adversely affect our business, financial condition, results of operations, cash flows or prospects. If any of these risks were to materialize, our ability to pay interest on the New Notes when due or to repay the New Notes at maturity could be adversely affected, and the trading prices of the New Notes could decline substantially.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New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indebtedness could adversely affect our business and limit our ability to plan for or respond to changes in our business.</w:t>
      </w:r>
    </w:p>
    <w:p>
      <w:pPr>
        <w:spacing w:after="0" w:line="11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We currently have indebtedness and significant contingent liabilities, including milestone and royalty payment obligations. We may also incur additional debt in the future. For example, we have the ability to draw down our $1.0 billion revolving credit facility in the ordinary course, which would have the effect of increasing our indebtedness. This indebtedness could have important consequences to our business; for example, such obligations could:</w:t>
      </w:r>
    </w:p>
    <w:p>
      <w:pPr>
        <w:spacing w:after="0" w:line="92"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130" w:lineRule="exact"/>
        <w:rPr>
          <w:rFonts w:ascii="Arial" w:cs="Arial" w:eastAsia="Arial" w:hAnsi="Arial"/>
          <w:sz w:val="18"/>
          <w:szCs w:val="18"/>
          <w:color w:val="auto"/>
        </w:rPr>
      </w:pPr>
    </w:p>
    <w:p>
      <w:pPr>
        <w:ind w:left="1080" w:right="52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our competitors that have less debt.</w:t>
      </w:r>
    </w:p>
    <w:p>
      <w:pPr>
        <w:spacing w:after="0" w:line="278"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The New Notes are effectively junior to the existing and future liabilities of our subsidiaries, which include substantially all of our operating liabilities, and to any secured debt we may incur to the extent of the assets securing that debt.</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subsidiaries, which generate the substantial majority of our revenues and carry substantially all of our operating liabilities, are separate and distinct legal entities. Biogen Inc., the issuer of the New Notes, is primarily a holding company with limited operations of its own. Accordingly, we depend on our subsidiaries’ earnings and advances or loans made by our subsidiaries to us to provide funds necessary to meet our obligations, including the payments of principal and interest on the New Notes. If we are unable to access the cash flows of our subsidiaries, we would be unable to meet our debt obligations. Our subsidiaries have no obligation to pay any amounts due on the New Notes. In addition, any payment of dividends, loans or advances to us by our subsidiaries could be subject to statutory or contractual restrictions. Payments to us by our subsidiaries will also be contingent upon the subsidiaries’ earnings and business considerations. Our right to receive any assets of any of our subsidiaries upon its bankruptcy, liquidation or reorganization, and therefore the right of the holders of the New Notes to participate in those assets, will be effectively subordinated to the claims of that subsidiary’s creditors, including trade creditors. In addition, even if we are a creditor of any of our subsidiaries, our right as a</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creditor would be subordinate to any security interest in the assets of our subsidiaries and any indebtedness of our subsidiaries senior to that held by us. As of March 31, 2022, neither we nor our subsidiaries had any secured debt outstanding, and our subsidiaries had total liabilities of approximately $5.3 billion.</w:t>
      </w:r>
    </w:p>
    <w:p>
      <w:pPr>
        <w:spacing w:after="0" w:line="18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New Notes are our senior unsecured obligations and will rank equal in right of payment with our other existing and future senior unsecured obligations that are not, by their terms, expressly subordinated in right of payment to the New Notes, including $1.0 billion aggregate principal amount of our 3.625% Senior Notes due September 15, 2022, $1.75 billion aggregate principal amount of our 4.050% Senior Notes due September 15, 2025, $1.5 billion aggregate principal amount of our 2.250% Senior Notes due May 1, 2030, $1.125 billion aggregate principal amount of our 5.200% Senior Notes due September 15, 2045, and $1.5 billion aggregate principal amount of our 3.150% Senior Notes due May 1, 2050, as well as any outstanding Old Notes that may remain outstanding after the consummation of the exchange offer. The New Notes are not secured by any of our assets. Claims of secured lenders with respect to assets securing their loans will have priority over any claim of the holders of the New Notes with respect to those assets. See “Description of the New Notes—Ranking.”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New Notes constitute a new issue of securities with no established trading market. We do not intend to apply for listing of the New Notes on any national securities exchange or for inclusion of the New Notes on any automated dealer quotation system. Holders of Old Notes have no obligation to exchange their Old Notes for New Notes, and the exchange offer does not impose a condition regarding the minimum aggregate principal amount of Old Notes that must be tendered for exchange in order for the exchange offer to proceed. Accordingly, we cannot predict the aggregate principal amount of New Notes that we will issue in the exchange offer, and that aggregate principal amount might be small. We cannot ensure the liquidity of any trading market for the New Notes or that an active public market for the New Notes will develop. If an active public trading market for the New Notes does not develop, the market price and liquidity of the New Notes will be adversely affected. If the New Notes are traded, they may trade at a discount from their initial issuance price, depending on prevailing interest rates, the market for similar securities, our operating performance and financial condition, general economic conditions and other factors.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our credit ratings or the debt markets could adversely affect the trading price of the New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trading price for the New Notes will depend on many factors, including:</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credit ratings with major credit rating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prevailing interest rates being paid by other companies similar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condition, financial performance and future prospects;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overall condition of the financial markets.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condition of the financial markets and prevailing interest rates have fluctuated significantly in the past and are likely to fluctuate in the future.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fluctuations could have an adverse effect on the trading prices of the New Notes.</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credit rating agencies continually review their ratings for the companies that they follow, including us. A negative change in our rating could have an adverse effect on the trading price of the New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Exchange Offer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fail to exchange your Old Notes, they will continue to be restricted securities and may become less liquid.</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After the exchange offer, any Old Notes that you do not tender or that we do not accept will remain restricted securities and may not be offered or sold except pursuant to an exemption from, or in a transaction not subject to, the registration requirements of the Securities Act and applicable state securities laws.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 large aggregate principal amount of Old Notes are exchanged for New Notes in the exchange offer, we expect that the liquidity of the market for any Old Notes remaining after the exchange offer will be substantially limited. Any Old Notes tendered and exchanged in the exchange offer will reduce the aggregate principal amount of the Old Notes outstanding. After the exchange offer, if you do not tender your Old Notes, you generally will not have any further registration rights, and your Old Notes will continue to be subject to certain transfer restrictions. Accordingly, the liquidity of the market for the Old Notes could be adversely affected.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Late deliveries of Old Notes and other required documents could prevent a holder from exchanging its Old Notes.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Holders are responsible for complying with all exchange offer procedures. The issuance of New Notes in exchange for Old Notes will only occur upon completion of the procedures described in this prospectus under “The Exchange Offer.” Therefore, holders of Old Notes who wish to exchange them for New Notes should allow sufficient time for timely completion of the exchange offer procedures. Neither we nor the exchange agent are obligated to extend the offer or notify you of any failure to follow the proper procedures or waive any defect if you fail to follow the proper procedures.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are a broker-dealer, your ability to transfer the New Notes may be restricted.</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 broker-dealer that purchased Old Notes for its own account as part of market-making or trading activities must comply with the prospectus delivery requirements of the Securities Act when it sells the New Notes. Our obligation to make this prospectus available to broker-dealers is limited. Consequently, we cannot guarantee that a proper prospectus will be available to broker-dealers wishing to resell their New Notes. See “Plan of Distribution.”</w:t>
      </w:r>
    </w:p>
    <w:p>
      <w:pPr>
        <w:spacing w:after="0" w:line="29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6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Some holders who exchange their Old Notes in the exchange offer for the purpose of participating in a distribution of the Old Notes may be deemed to have received securities that are not freely transferable and, if so, will be required to comply with the registration and prospectus delivery requirements of the Securities Act in connection with any resale transaction.</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contains or incorporates by reference “forward-looking statements” about our financial condition, results of operations, business and other matters. These forward-looking statements may be identified by such words as “aim,” “anticipate,” “believe,” “could,” “estimate,” “expect,” “forecast,” “goal,” “intend,” “may,” “plan,” “potential,” “possible,” “will,” “would” and other words and terms of similar meaning. Reference is made in particular to forward-looking statements regarding:</w:t>
      </w:r>
    </w:p>
    <w:p>
      <w:pPr>
        <w:spacing w:after="0" w:line="92" w:lineRule="exact"/>
        <w:rPr>
          <w:sz w:val="20"/>
          <w:szCs w:val="20"/>
          <w:color w:val="auto"/>
        </w:rPr>
      </w:pPr>
    </w:p>
    <w:p>
      <w:pPr>
        <w:ind w:left="1080" w:right="100" w:hanging="424"/>
        <w:spacing w:after="0" w:line="30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anticipated amount, timing and accounting of revenue;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plans and prospects relating to sales, pricing, growth and launch of our marketed and pipeline products;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impact of increased product competition in the markets in which we compete, including increased competition from new originator therapies, generics, prodrugs and biosimilars of existing products and products approved under abbreviated regulatory pathways, including generic or biosimilar versions of our products;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expected availability and period of regulatory exclusivity;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and investments in our portfolio as well as implementation of our corporate strategy;</w:t>
      </w:r>
    </w:p>
    <w:p>
      <w:pPr>
        <w:spacing w:after="0" w:line="130" w:lineRule="exact"/>
        <w:rPr>
          <w:rFonts w:ascii="Arial" w:cs="Arial" w:eastAsia="Arial" w:hAnsi="Arial"/>
          <w:sz w:val="18"/>
          <w:szCs w:val="18"/>
          <w:color w:val="auto"/>
        </w:rPr>
      </w:pPr>
    </w:p>
    <w:p>
      <w:pPr>
        <w:ind w:left="1080" w:right="6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drivers for growing our business, including our plans and intention to commit resources relating to discovery, research and development programs and business development opportunities as well as the potential benefits and results of, and the anticipated completion of, certain business development transactions;</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expectations, development plans and anticipated timelines, including costs and timing of potential clinical trials, filings and approvals, of our products, drug candidates and pipeline programs, including collaborations with third parties, as well as the potential therapeutic scope of the development and commercialization of our and our collaborators’ pipeline products;</w:t>
      </w:r>
    </w:p>
    <w:p>
      <w:pPr>
        <w:spacing w:after="0" w:line="89" w:lineRule="exact"/>
        <w:rPr>
          <w:rFonts w:ascii="Arial" w:cs="Arial" w:eastAsia="Arial" w:hAnsi="Arial"/>
          <w:sz w:val="18"/>
          <w:szCs w:val="18"/>
          <w:color w:val="auto"/>
        </w:rPr>
      </w:pPr>
    </w:p>
    <w:p>
      <w:pPr>
        <w:jc w:val="both"/>
        <w:ind w:left="1080" w:right="14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outcome and impact of administrative, regulatory, legal and other proceedings related to our patents and other proprietary and intellectual property rights, tax audits, assessments and settlements, pricing matters, sales and promotional practices, product liability and other matters;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finance our operations and business initiatives and obtain funding for such activities;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safety events involving our marketed products, generic or biosimilar versions of our marketed products or any other products from the same class as one of our products;</w:t>
      </w:r>
    </w:p>
    <w:p>
      <w:pPr>
        <w:spacing w:after="0" w:line="75"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direct and indirect impact of the COVID-19 pandemic on our business and operations, including sales, expense, reserves and allowances, the supply chain, manufacturing, cyber-attacks or other privacy or data security incidents, research and development costs, clinical trials and employees;</w:t>
      </w:r>
    </w:p>
    <w:p>
      <w:pPr>
        <w:spacing w:after="0" w:line="89"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current and potential impacts of the conflict in Ukraine, including impacts on our operations, sales and the possible disruptions or delays in our plans to conduct clinical trial activities in affected regions;</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potential impact of healthcare reform in the United States and measures being taken worldwide designed to reduce healthcare costs and limit the overall level of government expenditures, including the impact of pricing actions and reduced reimbursement for our products;</w:t>
      </w:r>
    </w:p>
    <w:p>
      <w:pPr>
        <w:spacing w:after="0" w:line="29" w:lineRule="exact"/>
        <w:rPr>
          <w:rFonts w:ascii="Arial" w:cs="Arial" w:eastAsia="Arial" w:hAnsi="Arial"/>
          <w:sz w:val="16"/>
          <w:szCs w:val="16"/>
          <w:color w:val="auto"/>
        </w:rPr>
      </w:pPr>
    </w:p>
    <w:p>
      <w:pPr>
        <w:ind w:left="1080" w:right="8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manufacturing capacity, use of third-party contract manufacturing organizations, plans and timing relating to changes in our manufacturing capabilities, activities in new or existing manufacturing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77" w:lineRule="auto"/>
        <w:rPr>
          <w:sz w:val="20"/>
          <w:szCs w:val="20"/>
          <w:color w:val="auto"/>
        </w:rPr>
      </w:pPr>
      <w:r>
        <w:rPr>
          <w:rFonts w:ascii="Arial" w:cs="Arial" w:eastAsia="Arial" w:hAnsi="Arial"/>
          <w:sz w:val="18"/>
          <w:szCs w:val="18"/>
          <w:color w:val="auto"/>
        </w:rPr>
        <w:t>facilities and the expected timeline for the Solothurn manufacturing facility to begin manufacturing products or product candidates and for the gene therapy manufacturing facility in Research Triangle Park, North Carolina to be operational;</w:t>
      </w:r>
    </w:p>
    <w:p>
      <w:pPr>
        <w:spacing w:after="0" w:line="76" w:lineRule="exact"/>
        <w:rPr>
          <w:sz w:val="20"/>
          <w:szCs w:val="20"/>
          <w:color w:val="auto"/>
        </w:rPr>
      </w:pPr>
    </w:p>
    <w:p>
      <w:pPr>
        <w:ind w:left="1080" w:right="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continued uncertainty of the credit and economic conditions in certain countries and our collection of accounts receivable in such countries;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lease commitments, purchase obligations and the timing and satisfaction of other contractual obligations;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new laws (including tax), regulatory requirements, judicial decisions and accounting standards.</w:t>
      </w:r>
    </w:p>
    <w:p>
      <w:pPr>
        <w:spacing w:after="0" w:line="22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These forward-looking statements involve risks and uncertainties, including those that are described in the “Risk Factors” section of this prospectus and those in the “Risk Factors” section of our Quarterly Report on Form 10-Q for the quarter ended March 31, 2022, which is incorporated by reference into this prospectus, any of which could cause actual results to differ materially from those reflected in such statements. The risks and uncertainties include our dependence on sales from our products; uncertainty of long-term success in developing, licensing, or acquiring other product candidates or additional indications for existing products; risks that uncertainty as to whether the anticipated benefits of the transaction with Samsung Biologics can be achieved; uncertainty as to whether the anticipated benefits of the cost-reduction and productivity measures can be achieved; failure to compete effectively due to significant product competition in the markets for our products; failure to successfully execute or realize the anticipated benefits of our strategic and growth initiatives; difficulties in obtaining and maintaining adequate coverage, pricing, and reimbursement for our products; our dependence on collaborators, joint venture partners, and other third parties for the development, regulatory approval, and commercialization of products and other aspects of our business, which are outside of our full control; risks associated with current and potential future healthcare reforms; risks related to commercialization of biosimilars; failure to obtain, protect, and enforce our data, intellectual property, and other proprietary rights and the risks and uncertainties relating to intellectual property claims and challenges;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the occurrence of adverse safety events, restrictions on use with our products, or product liability claims; risks relating to the distribution and sale by third parties of counterfeit or unfit versions of our products; risks relating to the use of social media for our business; risks relating to technology failures or breaches; risks relating to management and key personnel changes, including attracting and retaining key personnel; failure to comply with legal and regulatory requirements; the risks of doing business internationally, including currency exchange rate fluctuations; risks relating to investment in our manufacturing capacity; problems with our manufacturing processes; fluctuations in our effective tax rate; the direct and indirect impacts of the ongoing COVID-19 pandemic on our business, results of operations, and financial condition; fluctuations in our operating results; risks related to investment in properties; the market, interest, and credit risks associated with our investment portfolio; risks relating to share repurchase programs; risks relating to access to capital and credit markets; risks related to indebtedness; change in control provisions in certain of our collaboration agreements; environmental risks; and any other risks and uncertainties that are described in other reports we have filed with the U.S. Securities and Exchange Commission (the “SEC”).</w:t>
      </w:r>
    </w:p>
    <w:p>
      <w:pPr>
        <w:spacing w:after="0" w:line="173"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caution holders of Old Notes not to place undue reliance on the forward-looking statements contained or incorporated by reference in this prospectus. Each statement speaks only as of the date of this prospectus or, in the case of the documents incorporated by reference, the date of the applicable document (or any earlier date indicated in the statement). Unless required by law, we undertake no obligation to update or revise any of these statements, whether as a result of new information, future developments or otherwise.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EXCHANGE OFFER</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Pursuant to the Registration Rights Agreement (as defined below), we agreed to prepare and file with the SEC a registration statement on an appropriate form under the Securities Act with respect to a proposed offer to the holders of the Old Notes (CUSIP Nos. 09062X AJ2 and U0901X AA2 and ISIN Nos. US09062XAJ28 and USU0901XAA29) to issue and deliver to such holders of Old Notes, in exchange for their Old Notes, a like aggregate principal amount of New Notes (CUSIP No. 09062X AK9 and ISIN No. US09062XAK90) that are identical in all material respects to the Old Notes, except for certain transfer restrictions on the Old Notes, provisions relating to additional interest, provisions relating to registration rights and certain other differences described below. See “Registration Rights.”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On February 16, 2021, pursuant to exemptions from the registration requirements of the Securities Act, we consummated a private offer to exchange (the “private exchange”) any and all of our outstanding 5.200% Senior Notes due 2045 for Old Notes and cash. We issued $700,731,000 aggregate principal amount of Old Notes in the private exchange.</w:t>
      </w:r>
    </w:p>
    <w:p>
      <w:pPr>
        <w:spacing w:after="0" w:line="18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connection with the private exchange, we entered into the Registration Rights Agreement (the “Registration Rights Agreement”) with Deutsche Bank Securities Inc. and Citigroup Global Markets Inc., as dealer managers for the private exchange. Pursuant to the Registration Rights Agreement, we agreed that (1) we would use commercially reasonable efforts to consummate an exchange offer to exchange the Old Notes for registered notes containing terms substantially identical to the Old Notes, except that the offer and exchange of the New Notes are registered under the Securities Act, and the New Notes generally have no transfer restrictions, rights to additional interest or registration rights, and evidencing the same indebtedness as the Old Notes and (2) if we determine that a registered exchange offer is not available or other specified circumstances occur, we would use commercially reasonable efforts to have a shelf registration statement declared effective providing for resales of the Old Notes. If we fail to satisfy the foregoing obligations under the Registration Rights Agreement within 365 days of the issue date of the Old Notes, we will be required to pay additional interest to the holders of the Old Notes under certain circumstances.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This prospectus and the accompanying letter of transmittal (the “letter of transmittal”) contain the terms and conditions of the exchange offer (together, the “exchange offer”). Upon the terms and subject to the conditions included in this prospectus and the letter of transmittal, we will accept for exchange Old Notes which are properly tendered on or before 5:00 p.m., New York City time, on June 27, 2022, unless extended (the “expiration date”), unless you have previously withdrawn them. No alternative, conditional or contingent tenders will be accepted.</w:t>
      </w:r>
    </w:p>
    <w:p>
      <w:pPr>
        <w:spacing w:after="0" w:line="17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When you tender Old Notes as provided below, our acceptance of the Old Notes will constitute a binding agreement between you and us upon the terms and subject to the conditions in this prospectus and the letter of transmittal. In tendering Old Notes, you should note the following important information:</w:t>
      </w:r>
    </w:p>
    <w:p>
      <w:pPr>
        <w:spacing w:after="0" w:line="89" w:lineRule="exact"/>
        <w:rPr>
          <w:sz w:val="20"/>
          <w:szCs w:val="20"/>
          <w:color w:val="auto"/>
        </w:rPr>
      </w:pPr>
    </w:p>
    <w:p>
      <w:pPr>
        <w:ind w:left="1080" w:right="2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only tender Old Notes in minimum denominations of $2,000 in principal amount and any integral multiple of $1,000 in excess thereof.</w:t>
      </w:r>
    </w:p>
    <w:p>
      <w:pPr>
        <w:spacing w:after="0" w:line="75"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keep the exchange offer open for at least 20 business days from the date on which notice of the exchange offer is mailed to holders of the Old Notes. We are sending this prospectus, together with the letter of transmittal, on May 26, 2022 to all registered holders of Old Notes at their addresses listed in the security registrar’s security register with respect to the Old Notes.</w:t>
      </w:r>
    </w:p>
    <w:p>
      <w:pPr>
        <w:spacing w:after="0" w:line="70"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exchange offer expires at 5:00 p.m., New York City time, on June 27, 2022, provided, however, that we may, in our sole discretion, extend the period of time for which the exchange offer is open.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exchange offer is not conditioned upon any minimum principal amount of Old Notes being tendered.</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obligation to accept Old Notes for exchange in the exchange offer is subject to the conditions described under “—Conditions to the Exchange Offer.”</w:t>
      </w:r>
    </w:p>
    <w:p>
      <w:pPr>
        <w:spacing w:after="0" w:line="75" w:lineRule="exact"/>
        <w:rPr>
          <w:rFonts w:ascii="Arial" w:cs="Arial" w:eastAsia="Arial" w:hAnsi="Arial"/>
          <w:sz w:val="18"/>
          <w:szCs w:val="18"/>
          <w:color w:val="auto"/>
        </w:rPr>
      </w:pPr>
    </w:p>
    <w:p>
      <w:pPr>
        <w:ind w:left="1080" w:right="80" w:hanging="424"/>
        <w:spacing w:after="0" w:line="25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expressly reserve the right, at any time, to extend the period of time during which the exchange offer is open, and thereby delay acceptance of any Old Notes, by giving oral (promptly followed in writing) or written notice of an extension to the exchange agent and notice of that extension to the holders of Notes as described below. During any extension, all Old Notes previously tendered will remain subject to the exchange offer unless withdrawal rights are exercised as described under “—Withdrawal Rights.” Any Old Notes not accepted for exchange for any reason will be returned without expense to the tendering holder of Notes promptly after the expiration date or termination of the exchange offer.</w:t>
      </w:r>
    </w:p>
    <w:p>
      <w:pPr>
        <w:spacing w:after="0" w:line="97"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expressly reserve the right to amend or terminate the exchange offer, and to not accept for exchange any Old Notes that we have not yet accepted for exchange, at any time before the expiration date. If we make a material change to the terms of the exchange offer, including the waiver of a material condition, we will, to the extent required by law, disseminate additional offer materials and extend the period of time during which the exchange offer is open.</w:t>
      </w:r>
    </w:p>
    <w:p>
      <w:pPr>
        <w:spacing w:after="0" w:line="92" w:lineRule="exact"/>
        <w:rPr>
          <w:rFonts w:ascii="Arial" w:cs="Arial" w:eastAsia="Arial" w:hAnsi="Arial"/>
          <w:sz w:val="18"/>
          <w:szCs w:val="18"/>
          <w:color w:val="auto"/>
        </w:rPr>
      </w:pPr>
    </w:p>
    <w:p>
      <w:pPr>
        <w:ind w:left="1080" w:hanging="424"/>
        <w:spacing w:after="0" w:line="293"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will give oral (promptly followed in writing) or written notice of any extension, amendment, termination or non-acceptance described above to holders of the Old Notes as promptly as practicable. If we extend the expiration date, we will give notice by means of a press release or other public announcement no later than 9:00 a.m., New York City time, on the business day after the previously scheduled expiration date. Without limiting the manner in which we may choose to make any public announcement and subject to applicable law, we will have no obligation to publish, advertise or otherwise communicate any public announcement other than by issuing a release to an appropriate news agency. Such announcement may state that we are extending the exchange offer for a specified period of time.</w:t>
      </w:r>
    </w:p>
    <w:p>
      <w:pPr>
        <w:spacing w:after="0" w:line="69" w:lineRule="exact"/>
        <w:rPr>
          <w:rFonts w:ascii="Arial" w:cs="Arial" w:eastAsia="Arial" w:hAnsi="Arial"/>
          <w:sz w:val="16"/>
          <w:szCs w:val="16"/>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Holders of Old Notes do not have any appraisal or dissenters’ rights in connection with the exchange offer.</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Old Notes that are not tendered for exchange, or that are tendered but not accepted, in the exchange offer will remain outstanding and will continue to be entitled to the benefits of the indenture, but generally will not be entitled to any further registration rights under the Registration Rights Agreement. See “Registration Rights.”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executing, or otherwise becoming bound by, the letter of transmittal, you will be making to us the representations described under “— Resale of the New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Important Rules Concerning the Exchange Offer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should note the following important rules concerning the exchange offer:</w:t>
      </w:r>
    </w:p>
    <w:p>
      <w:pPr>
        <w:spacing w:after="0" w:line="131" w:lineRule="exact"/>
        <w:rPr>
          <w:sz w:val="20"/>
          <w:szCs w:val="20"/>
          <w:color w:val="auto"/>
        </w:rPr>
      </w:pPr>
    </w:p>
    <w:p>
      <w:pPr>
        <w:ind w:left="1080" w:right="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questions as to the validity, form, eligibility, time of receipt and acceptance of Old Notes tendered for exchange will be determined by us in our sole discretion, which determination shall be final and binding.</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reserve the absolute right to reject any and all tenders of any particular Old Notes not properly tendered or to not accept any particular Old Notes if such acceptance might, in our judgment or the judgment of our counsel, be unlawful.</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also reserve the absolute right to waive any defects or irregularities or conditions of the exchange offer as to any particular Old Notes either before or after the expiration date, including the right to waive the ineligibility of any holder who seeks to tender Old Notes in the exchange offer. Unless we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77" w:lineRule="auto"/>
        <w:rPr>
          <w:sz w:val="20"/>
          <w:szCs w:val="20"/>
          <w:color w:val="auto"/>
        </w:rPr>
      </w:pPr>
      <w:r>
        <w:rPr>
          <w:rFonts w:ascii="Arial" w:cs="Arial" w:eastAsia="Arial" w:hAnsi="Arial"/>
          <w:sz w:val="18"/>
          <w:szCs w:val="18"/>
          <w:color w:val="auto"/>
        </w:rPr>
        <w:t>agree to waive any defect or irregularity in connection with the tender of Old Notes for exchange, you must cure any defect or irregularity within any reasonable period of time as we shall determine.</w:t>
      </w:r>
    </w:p>
    <w:p>
      <w:pPr>
        <w:spacing w:after="0" w:line="76" w:lineRule="exact"/>
        <w:rPr>
          <w:sz w:val="20"/>
          <w:szCs w:val="20"/>
          <w:color w:val="auto"/>
        </w:rPr>
      </w:pPr>
    </w:p>
    <w:p>
      <w:pPr>
        <w:ind w:left="1080" w:right="2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interpretation of the terms and conditions of the exchange offer as to any particular Old Notes either before or after the expiration date shall be final and binding on all parties. Neither we, the exchange agent nor any other person shall be under any duty to notify you of any defect or irregularity with respect to any tender of Old Notes for exchange, nor shall any of them incur any liability for failing to so notify you.</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Tendering Old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to Submit and How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as a holder of any Old Notes, wish to tender your Old Notes for exchange in the exchange offer, then on or before the expiration date:</w:t>
      </w:r>
    </w:p>
    <w:p>
      <w:pPr>
        <w:spacing w:after="0" w:line="248" w:lineRule="exact"/>
        <w:rPr>
          <w:sz w:val="20"/>
          <w:szCs w:val="20"/>
          <w:color w:val="auto"/>
        </w:rPr>
      </w:pPr>
    </w:p>
    <w:p>
      <w:pPr>
        <w:ind w:left="800" w:hanging="244"/>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must transmit to the exchange agent either:</w:t>
      </w:r>
    </w:p>
    <w:p>
      <w:pPr>
        <w:spacing w:after="0" w:line="117" w:lineRule="exact"/>
        <w:rPr>
          <w:rFonts w:ascii="Arial" w:cs="Arial" w:eastAsia="Arial" w:hAnsi="Arial"/>
          <w:sz w:val="18"/>
          <w:szCs w:val="18"/>
          <w:color w:val="auto"/>
        </w:rPr>
      </w:pPr>
    </w:p>
    <w:p>
      <w:pPr>
        <w:ind w:left="560" w:right="140" w:firstLine="419"/>
        <w:spacing w:after="0" w:line="308" w:lineRule="auto"/>
        <w:tabs>
          <w:tab w:leader="none" w:pos="1228" w:val="left"/>
        </w:tabs>
        <w:numPr>
          <w:ilvl w:val="1"/>
          <w:numId w:val="13"/>
        </w:numPr>
        <w:rPr>
          <w:rFonts w:ascii="Arial" w:cs="Arial" w:eastAsia="Arial" w:hAnsi="Arial"/>
          <w:sz w:val="17"/>
          <w:szCs w:val="17"/>
          <w:color w:val="auto"/>
        </w:rPr>
      </w:pPr>
      <w:r>
        <w:rPr>
          <w:rFonts w:ascii="Arial" w:cs="Arial" w:eastAsia="Arial" w:hAnsi="Arial"/>
          <w:sz w:val="17"/>
          <w:szCs w:val="17"/>
          <w:color w:val="auto"/>
        </w:rPr>
        <w:t>if Old Notes are tendered in accordance with the book-entry procedures described under “—Book-Entry Transfer,” an agent’s message, as defined below, through the automatic tender offer program (“ATOP”) of The Depository Trust Company (“DTC”), or</w:t>
      </w:r>
    </w:p>
    <w:p>
      <w:pPr>
        <w:spacing w:after="0" w:line="38" w:lineRule="exact"/>
        <w:rPr>
          <w:rFonts w:ascii="Arial" w:cs="Arial" w:eastAsia="Arial" w:hAnsi="Arial"/>
          <w:sz w:val="17"/>
          <w:szCs w:val="17"/>
          <w:color w:val="auto"/>
        </w:rPr>
      </w:pPr>
    </w:p>
    <w:p>
      <w:pPr>
        <w:ind w:left="560" w:right="60" w:firstLine="419"/>
        <w:spacing w:after="0" w:line="277" w:lineRule="auto"/>
        <w:tabs>
          <w:tab w:leader="none" w:pos="123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 facsimile copy thereof, to the exchange agent’s address set forth below under “—Exchange Agent,” including all other documents required by the letter of transmittal;</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in each case,</w:t>
      </w:r>
    </w:p>
    <w:p>
      <w:pPr>
        <w:spacing w:after="0" w:line="225" w:lineRule="exact"/>
        <w:rPr>
          <w:sz w:val="20"/>
          <w:szCs w:val="20"/>
          <w:color w:val="auto"/>
        </w:rPr>
      </w:pPr>
    </w:p>
    <w:p>
      <w:pPr>
        <w:ind w:left="120" w:right="80" w:firstLine="436"/>
        <w:spacing w:after="0" w:line="342" w:lineRule="auto"/>
        <w:tabs>
          <w:tab w:leader="none" w:pos="8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you must timely send, and the exchange agent must actually receive timely confirmation of, a book-entry transfer of Old Notes into the exchange agent’s account at DTC using the procedure for book-entry transfer described under “—Book-Entry Transfer” (a “book-entry confirmation”).</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term “agent’s message” means a message, transmitted through ATOP by DTC, to, and received by, the exchange agent and forming a part of a book-entry confirmation, that states that DTC has received an express acknowledgement that the tendering holder has received and agrees to be bound by the letter of transmittal and that we may enforce the letter of transmittal against such holder.</w:t>
      </w:r>
    </w:p>
    <w:p>
      <w:pPr>
        <w:spacing w:after="0" w:line="184"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If you are a beneficial owner whose Old Notes are registered in the name of a broker, dealer, commercial bank, trust company or other nominee and wish to tender your Old Notes, you should promptly instruct the registered holder to tender such Old Notes on your behalf and comply with the ATOP procedures for book-entry transfer described under “—Book-Entry Transfer” on or before the expiration date.</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method of delivery of Old Notes, letters of transmittal and all other required documentation, including delivery of Old Notes through book-entry transfer and transmission of agent’s messages through DTC’s ATOP, is at your election and risk. Delivery will be deemed made only when all required documentation is actually received by the exchange agent. Delivery of documents or instructions to DTC does not constitute delivery to the exchange agent. If delivery is by mail, we recommend that registered mail, properly insured, with return receipt requested, be used. In all cases, sufficient time should be allowed to assure timely delivery to the exchange agent. Holders tendering Old Notes or transmitting agent’s messages through DTC’s ATOP must allow sufficient time for completion of ATOP procedures during DTC’s normal business hours. No Old Notes, agent’s messages, letters of transmittal or any other required documentation should be sent to us.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to Sign Your Letter of Transmittal and Other Documents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being surrendered for exchange are tendered:</w:t>
      </w:r>
    </w:p>
    <w:p>
      <w:pPr>
        <w:spacing w:after="0" w:line="76" w:lineRule="exact"/>
        <w:rPr>
          <w:sz w:val="20"/>
          <w:szCs w:val="20"/>
          <w:color w:val="auto"/>
        </w:rPr>
      </w:pPr>
    </w:p>
    <w:p>
      <w:pPr>
        <w:ind w:left="1080" w:right="6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a registered holder of the Old Notes who has not completed the box entitled “Special Issuance Instructions” on the letter of transmittal, or</w:t>
      </w:r>
    </w:p>
    <w:p>
      <w:pPr>
        <w:spacing w:after="0" w:line="75" w:lineRule="exact"/>
        <w:rPr>
          <w:rFonts w:ascii="Arial" w:cs="Arial" w:eastAsia="Arial" w:hAnsi="Arial"/>
          <w:sz w:val="18"/>
          <w:szCs w:val="18"/>
          <w:color w:val="auto"/>
        </w:rPr>
      </w:pPr>
    </w:p>
    <w:p>
      <w:pPr>
        <w:ind w:left="1080" w:right="40" w:hanging="532"/>
        <w:spacing w:after="0" w:line="25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account of an “eligible guarantor” institution within the meaning of Rule 17Ad-15 under the Securities Exchange Act of 1934, as amended (the “Exchange Act”), or a commercial bank or trust company having an office or correspondent in the United States that is a member in good standing of a medallion program recognized by the Securities Transfer Association Inc., including the Securities Transfer Agents Medallion Program, the Stock Exchanges Medallion Program and the New York Stock Exchange Medallion Signature Program (each, an “eligible institution”).</w:t>
      </w:r>
    </w:p>
    <w:p>
      <w:pPr>
        <w:spacing w:after="0" w:line="18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signatures on a letter of transmittal or a notice of withdrawal, as the case may be, are required to be guaranteed, the guarantees must be by an eligible institution.</w:t>
      </w:r>
    </w:p>
    <w:p>
      <w:pPr>
        <w:spacing w:after="0" w:line="170"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If the letter of transmittal is signed by a person or persons other than the registered holder or holders of Old Notes, the Old Notes must be endorsed or accompanied by appropriate powers of attorney, in either case signed exactly as the name or names of the registered holder or holders appear on the Old Notes and with the signatures guaranteed.</w:t>
      </w:r>
    </w:p>
    <w:p>
      <w:pPr>
        <w:spacing w:after="0" w:line="184"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If the letter of transmittal or any Old Notes or powers of attorney are signed by trustees, executors, administrators, guardians, attorneys-in-fact, officers of corporations or others acting in a fiduciary or representative capacity, the person should so indicate when signing and, unless waived by us, proper evidence satisfactory to us of such person’s authority to so act must be submitted.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121"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Once all of the conditions to the exchange offer are satisfied or waived, we will accept all Old Notes properly tendered and not properly withdrawn, and will issue the New Notes, promptly after the expiration date. See “—Conditions to the Exchange Offer” below. For purposes of the exchange offer, our giving of oral (promptly followed in writing) or written notice of acceptance to the exchange agent will be considered our acceptance of the tendered Old Notes.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all cases, we will issue New Notes in exchange for Old Notes that are accepted for exchange only after timely receipt by the exchange agent of:</w:t>
      </w:r>
    </w:p>
    <w:p>
      <w:pPr>
        <w:spacing w:after="0" w:line="154"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book-entry confirmation or Old Notes in proper form for transfer,</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properly transmitted agent’s message or a properly completed and duly executed letter of transmittal, with any required signature guarantees,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required documentation.</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we do not accept any tendered Old Notes for any reason included in the terms and conditions of the exchange offer, we will return any unaccepted, non-exchanged or properly withdrawn Old Notes, as the case may be, without expense to the tendering holder. In the case of Old Notes tendered by book-entry transfer into the exchange agent’s account at DTC using the book-entry transfer procedures described below, unaccepted, non-exchanged or properly withdrawn Old Notes will be credited to an account maintained with DTC. We will have the Old Notes credited to the DTC account promptly after the expiration or termination of the exchange offer.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Transfer</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exchange agent will make a request to establish an account with respect to the Old Notes at DTC for purposes of the exchange offer promptly after the date of this prospectus. Any financial institution that is a participant in DTC’s systems, including Euroclear Bank, S.A./N.V., as operator of the Euroclear System (“Euroclear”), or Clearstream Luxembourg, société anonyme (“Clearstream Luxembourg”), may make book-entry delivery of Old Notes by causing DTC to transfer Old Notes into the exchange agent’s account at DTC in accordance with DTC’s ATOP procedures for transfer. However, the exchange for the Old Notes so tendered will only be made after timely confirmation of book-entry transfer of Old Notes into the exchange agent’s account, and timely receipt by the exchange agent of an agent’s message and all other documents required by the letter of transmittal. Only participants in DTC may deliver Old Notes by book-entry transfer.</w:t>
      </w:r>
    </w:p>
    <w:p>
      <w:pPr>
        <w:spacing w:after="0" w:line="17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Although delivery of Old Notes may be effected through book-entry transfer into the exchange agent’s account at DTC, the letter of transmittal, or a facsimile copy thereof, properly completed and duly executed, with any required signature guarantees, or an agent’s message, with all other required documentation, must in any case be transmitted to and received by the exchange agent at its address listed under “—Exchange Agent” on or before the expiration date. Please note that delivery of documents or instructions to DTC does not constitute delivery to the exchange agent, and we will not be able to accept your tender of Old Notes until the exchange agent actually receives from DTC the information and documentation described under “— Acceptance of Old Notes for Exchange; Delivery of New Notes.”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can withdraw your tender of Old Notes at any time on or before 5:00 p.m., New York City time, on the expiration date.</w:t>
      </w:r>
    </w:p>
    <w:p>
      <w:pPr>
        <w:spacing w:after="0" w:line="225"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For a withdrawal to be effective, a written notice of withdrawal must be actually received by the exchange agent before such time, properly transmitted either through DTC’s ATOP or to the exchange agent at the address listed below under “—Exchange Agent.” Any notice of withdrawal must:</w:t>
      </w:r>
    </w:p>
    <w:p>
      <w:pPr>
        <w:spacing w:after="0" w:line="8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the name of the person having tendered the Old Notes to be withdrawn;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the principal amount of the Old Notes to be withdrawn;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contain a statement that the tendering holder is withdrawing its election to have such Old Notes exchanged for New Notes;</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in the case of a notice of withdrawal transmitted through DTC’s ATOP system, be signed by the holder in the same manner as the original signature on the letter of transmittal by which the Old Notes were tendered, including any required signature guarantees, or be accompanied by documents of transfer to have the security registrar with respect to the Old Notes register the transfer of the Old Notes in the name of the person withdrawing the tender; and</w:t>
      </w:r>
    </w:p>
    <w:p>
      <w:pPr>
        <w:spacing w:after="0" w:line="92"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the name and number of the account at DTC from which the Old Notes were tendered and the name and number of the account at DTC to be credited with the withdrawn Old Notes, and otherwise comply with the procedures of DTC.</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Please note that all questions as to the validity, form, eligibility and time of receipt of notices of withdrawal will be determined by us, and our determination shall be final and binding on all parties. Any Old Notes so withdrawn will be considered not to have been properly tendered for exchange for purposes of the exchange offer. New Notes will not be issued in exchange for such withdrawn Old Notes unless the Old Notes so withdrawn are properly re-tendered.</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you have properly withdrawn Old Notes and wish to re-tender them, you may do so by following one of the procedures described under “— Procedures for Tendering Old Notes” above at any time on or before the expiration date.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Any Old Notes that have been tendered for exchange, but which are not exchanged for any reason, will be credited to an account maintained with DTC for the Old Notes promptly after withdrawal, rejection of tender or termination of the exchange offer.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Notwithstanding any other provisions of the exchange offer, we will not be required to accept for exchange, or to issue New Notes in exchange for, any Old Notes and may terminate or amend the exchange offer, if we determine in our reasonable judgment at any time before the expiration date that:</w:t>
      </w:r>
    </w:p>
    <w:p>
      <w:pPr>
        <w:spacing w:after="0" w:line="89" w:lineRule="exact"/>
        <w:rPr>
          <w:sz w:val="20"/>
          <w:szCs w:val="20"/>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exchange offer would violate applicable law or any applicable interpretation of any court or governmental, regulatory or administrative authority, agency or instrumentality, including the SEC or its staff;</w:t>
      </w:r>
    </w:p>
    <w:p>
      <w:pPr>
        <w:spacing w:after="0" w:line="75" w:lineRule="exact"/>
        <w:rPr>
          <w:rFonts w:ascii="Arial" w:cs="Arial" w:eastAsia="Arial" w:hAnsi="Arial"/>
          <w:sz w:val="18"/>
          <w:szCs w:val="18"/>
          <w:color w:val="auto"/>
        </w:rPr>
      </w:pPr>
    </w:p>
    <w:p>
      <w:pPr>
        <w:ind w:left="1080" w:right="100" w:hanging="424"/>
        <w:spacing w:after="0" w:line="29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there shall have been instituted, threatened in writing, or be pending, any action or proceeding before or by any court or governmental, regulatory or administrative authority, agency or instrumentality, or by any other person, in connection with the exchange offer, that is, or is reasonably likely to be, in our reasonable judgment, materially adverse to our business, operations, properties, condition, assets, liabilities or prospects, or that would or would be reasonably likely to, in our reasonable judgment, prohibit, prevent, restrict or delay the consummation of the exchange offer or materially impair the contemplated benefits to us of the exchange offer;</w:t>
      </w:r>
    </w:p>
    <w:p>
      <w:pPr>
        <w:spacing w:after="0" w:line="66" w:lineRule="exact"/>
        <w:rPr>
          <w:rFonts w:ascii="Arial" w:cs="Arial" w:eastAsia="Arial" w:hAnsi="Arial"/>
          <w:sz w:val="16"/>
          <w:szCs w:val="16"/>
          <w:color w:val="auto"/>
        </w:rPr>
      </w:pPr>
    </w:p>
    <w:p>
      <w:pPr>
        <w:ind w:left="1080" w:right="100" w:hanging="424"/>
        <w:spacing w:after="0" w:line="273"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statute, rule, regulation, executive order, stay, decree, judgment, order or injunction shall have been proposed, enacted, entered, issued, promulgated, enforced or deemed applicable by any court or governmental, regulatory or administrative authority, agency or instrumentality, or there shall have occurred any development, in connection with the exchange offer, that is, or is reasonably likely to be, in our reasonable judgment, materially adverse to our business, operations, properties, condition, assets, liabilities or prospects, or that would or would be reasonably likely to, in our reasonable judgment, prohibit, prevent, restrict or delay consummation of the exchange offer or materially impair the contemplated benefits to us of the exchange offer;</w:t>
      </w:r>
    </w:p>
    <w:p>
      <w:pPr>
        <w:spacing w:after="0" w:line="83" w:lineRule="exact"/>
        <w:rPr>
          <w:rFonts w:ascii="Arial" w:cs="Arial" w:eastAsia="Arial" w:hAnsi="Arial"/>
          <w:sz w:val="17"/>
          <w:szCs w:val="17"/>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shall have occurred:</w:t>
      </w:r>
    </w:p>
    <w:p>
      <w:pPr>
        <w:spacing w:after="0" w:line="130" w:lineRule="exact"/>
        <w:rPr>
          <w:rFonts w:ascii="Arial" w:cs="Arial" w:eastAsia="Arial" w:hAnsi="Arial"/>
          <w:sz w:val="18"/>
          <w:szCs w:val="18"/>
          <w:color w:val="auto"/>
        </w:rPr>
      </w:pPr>
    </w:p>
    <w:p>
      <w:pPr>
        <w:ind w:left="1540" w:right="600" w:hanging="331"/>
        <w:spacing w:after="0" w:line="277"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general suspension of trading in, or general limitation on prices for, securities in U.S. or European securities or financial markets;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 declaration of a banking moratorium or any suspension of payments in respect to banks in the U.S. or the European Union;</w:t>
      </w:r>
    </w:p>
    <w:p>
      <w:pPr>
        <w:spacing w:after="0" w:line="142" w:lineRule="exact"/>
        <w:rPr>
          <w:rFonts w:ascii="Arial" w:cs="Arial" w:eastAsia="Arial" w:hAnsi="Arial"/>
          <w:sz w:val="17"/>
          <w:szCs w:val="17"/>
          <w:color w:val="auto"/>
        </w:rPr>
      </w:pPr>
    </w:p>
    <w:p>
      <w:pPr>
        <w:ind w:left="1540" w:right="40" w:hanging="331"/>
        <w:spacing w:after="0" w:line="263"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limitation (whether or not mandatory) by any government or governmental, regulatory or administrative authority, agency or instrumentality or other event that, in our reasonable judgment, would or would be reasonably likely to affect the extension of credit by banks or other lending institutions; or</w:t>
      </w:r>
    </w:p>
    <w:p>
      <w:pPr>
        <w:spacing w:after="0" w:line="89" w:lineRule="exact"/>
        <w:rPr>
          <w:rFonts w:ascii="Arial" w:cs="Arial" w:eastAsia="Arial" w:hAnsi="Arial"/>
          <w:sz w:val="18"/>
          <w:szCs w:val="18"/>
          <w:color w:val="auto"/>
        </w:rPr>
      </w:pPr>
    </w:p>
    <w:p>
      <w:pPr>
        <w:ind w:left="1540" w:right="60" w:hanging="331"/>
        <w:spacing w:after="0" w:line="277"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commencement or significant worsening of a war or armed hostilities or other national or international calamity, including but not limited to, catastrophic terrorist attacks against the U.S. or its citizens.</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foregoing conditions are for our sole benefit and may be waived by us regardless of the circumstances giving rise to any condition. Our failure at any time to exercise the foregoing rights shall not be considered a waiver by us of that right. The rights described in the prior paragraph are ongoing rights which we may assert at any time and from time to time.</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addition, we will not accept for exchange any Old Notes tendered, and no New Notes will be issued in exchange for any such Old Notes, if at any time any stop order is threatened or in effect with respect to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registration statement of which this prospectus constitutes a part or the qualification of the indenture under the Trust Indenture Act of 1939, as amended (the “Trust Indenture Act”).</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reserve the right to terminate or amend the exchange offer at any time before the expiration date upon the occurrence of any of the foregoing events.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Global Bondholder Services Corporation has been appointed as the exchange agent for the exchange offer. All executed letters of transmittal, notices of withdrawal and any other required documentation should be directed to the exchange agent at the address set forth below. Questions and requests for assistance, requests for additional copies of this prospectus or of the letter of transmittal should be directed to the exchange agent, addressed as follows:</w:t>
      </w: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800" w:type="dxa"/>
            <w:vAlign w:val="bottom"/>
          </w:tcPr>
          <w:p>
            <w:pPr>
              <w:jc w:val="center"/>
              <w:ind w:right="370"/>
              <w:spacing w:after="0"/>
              <w:rPr>
                <w:sz w:val="20"/>
                <w:szCs w:val="20"/>
                <w:color w:val="auto"/>
              </w:rPr>
            </w:pPr>
            <w:r>
              <w:rPr>
                <w:rFonts w:ascii="Arial" w:cs="Arial" w:eastAsia="Arial" w:hAnsi="Arial"/>
                <w:sz w:val="18"/>
                <w:szCs w:val="18"/>
                <w:b w:val="1"/>
                <w:bCs w:val="1"/>
                <w:i w:val="1"/>
                <w:iCs w:val="1"/>
                <w:color w:val="auto"/>
                <w:w w:val="89"/>
              </w:rPr>
              <w:t>By Facsimile</w:t>
            </w:r>
          </w:p>
        </w:tc>
        <w:tc>
          <w:tcPr>
            <w:tcW w:w="41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By Regular, Registered or Certified Mail, By</w:t>
            </w:r>
          </w:p>
        </w:tc>
        <w:tc>
          <w:tcPr>
            <w:tcW w:w="2780" w:type="dxa"/>
            <w:vAlign w:val="bottom"/>
          </w:tcPr>
          <w:p>
            <w:pPr>
              <w:jc w:val="center"/>
              <w:ind w:left="310"/>
              <w:spacing w:after="0"/>
              <w:rPr>
                <w:sz w:val="20"/>
                <w:szCs w:val="20"/>
                <w:color w:val="auto"/>
              </w:rPr>
            </w:pPr>
            <w:r>
              <w:rPr>
                <w:rFonts w:ascii="Arial" w:cs="Arial" w:eastAsia="Arial" w:hAnsi="Arial"/>
                <w:sz w:val="18"/>
                <w:szCs w:val="18"/>
                <w:b w:val="1"/>
                <w:bCs w:val="1"/>
                <w:i w:val="1"/>
                <w:iCs w:val="1"/>
                <w:color w:val="auto"/>
                <w:w w:val="89"/>
              </w:rPr>
              <w:t>Banks and Brokers Call:</w:t>
            </w:r>
          </w:p>
        </w:tc>
      </w:tr>
      <w:tr>
        <w:trPr>
          <w:trHeight w:val="216"/>
        </w:trPr>
        <w:tc>
          <w:tcPr>
            <w:tcW w:w="2800" w:type="dxa"/>
            <w:vAlign w:val="bottom"/>
          </w:tcPr>
          <w:p>
            <w:pPr>
              <w:jc w:val="center"/>
              <w:ind w:right="370"/>
              <w:spacing w:after="0"/>
              <w:rPr>
                <w:sz w:val="20"/>
                <w:szCs w:val="20"/>
                <w:color w:val="auto"/>
              </w:rPr>
            </w:pPr>
            <w:r>
              <w:rPr>
                <w:rFonts w:ascii="Arial" w:cs="Arial" w:eastAsia="Arial" w:hAnsi="Arial"/>
                <w:sz w:val="18"/>
                <w:szCs w:val="18"/>
                <w:b w:val="1"/>
                <w:bCs w:val="1"/>
                <w:i w:val="1"/>
                <w:iCs w:val="1"/>
                <w:color w:val="auto"/>
                <w:w w:val="89"/>
              </w:rPr>
              <w:t>(For Eligible Institutions only):</w:t>
            </w:r>
          </w:p>
        </w:tc>
        <w:tc>
          <w:tcPr>
            <w:tcW w:w="41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0"/>
              </w:rPr>
              <w:t>Overnight Courier or By Hand:</w:t>
            </w:r>
          </w:p>
        </w:tc>
        <w:tc>
          <w:tcPr>
            <w:tcW w:w="278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(212) 430-3774 (collect)</w:t>
            </w:r>
          </w:p>
        </w:tc>
      </w:tr>
      <w:tr>
        <w:trPr>
          <w:trHeight w:val="216"/>
        </w:trPr>
        <w:tc>
          <w:tcPr>
            <w:tcW w:w="280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(212) 430-3775</w:t>
            </w: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65 Broadway – Suite 404</w:t>
            </w:r>
          </w:p>
        </w:tc>
        <w:tc>
          <w:tcPr>
            <w:tcW w:w="2780" w:type="dxa"/>
            <w:vAlign w:val="bottom"/>
          </w:tcPr>
          <w:p>
            <w:pPr>
              <w:jc w:val="center"/>
              <w:ind w:left="310"/>
              <w:spacing w:after="0"/>
              <w:rPr>
                <w:sz w:val="20"/>
                <w:szCs w:val="20"/>
                <w:color w:val="auto"/>
              </w:rPr>
            </w:pPr>
            <w:r>
              <w:rPr>
                <w:rFonts w:ascii="Arial" w:cs="Arial" w:eastAsia="Arial" w:hAnsi="Arial"/>
                <w:sz w:val="18"/>
                <w:szCs w:val="18"/>
                <w:b w:val="1"/>
                <w:bCs w:val="1"/>
                <w:i w:val="1"/>
                <w:iCs w:val="1"/>
                <w:color w:val="auto"/>
                <w:w w:val="90"/>
              </w:rPr>
              <w:t>All Others Call Toll-Free:</w:t>
            </w:r>
          </w:p>
        </w:tc>
      </w:tr>
      <w:tr>
        <w:trPr>
          <w:trHeight w:val="216"/>
        </w:trPr>
        <w:tc>
          <w:tcPr>
            <w:tcW w:w="280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Attention: Corporate Actions</w:t>
            </w: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 New York 10006 Attention:</w:t>
            </w:r>
          </w:p>
        </w:tc>
        <w:tc>
          <w:tcPr>
            <w:tcW w:w="2780" w:type="dxa"/>
            <w:vAlign w:val="bottom"/>
          </w:tcPr>
          <w:p>
            <w:pPr>
              <w:jc w:val="center"/>
              <w:ind w:left="310"/>
              <w:spacing w:after="0"/>
              <w:rPr>
                <w:sz w:val="20"/>
                <w:szCs w:val="20"/>
                <w:color w:val="auto"/>
              </w:rPr>
            </w:pPr>
            <w:r>
              <w:rPr>
                <w:rFonts w:ascii="Arial" w:cs="Arial" w:eastAsia="Arial" w:hAnsi="Arial"/>
                <w:sz w:val="18"/>
                <w:szCs w:val="18"/>
                <w:b w:val="1"/>
                <w:bCs w:val="1"/>
                <w:color w:val="auto"/>
                <w:w w:val="92"/>
              </w:rPr>
              <w:t>(855) 654-2014</w:t>
            </w:r>
          </w:p>
        </w:tc>
      </w:tr>
      <w:tr>
        <w:trPr>
          <w:trHeight w:val="234"/>
        </w:trPr>
        <w:tc>
          <w:tcPr>
            <w:tcW w:w="28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91"/>
              </w:rPr>
              <w:t>Corporate Actions</w:t>
            </w:r>
          </w:p>
        </w:tc>
        <w:tc>
          <w:tcPr>
            <w:tcW w:w="278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E-mail: contact@gbsc-usa.com</w:t>
            </w: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Delivery to an address other than the address of the exchange agent as listed above or transmission of instructions via facsimile other than as listed above does not constitute a valid delivery.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principal solicitation is being made by mail; however, additional solicitation may be made by facsimile, email, telephone or in person by our officers, regular employees or affiliates. We will not pay any additional compensation to any of our officers or employees who engage in soliciting tenders. We will not make any payment to brokers, dealers or others soliciting acceptances of the exchange offer. However, we will pay the exchange agent reasonable and customary fees for its services and will reimburse it for its reasonable out-of-pocket expenses in connection with the exchange offer.</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expenses to be incurred in connection with the exchange offer, including legal, accounting, SEC filing, printing and exchange agent expenses, will be paid by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 Payments made to third parties in connection with the exchange offer will be expensed as incurred in accordance with U.S. generally accepted accounting principles.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Holders who tender their Old Notes for exchange will not be obligated to pay any transfer taxes in connection therewith, except that holders who instruct us to register New Notes in the name of, or request that Old Notes not tendered or not accepted in the exchange offer be returned to, a person other than the registered tendering holder will be responsible for the payment of any applicable transfer tax.</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Resale of the New Notes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Under existing interpretations of the staff of the SEC contained in several no-action letters to third parties, the New Notes would in general be freely transferable by holders thereof, other than our affiliates (as defined below), after the exchange offer without further registration under the Securities Act (subject to certain representations required to be made by each holder of Old Notes participating in the exchange offer, as set forth below). The relevant no-action letters include the Exxon Capital Holdings Corporation letter, which was made available by the SEC on May 13, 1988, the Morgan Stanley &amp; Co. Incorporated letter, which was made available by the SEC on June 5, 1991, the K-III Communications Corporation letter, which was made available by the SEC on May 14, 1993, and the Shearman &amp; Sterling letter, which was made available by the SEC on July 2, 1993. We have not entered into any arrangement or understanding with any person who will receive New Notes in the exchange offer to distribute those securities following completion of the exchange offer. To our knowledge, each person eligible to participate in the exchange offer is (i) neither an affiliate of ours within the meaning of Rule 405 under the Securities Act (an “affiliate”), nor a broker-dealer acquiring New Notes in exchange for Old Notes acquired directly from us for its own account, (ii) acquiring New Notes in the ordinary course of its business, and (iii) is not engaged in, and does not intend to engage in, a distribution of the New Notes to be received in the exchange offer and has no arrangement or understanding with any person to participate in the distribution of the New Notes to be received in the exchange offer.</w:t>
      </w:r>
    </w:p>
    <w:p>
      <w:pPr>
        <w:spacing w:after="0" w:line="17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However, any person participating in the exchange offer who is an affiliate of ours, who is not acquiring New Notes in the ordinary course of its business or who intends to acquire New Notes for the purpose of distributing them:</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cannot rely on the SEC staff’s interpretations in these no-action letters; and</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order to resell New Notes and be identified as an underwriter in the relevant prospectus (unless such resale is made pursuant to an exemption from those requirements).</w:t>
      </w:r>
    </w:p>
    <w:p>
      <w:pPr>
        <w:spacing w:after="0" w:line="12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acknowledge that such secondary resale transactions should be covered by an effective registration statement containing the selling security holder information required by Item 507 of Regulation S-K promulgated under the Securities Act.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By executing, or otherwise becoming bound by, the letter of transmittal, each tendering holder of Old Notes will generally represent that:</w:t>
      </w:r>
    </w:p>
    <w:p>
      <w:pPr>
        <w:spacing w:after="0" w:line="142"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New Notes to be received by it will be acquired in the ordinary course of its business;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is not engaged in, and does not intend to engage in, a distribution (within the meaning of the Securities Act) of the New Notes to be received in the exchange offer;</w:t>
      </w:r>
    </w:p>
    <w:p>
      <w:pPr>
        <w:spacing w:after="0" w:line="75" w:lineRule="exact"/>
        <w:rPr>
          <w:rFonts w:ascii="Arial" w:cs="Arial" w:eastAsia="Arial" w:hAnsi="Arial"/>
          <w:sz w:val="18"/>
          <w:szCs w:val="18"/>
          <w:color w:val="auto"/>
        </w:rPr>
      </w:pPr>
    </w:p>
    <w:p>
      <w:pPr>
        <w:jc w:val="both"/>
        <w:ind w:left="1080" w:right="80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it is not engaged in, does not intend to engage in, and has no arrangement or understanding with any person to participate in the distribution (within the meaning of the Securities Act) of the New Notes in violation of the provisions of the Securities Act;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is not an “affiliate” (within the meaning of Rule 405 under the Securities Act) of ours.</w:t>
      </w:r>
    </w:p>
    <w:p>
      <w:pPr>
        <w:spacing w:after="0" w:line="225"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We have not sought, and do not intend to seek, a no-action letter from the SEC with respect to the effects of the exchange offer, and there can be no assurance that the SEC staff would make a similar determination with respect to the New Notes as it has made in previous no-action letters.</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addition, in connection with any resales of New Notes acquired in the exchange offer, any broker-dealer receiving New Notes for its own account in exchange for Old Notes acquired by such broker-dealer as a result of market-making activities or other trading activities must acknowledge that it may be a statutory underwriter and that it must deliver a prospectus meeting the requirements of the Securities Act to purchasers in connection with</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any resale of such New Notes. See “Plan of Distribution.” By making such acknowledgement and delivering such a prospectus in connection with any such resale, a broker-dealer does not thereby admit that it is an underwriter within the meaning of the Securities Act with respect to such resale.</w:t>
      </w:r>
    </w:p>
    <w:p>
      <w:pPr>
        <w:spacing w:after="0" w:line="124"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SEC has taken the position in the Shearman &amp; Sterling no-action letter, which it made available on July 2, 1993, that broker-dealers may fulfill their prospectus delivery requirements with respect to the New Notes, other than a resale of New Notes received in exchange for an unsold allotment from the original sale of the Old Notes, by delivery of the prospectus contained in the exchange offer registration statement.</w:t>
      </w:r>
    </w:p>
    <w:p>
      <w:pPr>
        <w:spacing w:after="0" w:line="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exchange offer is intended to satisfy our obligations under the Registration Rights Agreement we entered into in connection with the private exchange of the Old Notes. We will not receive any cash proceeds from the issuance of the New Notes under the exchange offer. In consideration for issuing the New Notes as contemplated by this prospectus, we will receive Old Notes in like principal amounts, the terms of which are identical in all material respects to the New Notes, subject to limited exceptions. Old Notes surrendered in exchange for New Notes will be retired and canceled and cannot be reissued. Accordingly, the issuance of the New Notes will not result in any increase in our indebtedness.</w:t>
      </w:r>
    </w:p>
    <w:p>
      <w:pPr>
        <w:spacing w:after="0" w:line="9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320" w:top="459" w:right="6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NEW NOTES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Old Notes were issued on February 16, 2021 in a private exchange offer exempt from the registration requirements of the Securities Act.</w:t>
      </w:r>
    </w:p>
    <w:p>
      <w:pPr>
        <w:spacing w:after="0" w:line="24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New Notes are a series of debt securities to be issued under an indenture, dated as of September 15, 2015, between the Company and U.S. Bank Trust Company, National Association (as successor in interest to U.S. Bank National Association), as trustee, as supplemented by the supplemental indenture under which the Old Notes were also issued on February 16, 2021, between the Company and the trustee. We refer to this indenture, as so supplemented, as the “indenture.” The terms of the New Notes include those stated in the indenture and those made part of the indenture by reference to the Trust Indenture Act. A copy of the indenture is available for inspection at the corporate trust office of the trustee.</w:t>
      </w:r>
    </w:p>
    <w:p>
      <w:pPr>
        <w:spacing w:after="0" w:line="1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New Notes will be treated as a single class with any Old Notes that remain outstanding after the completion of the exchange offer. In determining whether holders of the requisite percentage of aggregate principal amount of debt securities of a series have given any notice, consent or waiver or taken any other action permitted under the indenture, any Old Notes that remain outstanding after the completion of the exchange offer will be aggregated with the New Notes, and the holders of these Old Notes and New Notes will vote together as a single class for all such purposes. Accordingly, all references in this “Description of the New Notes” to specified percentages in aggregate principal amount of outstanding notes mean, at any time after the completion of the exchange offer, such percentage in aggregate principal amount of the Old Notes and the New Notes then outstanding. We refer to the New Notes and any Old Notes outstanding after the completion of the exchange offer as the “Notes.”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used in this “Description of the New Notes,” the terms “the Company,” “we,” “our,” “us” and other similar references refer only to Biogen Inc.</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not to any of its subsidiaries.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160" w:firstLine="440"/>
        <w:spacing w:after="0" w:line="296" w:lineRule="auto"/>
        <w:rPr>
          <w:sz w:val="20"/>
          <w:szCs w:val="20"/>
          <w:color w:val="auto"/>
        </w:rPr>
      </w:pPr>
      <w:r>
        <w:rPr>
          <w:rFonts w:ascii="Arial" w:cs="Arial" w:eastAsia="Arial" w:hAnsi="Arial"/>
          <w:sz w:val="16"/>
          <w:szCs w:val="16"/>
          <w:color w:val="auto"/>
        </w:rPr>
        <w:t>There will be no accrued interest paid on the settlement date of the exchange offer. The Notes will mature and become due and payable, together with any accrued and unpaid interest thereon, on February 15, 2051. Interest will be payable semiannually on February 15 and August 15 of each year, beginning August 15, 2021 (or, if later, the first interest payment date after issuance of the New Notes). Interest on the Notes will be paid to holders of record at the close of business on February 1 or August 1, whether or not a business day, immediately before the applicable interest payment date. The amount of interest payable on the Notes will be computed on the basis of a 360-day year consisting of twelve 30-day months.</w:t>
      </w:r>
    </w:p>
    <w:p>
      <w:pPr>
        <w:spacing w:after="0" w:line="16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Notes will be issued only in fully registered form, without coupons, in minimum denominations of $2,000 in principal amount and integral multiples of $1,000 in excess thereof.</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any interest payment date or the maturity date of the Notes is not a business day, then the related payment of interest and/or principal payable on such date will be paid on the next succeeding business day with the same force and effect as if made on such interest payment date or maturity date and no further interest will accrue in respect of the delay. The term “business day” means any day other than a Saturday, a Sunday or any other day on which banking institutions in The City of New York are authorized or required by law, regulation or executive order to close.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Issues</w:t>
      </w:r>
    </w:p>
    <w:p>
      <w:pPr>
        <w:spacing w:after="0" w:line="121" w:lineRule="exact"/>
        <w:rPr>
          <w:sz w:val="20"/>
          <w:szCs w:val="20"/>
          <w:color w:val="auto"/>
        </w:rPr>
      </w:pPr>
    </w:p>
    <w:p>
      <w:pPr>
        <w:jc w:val="both"/>
        <w:ind w:left="120" w:right="400" w:firstLine="440"/>
        <w:spacing w:after="0" w:line="259" w:lineRule="auto"/>
        <w:rPr>
          <w:sz w:val="20"/>
          <w:szCs w:val="20"/>
          <w:color w:val="auto"/>
        </w:rPr>
      </w:pPr>
      <w:r>
        <w:rPr>
          <w:rFonts w:ascii="Arial" w:cs="Arial" w:eastAsia="Arial" w:hAnsi="Arial"/>
          <w:sz w:val="18"/>
          <w:szCs w:val="18"/>
          <w:color w:val="auto"/>
        </w:rPr>
        <w:t>We may from time to time, without notice to or the consent of the holders or beneficial owners of the Notes, create and issue additional notes having the same ranking and the same interest rate, maturity and other terms as the Notes. Any additional notes having such similar terms could be considered part of the same series of notes under the indenture, provided that if the additional notes are not fungible with the Notes for U.S. federal income tax purposes, the additional notes will have a separate CUSIP number.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New Notes will be our senior unsecured obligations and will rank equal in right of payment with the Old Notes and our other existing and future senior unsecured obligations that are not, by their terms, expressly subordinated in right of payment to the New Notes, and senior in right of payment to any of our future subordinated indebtedness.</w:t>
      </w:r>
    </w:p>
    <w:p>
      <w:pPr>
        <w:spacing w:after="0" w:line="18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New Notes will be effectively subordinated to all of our existing and future secured indebtedness and other secured liabilities to the extent of the value of the assets securing such indebtedness and liabilities. The indenture limits the amount of secured indebtedness that we or our Subsidiaries (as defined below) may incur pursuant to the covenant described under the heading “—Limitation on Liens.” This covenant is subject to important exceptions described under such heading. As of March 31, 2022, we had no secured debt outstanding.</w:t>
      </w:r>
    </w:p>
    <w:p>
      <w:pPr>
        <w:spacing w:after="0" w:line="171"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We conduct substantially all of our operations through subsidiaries, which generate a substantial portion of our operating income and cash. As a result, distributions or advances from our subsidiaries are a major source of funds necessary to meet our debt service and other obligations. Contractual provisions, laws or regulations, as well as any subsidiary’s financial condition and operating requirements, may limit our ability to obtain cash required to service our debt obligations, including making payments on the Notes.</w:t>
      </w:r>
    </w:p>
    <w:p>
      <w:pPr>
        <w:spacing w:after="0" w:line="187" w:lineRule="exact"/>
        <w:rPr>
          <w:sz w:val="20"/>
          <w:szCs w:val="20"/>
          <w:color w:val="auto"/>
        </w:rPr>
      </w:pPr>
    </w:p>
    <w:p>
      <w:pPr>
        <w:jc w:val="both"/>
        <w:ind w:left="120" w:right="240" w:firstLine="440"/>
        <w:spacing w:after="0" w:line="301" w:lineRule="auto"/>
        <w:rPr>
          <w:sz w:val="20"/>
          <w:szCs w:val="20"/>
          <w:color w:val="auto"/>
        </w:rPr>
      </w:pPr>
      <w:r>
        <w:rPr>
          <w:rFonts w:ascii="Arial" w:cs="Arial" w:eastAsia="Arial" w:hAnsi="Arial"/>
          <w:sz w:val="16"/>
          <w:szCs w:val="16"/>
          <w:color w:val="auto"/>
        </w:rPr>
        <w:t>The New Notes will be structurally subordinated to all existing and future obligations of our subsidiaries, including claims with respect to trade payables. This means that holders of the New Notes will have a junior position to the claims of creditors of our direct and indirect subsidiaries on the assets and earnings of such subsidiaries. The indenture does not limit the amount of debt that our subsidiaries are permitted to incur. As of March 31, 2022, neither we nor our subsidiaries had any secured debt outstanding, and our subsidiaries had total liabilities of approximately $5.3 billion.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any time prior to the Par Call Date (as defined below), from time to time, the Notes are redeemable, as a whole or in part, at our option, on at least 10 days, but not more than 60 days, prior notice mailed to the registered address of each holder of the Notes to be redeemed (or otherwise delivered in accordance with the applicable procedures of DTC), at a redemption price equal to the greater of:</w:t>
      </w:r>
    </w:p>
    <w:p>
      <w:pPr>
        <w:spacing w:after="0" w:line="8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 of principal amount of the Notes to be redeemed, or</w:t>
      </w:r>
    </w:p>
    <w:p>
      <w:pPr>
        <w:spacing w:after="0" w:line="130"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(through the Par Call Date assuming for such purpose that the Notes matured on the Par Call Date) of interest and principal thereon (exclusive of interest accrued and unpaid to, but not including, the date of redemption) discounted to the date of redemption on a semiannual basis, assuming a 360-day year consisting of twelve 30-day months, at the Treasury Rate (as defined below) plus 25 basis points,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plus accrued and unpaid interest to, but not including, the date of redemption.</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addition, at any time on or after the Par Call Date, the Notes may be redeemed, as a whole or in part, at our option, on at least 10 days, but not more than 60 days, prior notice mailed to the registered address of each holder of the Notes to be redeemed (or otherwise delivered in accordance with the applicable procedures of DTC), at a redemption price equal to 100% of the principal amount of the Notes to be redeemed on the redemption date plus accrued and unpaid interest to, but not including, the date of redemption.</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“Comparable Treasury Issue” means the U.S. Treasury security or securities selected by an Independent Investment Banker (as defined below) as having an actual or interpolated maturity comparable to the remaining term of the Notes (“Remaining Life”) to be redeemed that would be utilized, at the time of selection and in accordance with customary financial practice, in pricing new issues of corporate debt securities of a comparable maturity to the remaining term of the Notes.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“Comparable Treasury Price” means, with respect to any Notes on any redemption date, (A) the average of the Reference Treasury Dealer Quotations (as defined below) for such redemption date, after excluding the highest and lowest such Reference Treasury Dealer Quotations, or (B) if the Independent Investment Banker obtains fewer than four such Reference Treasury Dealer Quotations, the average of all such quotations.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“Independent Investment Banker” means one of the Reference Treasury Dealers (as defined below) appointed by us.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 Call Date” means August 15, 2050 (six months prior to the maturity date of the Notes).</w:t>
      </w:r>
    </w:p>
    <w:p>
      <w:pPr>
        <w:spacing w:after="0" w:line="22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“Reference Treasury Dealer” means each of Deutsche Bank Securities Inc. and Citigroup Global Markets Inc. or their respective affiliates, which are primary U.S. Government securities dealers in The City of New York, and their respective successors plus three other primary U.S. Government securities dealers in The City of New York selected by us; provided, however, that if any of the foregoing or their affiliates shall cease to be a primary U.S. Government securities dealer in The City of New York (a “Primary Treasury Dealer”), we will substitute therefor another Primary Treasury Dealer.</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applicable Comparable Treasury Issue (expressed in each case as a percentage of its principal amount) quoted in writing to the Independent Investment Banker by the Reference Treasury Dealers at 3:30 p.m. New York time on the third business day preceding such redemption date.</w:t>
      </w:r>
    </w:p>
    <w:p>
      <w:pPr>
        <w:spacing w:after="0" w:line="187"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“Treasury Rate” means, with respect to a redemption date: (1) the rate per annum equal to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provided that, if no maturity is within three months before or after the Remaining Life of the Notes to be redeemed, yields for the two published maturities most closely corresponding to the Comparable Treasury Issue shall be determined and the Treasury Rate shall be interpolated or extrapolated from those yields on a straight-line basis, rounding to the nearest month; or (2) if such release (or any successor release) is not published during the week preceding the calculation date or does not contain such yields, the rate per year equal to the semiannual equivalent yield to maturity or interpolated (on a day count basis) of the Comparable Treasury Issue, assuming a price for the applicable Comparable Treasury Issue (expressed as a percentage of its principal amount) equal to the applicable Comparable Treasury Price for such redemption date. The Treasury Rate shall be calculated on the third business day preceding the redemption date.</w:t>
      </w:r>
    </w:p>
    <w:p>
      <w:pPr>
        <w:spacing w:after="0" w:line="17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and after the redemption date, interest will cease to accrue on the Notes or any portion thereof called for redemption, unless we default in the payment of the redemption price. On or before the redemption date, we will deposit with a paying agent, or the trustee, funds sufficient to pay the redemption price of and accrued and unpaid interest on the Notes to be redeemed on such date. If less than all of the Notes are to be redeemed, the Notes to be redeemed will be selected by DTC in accordance with its standard procedures. If the Notes to be redeemed are not global notes then held by DTC, or DTC prescribes no method of selection, the trustee will select the Notes to be redeemed on a pro rata basis, by lot, or by any other method the trustee deems fair and appropriate and subject to and otherwise in accordance with the procedures of DTC. Any redemption or notice of redemption may, at our discretion, be subject to one or more conditions precedent, and, at our discretion, the redemption date may be delayed until such time as any or all such conditions shall be satisfied. We will provide written notice to the trustee prior to the close of business two business days prior to the redemption date if any such redemption has been rescinded or delayed, and upon receipt the trustee shall provide such notice to each holder of the Notes in the same manner in which the notice of redemption was given.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 make an offer (the “Change of Control Offer”) to each holder of the Notes to repurchase all or any part (equal to $2,000 in principal amount or an integral multiple of $1,000 in excess thereof) of that holder’s Notes on the terms set forth in the Notes. In the Change of Control Offer, we will be required to offer payment in cash equal to 101% of the aggregate principal amount of Notes repurchased, plus accrued and unpaid interest, if any, on the Notes repurchased to but not including the date of repurchase (the “Change of Control Payment”). Within 30 days following any Change of Control Triggering Event or, at our option, prior to any Change of Control, but after public announcement of the transaction that constitutes or may constitute the Change of Control, a notice will be mailed (or otherwise delivered in accordance with the applicable procedures of DTC) to holders of the Notes describing the transaction that constitutes or may constitute the Change of Control Triggering Event and offering to repurchase the Notes on the date specified in the notice, which date will be no earlier than 10 days and no later than 60 days from the date such notice is mailed (or otherwise delivered in accordance with the applicable procedures of DTC) or, if the notice is mailed (or otherwise delivered) prior to the Change of Control, no earlier than 10 days and no later than 60 days from the date on which the Change of Control Triggering Event occurs (the “Change of Control Payment Date”). The notice will, if mailed (or otherwise delivered) prior to the date of consummation of the Change of Control, state that the offer to purchase is conditioned on the Change of Control Triggering Event occurring on or prior to the Change of Control Payment Date.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accept for payment all Notes or portions of Notes properly tendered and not properly withdrawn pursuant to the Change of Control Offer;</w:t>
      </w:r>
    </w:p>
    <w:p>
      <w:pPr>
        <w:spacing w:after="0" w:line="153" w:lineRule="exact"/>
        <w:rPr>
          <w:rFonts w:ascii="Arial" w:cs="Arial" w:eastAsia="Arial" w:hAnsi="Arial"/>
          <w:sz w:val="16"/>
          <w:szCs w:val="16"/>
          <w:color w:val="auto"/>
        </w:rPr>
      </w:pPr>
    </w:p>
    <w:p>
      <w:pPr>
        <w:ind w:left="1080" w:right="4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 not properly withdrawn; and</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70" w:lineRule="exact"/>
        <w:rPr>
          <w:sz w:val="20"/>
          <w:szCs w:val="20"/>
          <w:color w:val="auto"/>
        </w:rPr>
      </w:pPr>
    </w:p>
    <w:p>
      <w:pPr>
        <w:jc w:val="both"/>
        <w:ind w:left="120" w:right="120" w:firstLine="440"/>
        <w:spacing w:after="0" w:line="257"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New Notes by virtue of any such conflict.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“Change of Control” means the occurrence of any of the following: (1) the consummation of any transaction (including, without limitation, any merger or consolidation) the result of which is that any “person” (as that term is used in Section 13(d) of the Exchange Act) (other than us or one of our Subsidiaries) becomes the beneficial owner (as defined in Rules 13d-3 and 13d-5 under the Exchange Act), directly or indirectly, of more than 50% of our Voting Stock (as defined below) or other Voting Stock into which our Voting Stock is reclassified, consolidated, exchanged or changed, measured by voting power rather than number of shares; provided,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however, that a Person (as defined below)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(as that term is used in Section 13(d) of the Exchange Act) (other than to us or one of our Subsidiaries) (a “Transferee”), provided, however, that none of the circumstances in this clause (2) will be a Change of Control if the persons that beneficially own our Voting Stock immediately prior to the transaction own, directly or indirectly, shares representing a majority of the total Voting Stock as measured by voting power rather than number of shares of the Transferee; (3) we consolidate with, or merge with or into, any “person” (as that term is used in Section 13(d) of the Exchange Act) or any such Person consolidates with, or merges with or into, us, in either case, pursuant to a transaction in which any of our outstanding Voting Stock or the Voting Stock of such other Person is converted into or exchanged for cash, securities or other property, other than pursuant to a transaction in which shares of our Voting Stock outstanding immediately prior to the transaction constitute, or are converted into or exchanged for, a majority of the Voting Stock of the surviving Person immediately after giving effect to such transaction; or (4) the adoption of a plan relating to our liquidation or dissolution.</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 (as defined below).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“Fitch” means Fitch Inc., or any successor thereto.</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“Investment Grade Rating” means a rating equal to or higher than Baa3 (or the equivalent) by Moody’s (as defined below) and BBB- (or the equivalent) by S&amp;P (as defined below) or Fitch, and the equivalent investment grade credit rating from any additional rating agency or Rating Agencies (as defined below) selected by the Company.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“Moody’s” means Moody’s Investors Service, Inc., or any successor thereto.</w:t>
      </w:r>
    </w:p>
    <w:p>
      <w:pPr>
        <w:spacing w:after="0" w:line="22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“Rating Agencies” means (1) each of Fitch, Moody’s and S&amp;P and (2) if any of Fitch, Moody’s and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and which is reasonably acceptable to the trustee as a replacement agency for Fitch, Moody’s or S&amp;P, or all of them, as the case may be.</w:t>
      </w:r>
    </w:p>
    <w:p>
      <w:pPr>
        <w:spacing w:after="0" w:line="17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“Rating Event” means the rating on the Notes is lowered by at least two of the three Rating Agencies and the Notes are rated below an Investment Grade Rating by at least two of the three Rating Agencies, on any day during the period commencing on the earlier of the date of the first public notice of the occurrence of a Change of Control or our intention to effect a Change of Control and ending 60 days following consummation of such Change of Control (which period will be extended so long as the rating of the Notes is under publicly announced consideration for a possible downgrade by any of the Rating Agencies).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“S&amp;P” means Standard &amp; Poor’s Ratings Services, a Standard &amp; Poor’s Financial Services LLC business, or any successor thereto.</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 of the Exchange Act) as of any date, the capital stock of such person that is at the time entitled to vote generally in the election of the board of directors of such person.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the sale, lease, transfer, conveyance or other disposition of less than all of our assets and the assets of our Subsidiaries, taken as a whole, to one or more “persons” (as that term is used in Section 13(d) of the Exchange Act) (other than to us or one of our Subsidiaries) may be uncertain.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Sinking Fund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not be entitled to the benefit of any sinking fund.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Other than as provided under “—Exempted Liens and Sale and Leaseback Transactions,” we will not, and will not permit any Subsidiary of ours to, create or assume any Indebtedness secured by any Lien on any of our or their respective Properties unless the Notes are secured by such Lien equally and ratably with, or prior to, the Indebtedness secured by such Lien. This restriction does not apply to Indebtedness that is secured by:</w:t>
      </w:r>
    </w:p>
    <w:p>
      <w:pPr>
        <w:spacing w:after="0" w:line="54"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existing on the date of the issuance of the Old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securing only the Notes;</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on Property or shares of stock in respect of Indebtedness of a Person existing at the time such Person becomes a Subsidiary of ours or is merged into or consolidated with, or its assets are acquired by, us or any Subsidiary of ours (provided that such Lien was not incurred in anticipation of such transaction and was in existence prior to such transaction) so long as such Lien does not extend to any other Property and the Indebtedness so secured is not increased;</w:t>
      </w:r>
    </w:p>
    <w:p>
      <w:pPr>
        <w:spacing w:after="0" w:line="92" w:lineRule="exact"/>
        <w:rPr>
          <w:rFonts w:ascii="Arial" w:cs="Arial" w:eastAsia="Arial" w:hAnsi="Arial"/>
          <w:sz w:val="18"/>
          <w:szCs w:val="18"/>
          <w:color w:val="auto"/>
        </w:rPr>
      </w:pPr>
    </w:p>
    <w:p>
      <w:pPr>
        <w:ind w:left="1080" w:right="60" w:hanging="424"/>
        <w:spacing w:after="0" w:line="273"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Liens to secure Indebtedness incurred for the purpose of all or any part of a Property’s purchase price or cost of construction or additions, repairs, alterations, or other improvements; provided that (1) the principal amount of any Indebtedness secured by such Lien does not exceed 100% of such Property’s purchase price or cost, (2) such Lien does not extend to or cover any other Property other than the Property so purchased, constructed or on which such additions, repairs, alterations or other improvements were so made and (3) such Lien is incurred prior to or within 270 days after the acquisition of such Property or the completion of construction or such additions, repairs, alterations or other improvements and the full operation of such Property thereafter;</w:t>
      </w:r>
    </w:p>
    <w:p>
      <w:pPr>
        <w:spacing w:after="0" w:line="83"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in favor of the United States or any state thereof, or any instrumentality of either, to secure certain payments pursuant to any contract or statute;</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for taxes or assessments or other governmental charges or levies which are not overdue for a period exceeding 60 days unless such Liens are being contested in good faith and for which adequate reserves are being maintained, to the extent required by generally accepted accounting principles;</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title exceptions, easements, licenses, leases and other similar Liens that are not consensual and that do not materially impair the use of the Property subject thereto;</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to secure obligations under worker’s compensation laws, unemployment compensation, old-age pensions and other social security benefits or similar legislation;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arising out of legal proceedings, including Liens arising out of judgments or awards;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warehousemen’s, materialmen’s, carrier’s, landlord’s and other similar Liens for sums not overdue for a period exceeding 60 days unless such Liens are being contested in good faith and for which adequate reserves are being maintained, to the extent required by generally accepted accounting principles;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80" w:hanging="424"/>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Liens incurred to secure the performance of statutory obligations, surety or appeal bonds, performance or return-of-money bonds, insurance, self-insurance or other obligations of a like nature incurred in the ordinary course of business;</w:t>
      </w:r>
    </w:p>
    <w:p>
      <w:pPr>
        <w:spacing w:after="0" w:line="51"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that are rights of set-off relating to the establishment of depository relations with banks not given in connection with the issuance of Indebtedness;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on the assets of a special purpose Subsidiary resulting from securitization transactions with respect to accounts receivable, royalties and similar assets included in such securitization transactions;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on key-executive life insurance policies granted to secure our Indebtedness against the cash surrender value thereof;</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Liens encumbering customary initial deposits and margin deposits and other Liens in the ordinary course of business, in each case securing Hedging Obligations and forward contract, option, futures contracts, futures options or similar agreements or arrangements designed to protect us or any of our Subsidiaries from fluctuations in interest rates, currencies or the price of commodities;</w:t>
      </w:r>
    </w:p>
    <w:p>
      <w:pPr>
        <w:spacing w:after="0" w:line="70"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us or any of our Subsidiaries in the ordinary course of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in our favor or the favor of any of our Subsidiaries; or</w:t>
      </w:r>
    </w:p>
    <w:p>
      <w:pPr>
        <w:spacing w:after="0" w:line="130" w:lineRule="exact"/>
        <w:rPr>
          <w:rFonts w:ascii="Arial" w:cs="Arial" w:eastAsia="Arial" w:hAnsi="Arial"/>
          <w:sz w:val="18"/>
          <w:szCs w:val="18"/>
          <w:color w:val="auto"/>
        </w:rPr>
      </w:pPr>
    </w:p>
    <w:p>
      <w:pPr>
        <w:ind w:left="1080" w:right="20" w:hanging="424"/>
        <w:spacing w:after="0" w:line="296"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Liens to secure any extension, renewal, refinancing or refunding (or successive extensions, renewals, refinancings or refundings), in whole or in part, of any Indebtedness secured by Liens referred to in the foregoing bullets or Liens created in connection with any amendment, consent or waiver relating to such Indebtedness, so long as such Lien does not extend to any other Property and the Indebtedness so secured does not exceed the fair market value (as determined by our board of directors) of the assets subject to such Liens at the time of such extension, renewal, refinancing or refunding, or such amendment, consent or waiver, as the case may be.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Other than as provided under “—Exempted Liens and Sale and Leaseback Transactions,” we will not, and will not permit any of our Subsidiaries to, enter into any Sale and Leaseback Transaction with respect to any of our or their respective Properties, the acquisition or completion of construction and commencement of full operations of which has occurred more than 270 days prior thereto, unless:</w:t>
      </w:r>
    </w:p>
    <w:p>
      <w:pPr>
        <w:spacing w:after="0" w:line="8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transaction was entered into prior to the first issue date of the Old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such Subsidiary would be entitled to incur Indebtedness secured by a mortgage on the Property to be leased in an amount equal to the Attributable Debt with respect to such Sale and Leaseback Transaction without equally and ratably securing the Notes pursuant to the first paragraph of “—Limitation on Liens” above;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lease is for a period not in excess of five years, including renewal rights; 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the Subsidiary, prior to or within 270 days after the sale of such Property in connection with the Sale and Leaseback Transaction is completed, applies the net cash proceeds of the sale of the Property leased to:</w:t>
      </w:r>
    </w:p>
    <w:p>
      <w:pPr>
        <w:spacing w:after="0" w:line="76"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retirement of the Notes or debt of ours ranking equally with the Notes or to the retirement of any debt of a Subsidiary of ours, or</w:t>
      </w:r>
    </w:p>
    <w:p>
      <w:pPr>
        <w:spacing w:after="0" w:line="142" w:lineRule="exact"/>
        <w:rPr>
          <w:rFonts w:ascii="Arial" w:cs="Arial" w:eastAsia="Arial" w:hAnsi="Arial"/>
          <w:sz w:val="17"/>
          <w:szCs w:val="17"/>
          <w:color w:val="auto"/>
        </w:rPr>
      </w:pPr>
    </w:p>
    <w:p>
      <w:pPr>
        <w:ind w:left="1080" w:right="2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acquisition of different property, facilities or equipment or the expansion of our existing business, including the acquisition of other businesses.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Exempted Liens and Sale and Leaseback Transactions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Notwithstanding the restrictions described under the headings “—Limitation on Liens” or “—Limitation on Sale and Leaseback Transactions,” we or any Subsidiary of ours may create or assume any Liens or enter into any Sale and Leaseback Transactions not otherwise permitted as described above, if the sum of the following does not exceed 10% of Consolidated Total Assets (as defined below):</w:t>
      </w:r>
    </w:p>
    <w:p>
      <w:pPr>
        <w:spacing w:after="0" w:line="71" w:lineRule="exact"/>
        <w:rPr>
          <w:sz w:val="20"/>
          <w:szCs w:val="20"/>
          <w:color w:val="auto"/>
        </w:rPr>
      </w:pPr>
    </w:p>
    <w:p>
      <w:pPr>
        <w:ind w:left="1080" w:right="20" w:hanging="424"/>
        <w:spacing w:after="0" w:line="308"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outstanding Indebtedness secured by such Liens (not including any Liens permitted under “—Limitation on Liens” which amount does not include any Liens permitted under the provisions of this “—Exempted Liens and Sale and Leaseback Transactions”); plus</w:t>
      </w:r>
    </w:p>
    <w:p>
      <w:pPr>
        <w:spacing w:after="0" w:line="51" w:lineRule="exact"/>
        <w:rPr>
          <w:rFonts w:ascii="Arial" w:cs="Arial" w:eastAsia="Arial" w:hAnsi="Arial"/>
          <w:sz w:val="17"/>
          <w:szCs w:val="17"/>
          <w:color w:val="auto"/>
        </w:rPr>
      </w:pPr>
    </w:p>
    <w:p>
      <w:pPr>
        <w:ind w:left="1080" w:right="60" w:hanging="424"/>
        <w:spacing w:after="0" w:line="286"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Attributable Debt in respect of such Sale and Leaseback Transaction entered into (not including any Sale and Leaseback Transactions permitted under “—Limitation on Sale and Leaseback Transactions” which amount does not include any Sale and Leaseback Transactions permitted under the provisions of this “—Exempted Liens and Sale and Leaseback Transactions”),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measured, in each case, at the time such Lien is incurred or any such Sale and Leaseback Transaction is entered into by us or such Subsidiary of ours.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may merge or consolidate with another Person and may sell, transfer or lease all or substantially all of our assets to another Person if all the following conditions are met:</w:t>
      </w:r>
    </w:p>
    <w:p>
      <w:pPr>
        <w:spacing w:after="0" w:line="76" w:lineRule="exact"/>
        <w:rPr>
          <w:sz w:val="20"/>
          <w:szCs w:val="20"/>
          <w:color w:val="auto"/>
        </w:rPr>
      </w:pPr>
    </w:p>
    <w:p>
      <w:pPr>
        <w:ind w:left="1080" w:right="46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merger, consolidation or sale of assets must not cause an event of default. See “—Events of Default.” An event of default for this purpose would also include any event that would be an event of default if the notice or time requirements were disregarded;</w:t>
      </w:r>
    </w:p>
    <w:p>
      <w:pPr>
        <w:spacing w:after="0" w:line="29"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be organized under the laws of the U.S., any state thereof or the District of Columbia;</w:t>
      </w:r>
    </w:p>
    <w:p>
      <w:pPr>
        <w:spacing w:after="0" w:line="75" w:lineRule="exact"/>
        <w:rPr>
          <w:rFonts w:ascii="Arial" w:cs="Arial" w:eastAsia="Arial" w:hAnsi="Arial"/>
          <w:sz w:val="18"/>
          <w:szCs w:val="18"/>
          <w:color w:val="auto"/>
        </w:rPr>
      </w:pPr>
    </w:p>
    <w:p>
      <w:pPr>
        <w:ind w:left="1080" w:right="46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we are not the surviving entity, the Person we would merge or consolidate with, or sell all or substantially all of our assets to, must expressly assume by supplemental indenture all of our obligations under the Notes and the indenture;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must deliver specific certification and documents to the trustee.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“event of default” means any of the following:</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do not pay the principal of or any premium on the Notes on their due date;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do not pay interest on the Notes within 30 days of their due date whether at maturity, upon redemption or upon acceleration (unless the entire amount of the payment is deposited by us with the trustee or with a paying agent for application to pay such interest prior to the expiration of the 30-day period);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remain in breach of a covenant in respect of the Notes for 90 days after we receive a written notice of default in accordance with the provisions of the indenture stating we are in breach and requiring that we remedy the breach;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occur with respect to us or any significant Subsidiary of ours.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an event of default (other than due to certain events in bankruptcy, insolvency or reorganization) has occurred and has not been cured, the trustee or the holders of at least 25% in aggregate principal amount of the Notes may, by a notice in writing to us (and to the trustee if given by the holders), declare the entire principal amount (and premium, if any) of, and all the accrued and unpaid interest on the Notes to be due and immediately payable. This is called a declaration of acceleration of maturity. If an event of default occurs because of certain events in bankruptcy, insolvency or reorganization relating to us, the principal amount of the Notes will be automatically accelerated, without any action by the trustee or any holder. Holders of a majority in aggregate principal amount of the Notes may also waive certain past defaults under the indenture on behalf of all of the holders of the Notes. A declaration of acceleration of maturity may be canceled, under specific circumstances, by the holders of at least a majority in aggregate principal amount of the Notes.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each fiscal year, to furnish to the trustee a statement as to our compliance with the indenture. The trustee will generally give the holders of Notes notice within 90 days of the occurrence of an event of default known to the trustee.</w:t>
      </w:r>
    </w:p>
    <w:p>
      <w:pPr>
        <w:spacing w:after="0" w:line="184"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of the holders unless the holders offer the trustee indemnity and/or security satisfactory to it. If indemnity and/or security satisfactory to the trustee is provided, the holders of a majority in aggregate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the right, remedy or event of default.</w:t>
      </w:r>
    </w:p>
    <w:p>
      <w:pPr>
        <w:spacing w:after="0" w:line="16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Before you are allowed to bypass the trustee and bring a lawsuit or other formal legal action or take other steps to enforce your rights or protect your interests relating to the Notes, the following must occur:</w:t>
      </w:r>
    </w:p>
    <w:p>
      <w:pPr>
        <w:spacing w:after="0" w:line="7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must make a written request that the trustee take action because of the default and must offer the trustee indemnity and/or security satisfactory to it against the cost and other liabilities of taking that action;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trustee must not have taken action for 60 days after receipt of the above notice and offer of indemnity and/or security; and</w:t>
      </w:r>
    </w:p>
    <w:p>
      <w:pPr>
        <w:spacing w:after="0" w:line="142"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must not have given the trustee a direction inconsistent with the above notice.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However, you are entitled at any time to bring a lawsuit for the payment of money due on your Notes on or after the due date.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Full Defeasance</w:t>
      </w:r>
      <w:r>
        <w:rPr>
          <w:rFonts w:ascii="Arial" w:cs="Arial" w:eastAsia="Arial" w:hAnsi="Arial"/>
          <w:sz w:val="18"/>
          <w:szCs w:val="18"/>
          <w:color w:val="auto"/>
        </w:rPr>
        <w:t>. If the Internal Revenue Service (the “IRS”) issues a ruling or there is a change in applicable U.S. federal tax law,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we can legally release ourselves from any payment or other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320" w:top="459" w:right="5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obligations on the Notes, called “full defeasance,” if we put in place the following other arrangements for you to be repaid:</w:t>
      </w:r>
    </w:p>
    <w:p>
      <w:pPr>
        <w:spacing w:after="0" w:line="131" w:lineRule="exact"/>
        <w:rPr>
          <w:sz w:val="20"/>
          <w:szCs w:val="20"/>
          <w:color w:val="auto"/>
        </w:rPr>
      </w:pPr>
    </w:p>
    <w:p>
      <w:pPr>
        <w:jc w:val="both"/>
        <w:ind w:left="1080" w:right="520" w:hanging="424"/>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possibly, their earliest redemption date; and</w:t>
      </w:r>
    </w:p>
    <w:p>
      <w:pPr>
        <w:spacing w:after="0" w:line="70" w:lineRule="exact"/>
        <w:rPr>
          <w:rFonts w:ascii="Arial" w:cs="Arial" w:eastAsia="Arial" w:hAnsi="Arial"/>
          <w:sz w:val="17"/>
          <w:szCs w:val="17"/>
          <w:color w:val="auto"/>
        </w:rPr>
      </w:pPr>
    </w:p>
    <w:p>
      <w:pPr>
        <w:ind w:left="1080" w:right="34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you will not recognize income, gain or loss for U.S. federal income tax purposes as a result of the full defeasance and that you will not be taxed on the Notes any differently than if the full defeasance had not occurred.</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we accomplish full defeasance, as described above, you would have to rely solely on the trust deposit for repayment on the Notes. You could not look to us for repayment in the unlikely event of any shortfall. Conversely, the trust deposit would most likely be protected from claims of our lenders and other creditors if we ever become bankrupt or insolvent.</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i w:val="1"/>
          <w:iCs w:val="1"/>
          <w:color w:val="auto"/>
        </w:rPr>
        <w:t>Covenant Defeasance</w:t>
      </w:r>
      <w:r>
        <w:rPr>
          <w:rFonts w:ascii="Arial" w:cs="Arial" w:eastAsia="Arial" w:hAnsi="Arial"/>
          <w:sz w:val="17"/>
          <w:szCs w:val="17"/>
          <w:color w:val="auto"/>
        </w:rPr>
        <w:t>. We can be released from the restrictive covenants in the Notes if we make the arrangements described below. This is called</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 defeasance.” In that event, you would lose the protection of those restrictive covenants but would gain the protection of having money and securities set aside in trust to repay the Notes. In order to achieve covenant defeasance, we must do the following:</w:t>
      </w:r>
    </w:p>
    <w:p>
      <w:pPr>
        <w:spacing w:after="0" w:line="71" w:lineRule="exact"/>
        <w:rPr>
          <w:sz w:val="20"/>
          <w:szCs w:val="20"/>
          <w:color w:val="auto"/>
        </w:rPr>
      </w:pPr>
    </w:p>
    <w:p>
      <w:pPr>
        <w:jc w:val="both"/>
        <w:ind w:left="1080" w:right="520" w:hanging="424"/>
        <w:spacing w:after="0" w:line="286"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their earliest possible redemption date; and</w:t>
      </w:r>
    </w:p>
    <w:p>
      <w:pPr>
        <w:spacing w:after="0" w:line="70" w:lineRule="exact"/>
        <w:rPr>
          <w:rFonts w:ascii="Arial" w:cs="Arial" w:eastAsia="Arial" w:hAnsi="Arial"/>
          <w:sz w:val="17"/>
          <w:szCs w:val="17"/>
          <w:color w:val="auto"/>
        </w:rPr>
      </w:pPr>
    </w:p>
    <w:p>
      <w:pPr>
        <w:jc w:val="both"/>
        <w:ind w:left="1080" w:right="32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under current U.S. federal income tax law you will not recognize income, gain or loss for U.S. federal income tax purposes as a result of the covenant defeasance and that you will not be taxed on the Notes any differently than if the covenant defeasance had not occurred.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we accomplish covenant defeasance, the following provisions of the indenture and the Notes would no longer apply unless otherwise specified:</w:t>
      </w:r>
    </w:p>
    <w:p>
      <w:pPr>
        <w:spacing w:after="0" w:line="154"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promises regarding conduct of our business and other matters and any other covenants applicable to the Notes;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portion of the definition of an event of default relating to a breach of such covenants.</w:t>
      </w:r>
    </w:p>
    <w:p>
      <w:pPr>
        <w:spacing w:after="0" w:line="225"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If we accomplish covenant defeasance, you can still look to us for repayment of the Notes if there were a shortfall in the trust deposit. In fact, if one of the remaining events of default occurred (such as our bankruptcy) and the Notes become immediately due and payable, there may be such a shortfall. Depending on the event causing the default, of course, you may not be able to obtain payment of the shortfall.</w:t>
      </w:r>
    </w:p>
    <w:p>
      <w:pPr>
        <w:spacing w:after="0" w:line="165"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In order to exercise either full defeasance or covenant defeasance, we must comply with certain conditions, and no event or condition can exist that would prevent us from making payments of principal, premium and interest, if any, on the Notes on the date the irrevocable deposit is made or at any time during the period ending on the 91st day after the deposit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With respect to the Notes, we and the trustee will send notices regarding the Notes only to registered holders, using their addresses as listed in the list of registered 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generally may modify and amend the indenture with respect to the Notes with the consent of the holders of at least a majority in aggregate principal amount of the outstanding Notes. However, we may not make any modification or amendment without the consent of each holder of the Notes if such action would:</w:t>
      </w:r>
    </w:p>
    <w:p>
      <w:pPr>
        <w:spacing w:after="0" w:line="8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stated maturity of, or the principal of or premium or interest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any amounts due on the Notes or payable upon acceleration of the maturity of the Notes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this prospectus) or currency of payment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modify the Notes to contractually subordinate the Notes in right of payment to other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modify or amend the indenture;</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 and</w:t>
      </w:r>
    </w:p>
    <w:p>
      <w:pPr>
        <w:spacing w:after="0" w:line="75" w:lineRule="exact"/>
        <w:rPr>
          <w:rFonts w:ascii="Arial" w:cs="Arial" w:eastAsia="Arial" w:hAnsi="Arial"/>
          <w:sz w:val="18"/>
          <w:szCs w:val="18"/>
          <w:color w:val="auto"/>
        </w:rPr>
      </w:pPr>
    </w:p>
    <w:p>
      <w:pPr>
        <w:ind w:left="1080" w:right="10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modification and waiver except to increase the voting requirements.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aggregate principal amount of the outstanding Notes may, on behalf of the holders of all the Notes, waive our compliance with certain provisions of the indenture. The holders of a majority in aggregate principal amount of the outstanding Notes may, on behalf of the holders of all the Notes, waive any past default under the indenture and its consequences, except a default in the payment of the principal of or premium or interest on any Notes or in respect of a covenant or provision which cannot be modified or amended without the consent of the holder of each outstanding note; provided, however, that the holders of a majority in aggregate principal amount of the outstanding Notes may rescind an acceleration and its consequences, including any payment default that resulted from such acceleration.</w:t>
      </w:r>
    </w:p>
    <w:p>
      <w:pPr>
        <w:spacing w:after="0" w:line="16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Notwithstanding the foregoing, without the consent of any holder of Notes, we may amend or supplement the indenture or the Notes to, among other reasons:</w:t>
      </w:r>
    </w:p>
    <w:p>
      <w:pPr>
        <w:spacing w:after="0" w:line="76" w:lineRule="exact"/>
        <w:rPr>
          <w:sz w:val="20"/>
          <w:szCs w:val="20"/>
          <w:color w:val="auto"/>
        </w:rPr>
      </w:pPr>
    </w:p>
    <w:p>
      <w:pPr>
        <w:ind w:left="1080" w:right="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cure any ambiguity, defect or inconsistency, provided such amendment or supplement does not adversely affect the rights of any holder of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comply with the covenant described under “—Merger, Consolidation or Sale of Assets;”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 a successor trustee with respect to the Notes and to add to or change any of the provisions of the indenture necessary to provide for the administration of the trusts in the indenture by more than one trustee;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comply with the requirements of the SEC in order to maintain the qualification of the indenture under the Trust Indenture Act of 1939;</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any change that would not adversely affect the rights of any holder of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for the issuance of any additional Notes as permitted by the indenture;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conform the indenture or the Notes to the description thereof set forth in this prospectus.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indenture will cease to be of further effect, and we will be deemed to have satisfied and discharged the indenture with respect to the Notes, when the following conditions have been satisfied:</w:t>
      </w:r>
    </w:p>
    <w:p>
      <w:pPr>
        <w:spacing w:after="0" w:line="76" w:lineRule="exact"/>
        <w:rPr>
          <w:sz w:val="20"/>
          <w:szCs w:val="20"/>
          <w:color w:val="auto"/>
        </w:rPr>
      </w:pPr>
    </w:p>
    <w:p>
      <w:pPr>
        <w:ind w:left="1080" w:right="3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Notes not previously delivered to the trustee for cancellation have become due and payable or will become due and payable at their stated maturity or on a redemption date within one year;</w:t>
      </w:r>
    </w:p>
    <w:p>
      <w:pPr>
        <w:spacing w:after="0" w:line="75" w:lineRule="exact"/>
        <w:rPr>
          <w:rFonts w:ascii="Arial" w:cs="Arial" w:eastAsia="Arial" w:hAnsi="Arial"/>
          <w:sz w:val="18"/>
          <w:szCs w:val="18"/>
          <w:color w:val="auto"/>
        </w:rPr>
      </w:pPr>
    </w:p>
    <w:p>
      <w:pPr>
        <w:jc w:val="both"/>
        <w:ind w:left="1080" w:right="80" w:hanging="424"/>
        <w:spacing w:after="0" w:line="286"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deposit with the trustee, in trust, funds sufficient to pay the entire indebtedness on the Notes that had not been previously delivered for cancellation for the principal and interest to the date of the deposit (for Notes that have become due and payable) or to the stated maturity or the redemption date, as the case may be (for Notes that have not become due and payable);</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and</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opinion of counsel, each stating that we have complied with all these conditions.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remain obligated to provide for registration of transfer and exchange and to provide notices of redemption.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 Reports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will file with the trustee, within 15 days after we are required to file the same with the SEC, copies of the annual reports and of the information, documents and other reports (or copies of such portions of any of the foregoing as the SEC may prescribe) that we may be required to file with the SEC pursuant to Section 13 or Section 15(d) of the Exchange Act; provided that availability of such reports on a website maintained by the SEC shall be deemed to fulfill this requirement. If we are not required to file information, documents or reports pursuant to either of those sections, then we will file with the trustee and the SEC such reports as may be prescribed by the SEC at such time.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trustee for the New Notes will be U.S. Bank Trust Company, National Association. U.S. Bank Trust Company, National Association also will be the initial paying agent and registrar for the New Notes.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indenture provides that, except during the continuance of an event of default under the indenture, the trustee under the indenture will perform only such duties as are specifically set forth in the indenture. Under the indenture, the holders of a majority in outstanding aggregate principal amount of the Notes will have the right to direct the time, method and place of conducting any proceeding or exercising any remedy available to the trustee under the indenture, subject to certain exceptions. If an event of default has occurred and is continuing, the trustee under the indenture will exercise such rights and powers vested in it under the indenture and is obligated to use the same degree of care and skill in its exercise as a prudent person would exercise under the circumstances in the conduct of such person’s own affairs.</w:t>
      </w:r>
    </w:p>
    <w:p>
      <w:pPr>
        <w:spacing w:after="0" w:line="17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indenture and provisions of the Trust Indenture Act incorporated by reference in the indenture contain limitations on the rights of the trustee under such indenture, should it become a creditor of our company, to obtain payment of claims in certain cases or to realize on certain property received by it in respect of any such claims, as security or otherwise. The trustee under the indenture is permitted to engage in other transactions. However, if the trustee under the indenture acquires any prohibited conflicting interest, it must eliminate the conflict or resign.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trustee may resign or be removed and a successor trustee may be appointed.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definitions are applicable to this Description of the New Notes:</w:t>
      </w:r>
    </w:p>
    <w:p>
      <w:pPr>
        <w:spacing w:after="0" w:line="22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“Attributable Debt” means, with respect to a Sale and Leaseback Transaction, an amount equal to the lesser of (1) the fair market value of the Property (as determined in good faith by our board of directors); and (2) the present value of the total net amount of rent payments to be made under the lease during its remaining term, discounted at the rate of interest set forth or implicit in the terms of the lease, compounded semi-annually. The calculation of the present value of the total net amount of rent payments is subject to adjustments specified in the indenture.</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“Capitalized Lease” means any obligation of a Person to pay rent or other amounts incurred with respect to real property or equipment acquired or leased by such Person and used in its business that is required to be recorded as a capital lease in accordance with generally accepted accounting principles.</w:t>
      </w:r>
    </w:p>
    <w:p>
      <w:pPr>
        <w:spacing w:after="0" w:line="184"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“Consolidated Total Assets” means, with respect to any Person as of any date, the amount of total assets as shown on the consolidated balance sheet of such Person for the most recent fiscal quarter for which financial statements have been filed with the Securities and Exchange Commission, prepared in accordance with accounting principles generally accepted in the United States.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“Hedging Obligations” means, with respect to any specified Person, the obligations of such Person under:</w:t>
      </w:r>
    </w:p>
    <w:p>
      <w:pPr>
        <w:spacing w:after="0" w:line="225" w:lineRule="exact"/>
        <w:rPr>
          <w:sz w:val="20"/>
          <w:szCs w:val="20"/>
          <w:color w:val="auto"/>
        </w:rPr>
      </w:pPr>
    </w:p>
    <w:p>
      <w:pPr>
        <w:ind w:left="120" w:right="280" w:firstLine="436"/>
        <w:spacing w:after="0" w:line="277"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248" w:lineRule="exact"/>
        <w:rPr>
          <w:sz w:val="20"/>
          <w:szCs w:val="20"/>
          <w:color w:val="auto"/>
        </w:rPr>
      </w:pPr>
    </w:p>
    <w:p>
      <w:pPr>
        <w:ind w:left="120" w:right="380" w:firstLine="440"/>
        <w:spacing w:after="0" w:line="275" w:lineRule="auto"/>
        <w:rPr>
          <w:sz w:val="20"/>
          <w:szCs w:val="20"/>
          <w:color w:val="auto"/>
        </w:rPr>
      </w:pPr>
      <w:r>
        <w:rPr>
          <w:rFonts w:ascii="Arial" w:cs="Arial" w:eastAsia="Arial" w:hAnsi="Arial"/>
          <w:sz w:val="17"/>
          <w:szCs w:val="17"/>
          <w:color w:val="auto"/>
        </w:rPr>
        <w:t>“Indebtedness” of any Person means, without duplication (1) any obligation of such Person for money borrowed, (2) any obligation of such Person evidenced by bonds, debentures, notes or other similar instruments, (3) any reimbursement obligation of such Person in respect of letters of credit or other similar instruments which support financial obligations which would otherwise become Indebtedness, and (4) any obligation of such Person under Capitalized Leases; provided, however, that “Indebtedness” of such Person shall not include any obligation of such Person to any Subsidiary of such Person or to any Person with respect to which such Person is a Subsidiary.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“Lien” means any pledge, mortgage, lien, encumbrance or other security interest.</w:t>
      </w:r>
    </w:p>
    <w:p>
      <w:pPr>
        <w:spacing w:after="0" w:line="22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government or any agency or political subdivision thereof or other similar entity.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means any property or asset, whether real, personal or mixed, or tangible or intangible.</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“Sale and Leaseback Transaction” means any arrangement with any Person providing for the leasing by us or any Subsidiary of ours of any Property that has been or is to be sold or transferred by us or such Subsidiary, as the case may be, to such Person.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“Subsidiary” of any Person means (1) a corporation, a majority of the outstanding Voting Stock of which is, at the time, directly or indirectly, owned by such Person or by one or more Subsidiaries of such Person, or by such Person and one or more Subsidiaries thereof or (2) any other Person (other than a corporation), including, without limitation, a partnership or joint venture, in which such Person, one or more Subsidiaries thereof or such Person and one or more Subsidiaries thereof, directly or indirectly, at the date of determination thereof, has at least majority ownership interest entitled to vote in the election of directors, managers or trustees thereof (or other Person performing similar functions).</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320" w:top="459" w:right="5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 NOTES; BOOK-ENTRY SYSTEM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Global Notes</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New Notes will be represented by one or more fully registered global notes, without interest coupons, will be deposited upon issuance with the trustee as custodian for DTC, and registered in the name of Cede &amp; Co. or its nominee, in each case, for credit to an account of a direct or indirect participant as described below.</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Except as set forth below, the global notes may be transferred, in whole and not in part, only to another nominee of DTC or to a successor of DTC or its nominee. Beneficial interests in the global notes may not be exchanged for definitive notes in registered certificated form (“certificated notes”) except in the limited circumstances described below. See “—Certain Book Entry Procedures for the Global Notes.”</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Transfers of beneficial interests in the global notes are subject to the applicable rules and procedures of DTC and its direct or indirect participants, which may change.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New Notes may be presented for registration of transfer and exchange at the corporate trust offices of the trustee as set forth in the indenture.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Book Entry Procedures for the New Notes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All interests in the global notes will be subject to the operations and procedures of DTC, Euroclear and Clearstream Luxembourg. The descriptions of the operations and procedures of DTC, Euroclear and Clearstream Luxembourg set forth below are provided solely as a matter of convenience. These operations and procedures are solely within the control of the respective settlement systems and are subject to change by them from time to time. We obtained the information in this section and elsewhere in this prospectus concerning DTC, Euroclear and Clearstream Luxembourg and their respective book-entry systems from sources that we believe are reliable, but we take no responsibility for the accuracy of any of this information, and holders of Old Notes are urged to contact the relevant system or its participants directly to discuss these matters.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DTC</w:t>
      </w:r>
      <w:r>
        <w:rPr>
          <w:rFonts w:ascii="Arial" w:cs="Arial" w:eastAsia="Arial" w:hAnsi="Arial"/>
          <w:sz w:val="18"/>
          <w:szCs w:val="18"/>
          <w:color w:val="auto"/>
        </w:rPr>
        <w:t>. DTC has advised us that it is:</w:t>
      </w:r>
    </w:p>
    <w:p>
      <w:pPr>
        <w:spacing w:after="0" w:line="131"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laws of the State of New York;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as amended;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“clearing agency” registered pursuant to Section 17A of the Exchange Act.</w:t>
      </w:r>
    </w:p>
    <w:p>
      <w:pPr>
        <w:spacing w:after="0" w:line="22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DTC was created to hold securities for its participants (collectively, the “participants”) and to facilitate the clearance and settlement of securities transactions between its participants through electronic book-entry changes to the accounts of its participants, thereby eliminating the need for physical transfer and delivery of certificates. DTC’s participants include securities brokers and dealers, banks and trust companies, clearing corporations and certain other organizations. Indirect access to DTC’s system is also available to other entities such as Clearstream Luxembourg, Euroclear, banks, brokers, dealers and trust companies (collectively, the “indirect participants”) that clear through or maintain a custodial relationship with a participant, either directly or indirectly. Investors who are not participants may beneficially own securities held by or on behalf of DTC only through participants or indirect participants in DTC.</w:t>
      </w:r>
    </w:p>
    <w:p>
      <w:pPr>
        <w:spacing w:after="0" w:line="19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i w:val="1"/>
          <w:iCs w:val="1"/>
          <w:color w:val="auto"/>
        </w:rPr>
        <w:t>Clearstream Luxembourg</w:t>
      </w:r>
      <w:r>
        <w:rPr>
          <w:rFonts w:ascii="Arial" w:cs="Arial" w:eastAsia="Arial" w:hAnsi="Arial"/>
          <w:sz w:val="18"/>
          <w:szCs w:val="18"/>
          <w:color w:val="auto"/>
        </w:rPr>
        <w:t>. Clearstream Luxembourg is incorporated under the laws of Luxembourg as a professional depositary. Clearstream</w:t>
      </w:r>
      <w:r>
        <w:rPr>
          <w:rFonts w:ascii="Arial" w:cs="Arial" w:eastAsia="Arial" w:hAnsi="Arial"/>
          <w:sz w:val="18"/>
          <w:szCs w:val="18"/>
          <w:i w:val="1"/>
          <w:iCs w:val="1"/>
          <w:color w:val="auto"/>
        </w:rPr>
        <w:t xml:space="preserve"> </w:t>
      </w:r>
      <w:r>
        <w:rPr>
          <w:rFonts w:ascii="Arial" w:cs="Arial" w:eastAsia="Arial" w:hAnsi="Arial"/>
          <w:sz w:val="18"/>
          <w:szCs w:val="18"/>
          <w:color w:val="auto"/>
        </w:rPr>
        <w:t>Luxembourg holds securities for its participating organizations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(“Clearstream Luxembourg Participants”) and facilitates the clearance and settlement of securities transactions between Clearstream Luxembourg Participants through electronic book-entry changes in accounts of Clearstream Luxembourg Participants, thereby eliminating the need for physical movement of certificates. Transactions may be settled in Clearstream Luxembourg in any of various currencies, including U.S. dollars. Clearstream Luxembourg provides Clearstream Luxembourg Participants with, among other things, services for safekeeping, administration, clearance and establishment of internationally-traded securities and securities lending and borrowing. Clearstream Luxembourg interfaces with domestic markets in several countries. As a professional depositary, Clearstream Luxembourg is subject to regulation by the Luxembourg Monetary Institute. Clearstream Luxembourg Participants are recognized financial institutions around the world, including underwriters, securities brokers and dealers, banks, trust companies, clearing corporations and certain other organizations. Indirect access to Clearstream Luxembourg is also available to others, such as banks, brokers, dealers and trust companies that clear through or maintain a custodial relationship with a Clearstream Luxembourg Participant either directly or indirectly.</w:t>
      </w:r>
    </w:p>
    <w:p>
      <w:pPr>
        <w:spacing w:after="0" w:line="194"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Distributions with respect to New Notes held beneficially through Clearstream Luxembourg will be credited to cash accounts of Clearstream Luxembourg Participants in accordance with its rules and procedures to the extent received by the U.S. depositary for Clearstream Luxembourg.</w:t>
      </w:r>
    </w:p>
    <w:p>
      <w:pPr>
        <w:spacing w:after="0" w:line="124"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i w:val="1"/>
          <w:iCs w:val="1"/>
          <w:color w:val="auto"/>
        </w:rPr>
        <w:t>Euroclear</w:t>
      </w:r>
      <w:r>
        <w:rPr>
          <w:rFonts w:ascii="Arial" w:cs="Arial" w:eastAsia="Arial" w:hAnsi="Arial"/>
          <w:sz w:val="17"/>
          <w:szCs w:val="17"/>
          <w:color w:val="auto"/>
        </w:rPr>
        <w:t>. Euroclear was created in 1968 to hold securities for participants of Euroclear (“Euroclear Participants”) and to clear and settle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between Euroclear Participants through simultaneous electronic book-entry delivery against payment, thereby eliminating the need for physical movement of certificates and any risk from lack of simultaneous transfers of securities and cash. Transactions may be settled in any of various currencies, including U.S. dollars. Euroclear includes various other services, including securities lending and borrowing, and interfaces with domestic markets in several markets in several countries. 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81"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The Euroclear Operator is regulated and examined by the Belgian Banking Commission. Distributions of principal and interest with respect to New Notes held through Euroclear will be credited to the cash accounts of Euroclear Participants in accordance with the relevant system’s rules and procedures, to the extent received by such system’s depositary.</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Links have been established among DTC, Clearstream Luxembourg and Euroclear to facilitate the initial issuance of the New Notes and cross-market transfers of the New Notes associated with secondary market trading. DTC will be linked indirectly to Clearstream Luxembourg and Euroclear through the DTC accounts of their respective U.S. depositaries.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Book-Entry Procedures</w:t>
      </w:r>
      <w:r>
        <w:rPr>
          <w:rFonts w:ascii="Arial" w:cs="Arial" w:eastAsia="Arial" w:hAnsi="Arial"/>
          <w:sz w:val="18"/>
          <w:szCs w:val="18"/>
          <w:color w:val="auto"/>
        </w:rPr>
        <w:t>. We expect that, pursuant to procedures established by DTC:</w:t>
      </w:r>
    </w:p>
    <w:p>
      <w:pPr>
        <w:spacing w:after="0" w:line="131" w:lineRule="exact"/>
        <w:rPr>
          <w:sz w:val="20"/>
          <w:szCs w:val="20"/>
          <w:color w:val="auto"/>
        </w:rPr>
      </w:pPr>
    </w:p>
    <w:p>
      <w:pPr>
        <w:ind w:left="1080" w:right="7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deposit of each global note, DTC will credit, on its book-entry registration and transfer system, the accounts of participants designated by the exchange agent with an interest in that global note; and</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ownership of beneficial interests in the global notes will be shown on, and the transfer of ownership interests in the global notes will be effected only through, records maintained by DTC (with respect to the interests of participants) and by participants and indirect participants (with respect to the interests of persons other than participants).</w:t>
      </w:r>
    </w:p>
    <w:p>
      <w:pPr>
        <w:spacing w:after="0" w:line="184"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laws of some jurisdictions may require that some recipients of securities take physical delivery of those securities in definitive form. Accordingly, the ability to transfer beneficial interests in New Notes represented by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a global note to those persons may be limited. In addition, because DTC can act only on behalf of its participants, who in turn act on behalf of persons who hold interests through participants, the ability of a Person holding a beneficial interest in a global note to pledge or transfer that interest to persons or entities that do not participate in DTC’s system, or to otherwise take actions in respect of that interest, may be affected by the lack of a physical note in respect of that interest.</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So long as DTC or its nominee is the registered owner of a global note, DTC or that nominee, as the case may be, will be considered the sole legal owner or holder of the New Notes represented by that global note for all purposes of the New Notes and the indenture. Except as provided below, owners of beneficial interests in a global note:</w:t>
      </w:r>
    </w:p>
    <w:p>
      <w:pPr>
        <w:spacing w:after="0" w:line="89"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will not be entitled to have the New Notes represented by that global note registered in their names;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certificated notes;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New Notes represented by that beneficial interest under the indenture for any purpose, including with respect to the giving of any direction, instruction or approval to the trustee.</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Accordingly, each holder owning a beneficial interest in a global note must rely on the procedures of DTC and, if that holder is not a participant or an indirect participant, on the procedures of the participant through which that holder owns its interest, to exercise any rights of a holder of New Notes under the indenture or that global note. We understand that, under existing industry practice, in the event that we request any action of holders of New Notes, or a holder that is an owner of a beneficial interest in a global note desires to take any action that DTC, as the holder of that global note, is entitled to take, DTC would authorize the participants to take that action and the participants would authorize holders owning through those participants to take that action or would otherwise act upon the instruction of those holders. Neither we nor the trustee will have any responsibility or liability for any aspect of the records relating to or payments made on account of New Notes by DTC, or for maintaining, supervising or reviewing any records of DTC relating to the New Notes.</w:t>
      </w:r>
    </w:p>
    <w:p>
      <w:pPr>
        <w:spacing w:after="0" w:line="192"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Beneficial interests in the global notes may not be exchanged for certificated notes. However, if DTC notifies us that it is unwilling to be a depositary for the global notes or ceases to be a clearing agency or if we so elect or if there is an event of default under the New Notes, DTC will exchange the global notes for certificated notes which it will distribute to its participants.</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Payments with respect to the principal of and interest on a global note will be payable by the trustee to or at the direction of DTC or its nominee in its capacity as the registered holder of the global note under the indenture. Under the terms of the indenture, we and the trustee will treat the persons in whose names the New Notes, including the global notes, are registered as the owners thereof for the purpose of receiving payment thereon and for any and all other purposes whatsoever. Accordingly, neither we nor the trustee has or will have any responsibility or liability for the payment of those amounts to owners of beneficial interests in a global note.</w:t>
      </w:r>
    </w:p>
    <w:p>
      <w:pPr>
        <w:spacing w:after="0" w:line="188"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Payments by the participants and the indirect participants to the owners of beneficial interests in a global note will be governed by standing instructions and customary industry practice and will be the responsibility of the participants and indirect participants and not of DTC.</w:t>
      </w:r>
    </w:p>
    <w:p>
      <w:pPr>
        <w:spacing w:after="0" w:line="12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Transfers between participants in DTC will be effected in accordance with DTC’s procedures and will be settled in same-day funds. Transfers between participants in Euroclear or Clearstream Luxembourg will be effected in the ordinary way in accordance with their respective rules and operating procedures.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Cross-market transfers between the participants in DTC, on the one hand, and Euroclear Participants or Clearstream Luxembourg Participants, on the other hand, will be effected through DTC in accordance with DTC’s rules on behalf of Euroclear or Clearstream Luxembourg, as the case may be, by its respective depositary.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However, those cross-market transactions will require delivery of instructions to Euroclear or Clearstream Luxembourg, as the case may be, by the counterparty in that system in accordance with the rules and procedures and within the established deadlines (Brussels time) of that system. If the transaction meets its settlement requirements, Euroclear or Clearstream Luxembourg, as the case may be, will deliver instructions to its respective depositary to take action to effect final settlement on its behalf by delivering or receiving interests in the relevant global notes in DTC, and making or receiving payment in accordance with normal procedures for same-day funds settlement applicable to DTC. Euroclear Participants and Clearstream Luxembourg Participants may not deliver instructions directly to the depositaries for Euroclear or Clearstream Luxembourg.</w:t>
      </w:r>
    </w:p>
    <w:p>
      <w:pPr>
        <w:spacing w:after="0" w:line="16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Because of time zone differences, the securities account of a Euroclear Participant or Clearstream Luxembourg Participant that purchases an interest in a global note from a participant will be credited on the business day for Euroclear or Clearstream Luxembourg immediately following the DTC settlement date. Cash received in Euroclear or Clearstream Luxembourg from the sale of an interest in a global note to a DTC participant will be received with value on the DTC settlement date but will be available in the relevant Euroclear or Clearstream Luxembourg cash account as of the business day for Euroclear or Clearstream Luxembourg following the DTC settlement date.</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Although we understand that DTC, Euroclear and Clearstream Luxembourg have agreed to the foregoing procedures to facilitate transfers of interests in the global notes among participants in DTC, Euroclear and Clearstream Luxembourg, they are under no obligation to perform or to continue to perform those procedures, and those procedures may be discontinued at any time. Neither we nor the trustee will have any responsibility for the performance by DTC, Euroclear or Clearstream Luxembourg or their respective participants or indirect participants of their respective obligations under the rules and procedures governing their operations.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60"/>
          </w:cols>
          <w:pgMar w:left="32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i w:val="1"/>
          <w:iCs w:val="1"/>
          <w:color w:val="auto"/>
        </w:rPr>
        <w:t>The following summary describes the material terms and conditions of the Registration Rights Agreement. This description is qualified in its entirety by reference to the terms and conditions of the Registration Rights Agreement. We urge you to read the Registration Rights Agreement in its entirety because it, not the following summary, will define your rights as a holder of Notes under that agreement. A copy of the Registration Rights Agreement was filed with the SEC and may also be obtained upon request at the address set forth under “Where You Can Find More Information and Incorporation by Reference.”</w:t>
      </w:r>
    </w:p>
    <w:p>
      <w:pPr>
        <w:spacing w:after="0" w:line="188"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connection with the issuance of the Old Notes, we entered into the Registration Rights Agreement pursuant to which we agreed, for the benefit of the holders of Old Notes, to use our commercially reasonable efforts to (1) cause to be filed with the SEC an exchange offer registration statement on an appropriate registration form with respect to an offer to exchange the Old Notes for New Notes having substantially identical terms as the Old Notes and evidencing the same indebtedness as the Old Notes (except that the New Notes will be registered under the Securities Act, will not be subject to certain restrictions on transfer or contain provisions relating to additional interest, will bear different CUSIP numbers than the Old Notes, generally will not entitle their holders to registration rights and will be subject to terms relating to book-entry procedures and administrative terms relating to transfers that differ from those of the Old Notes, as discussed below) and (2) cause such registration statement to be declared effective under the Securities Act.</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When the SEC declares the registration statement of which this prospectus forms a part effective, we will offer the New Notes in return for the Old Notes. The exchange offer will remain open for at least 20 business days after the date we send notice of such exchange offer to the holders of Old Notes. For each Old Note surrendered to us in such exchange offer, the holder will receive a New Note of equal principal amount. Interest on each New Note will accrue from the last interest payment date on which interest was paid on the Old Notes or, if no interest has been paid on the Old Notes, from February 16, 2021. Old Notes accepted for exchange will cease to accrue interest from and after the date of consummation of the exchange offer. Holders of Old Notes whose Old Notes are accepted for exchange will not receive any payment in respect of accrued interest on such Old Notes otherwise payable on any interest payment date the record date for which occurs on or after consummation of the exchange offer.</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By executing, or otherwise becoming bound by, the letter of transmittal, each tendering holder of Old Notes will generally represent that:</w:t>
      </w:r>
    </w:p>
    <w:p>
      <w:pPr>
        <w:spacing w:after="0" w:line="142"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New Notes to be received by it will be acquired in the ordinary course of its business;</w:t>
      </w:r>
    </w:p>
    <w:p>
      <w:pPr>
        <w:spacing w:after="0" w:line="130" w:lineRule="exact"/>
        <w:rPr>
          <w:rFonts w:ascii="Arial" w:cs="Arial" w:eastAsia="Arial" w:hAnsi="Arial"/>
          <w:sz w:val="18"/>
          <w:szCs w:val="18"/>
          <w:color w:val="auto"/>
        </w:rPr>
      </w:pPr>
    </w:p>
    <w:p>
      <w:pPr>
        <w:ind w:left="1080" w:right="880" w:hanging="424"/>
        <w:spacing w:after="0" w:line="342"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it is not engaged in, does not intend to engage in, and has no arrangement or understanding with any person to participate in the distribution (within the meaning of the Securities Act) of the New Notes in violation of the provisions of the Securities Act;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not an “affiliate” (within the meaning of Rule 405 under the Securities Act) of ours; and</w:t>
      </w:r>
    </w:p>
    <w:p>
      <w:pPr>
        <w:spacing w:after="0" w:line="130"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it is a broker-dealer that will receive New Notes for its own account in exchange for Old Notes that were acquired as a result of market-making or other trading activities, it will deliver (or, to the extent permitted by law, make available) the then-current prospectus (as then amended or supplemented) to purchasers in connection with any resale of such New Notes. By making such representation and delivering such a prospectus in connection with any such resale, a broker-dealer does not thereby admit that it is an underwriter within the meaning of the Securities Act with respect to such resale.</w:t>
      </w:r>
    </w:p>
    <w:p>
      <w:pPr>
        <w:spacing w:after="0" w:line="188"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Under current SEC interpretations contained in several no-action letters to third parties, the New Notes will generally be freely transferable after the exchange offer without further registration under the Securities Act, except that any broker-dealer that participates in the exchange must deliver a prospectus meeting the requirements of the Securities Act when it resells the New Notes. See “The Exchange Offer—Resale of the New Notes.” Old Notes not tendered in the exchange offer will continue to be subject to all the terms and conditions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specified in the indenture, including transfer restrictions, but will generally not retain any rights under the Registration Rights Agreement (including with respect to additional interest) after the consummation of the exchange offer.</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we determine that a registered exchange offer is not available or may not be completed because it would violate any applicable law or applicable interpretations of the staff of the SEC, or, if for any reason, a registered exchange offer is not completed within 365 days after February 16, 2021, or any holder shall so request following the consummation of a registered exchange offer with respect to any Old Notes held by it that were not eligible for exchange, we will use our commercially reasonable efforts to cause to become effective a shelf registration statement relating to resales of the Old Notes, and to keep that shelf registration statement effective until the earliest of (A) the time when any such Old Notes covered by the shelf registration statement can be sold pursuant to Rule 144 without any limitations by non-affiliates of ours under clause (d) of Rule 144, (B) the date on which all such Old Notes are disposed of in accordance with the shelf registration statement and (C) one year after the original effective date of the shelf registration statement. We will, in the event of such a shelf registration, provide to each holder of Old Notes copies of a prospectus, notify each holder of Old Notes when the shelf registration statement has become effective and take certain other actions to permit resales of the Old Notes. A holder that sells Old Notes under the shelf registration statement generally will be required to make certain representations to us (as described in the Registration Rights Agreement), to be named as a selling security holder in the related prospectus and to deliver a prospectus to purchasers, will be subject to certain of the civil liability provisions under the Securities Act in connection with those sales and will be bound by the provisions of the Registration Rights Agreement that are applicable to such a holder (including certain indemnification obligations). Holders of Old Notes will also be required to suspend their use of the prospectus included in the shelf registration statement under specified circumstances upon receipt of notice from us.</w:t>
      </w:r>
    </w:p>
    <w:p>
      <w:pPr>
        <w:spacing w:after="0" w:line="17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 “registration default” will occur if for any reason a registered exchange offer is not completed within 365 days after February 16, 2021 (or, if required, the applicable shelf registration statement is not declared effective by the SEC on or before the date that is 545 days after February 16, 2021 (or, in some cases, 180 days after the receipt of a request for a shelf registration statement), or if any registration statement required by the Registration Rights Agreement has been declared effective and thereafter either ceases to be effective or the related prospectus ceases to be usable at any time during the required effectiveness period (subject to certain exceptions), and such failure to remain effective or be usable exists for more than 90 days (whether or not consecutive) in any 12-month period. In that case, the annual interest rate borne by the relevant Old Notes will be increased by 0.25% per annum until the exchange offer is completed, the shelf registration statement is declared effective or such registration statement and related prospectus become effective or usable again (or, if earlier, when our obligation to maintain the shelf registration statement ends). Any additional interest due will be payable on the same interest payment dates as interest on the Old Notes is payable.</w:t>
      </w:r>
    </w:p>
    <w:p>
      <w:pPr>
        <w:spacing w:after="0" w:line="181"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This summary of the provisions of the Registration Rights Agreement does not purport to be complete and is subject to, and is qualified in its entirety by reference to, all the provisions of the Registration Rights Agreement, copies of which are available from us upon request.</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Each broker-dealer that receives New Notes for its own account pursuant to the exchange offer must acknowledge that it will deliver a prospectus in connection with any resale of such New Notes. This prospectus, as it may be amended or supplemented from time to time, may be used by a broker-dealer in connection with the resale of New Notes received in exchange for Old Notes, where such Old Notes were acquired as a result of market-making activities or other trading activities. We have agreed that the registration statement will remain effective for a period ending on the earlier of (i) 90 days from the date on which the registration statement is declared effective and (ii) the date on which no participating broker-dealer is required to deliver a prospectus in connection with resales of New Notes issued in exchange for the Old Notes it acquired for its own account as a result of market-making or other trading activities.</w:t>
      </w:r>
    </w:p>
    <w:p>
      <w:pPr>
        <w:spacing w:after="0" w:line="195"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We will not receive any proceeds from any sale of New Notes by broker-dealers. New Notes received by broker-dealers for their own account pursuant to the exchange offer may be sold from time to time, in one or more transactions, through the over-the-counter market, in negotiated transactions, through the writing of options on the New Notes or a combination of such methods of resale, at prevailing market prices at the time of resale, at prices related to such prevailing market prices or at negotiated prices. Any such resale may be made directly to purchasers or, alternatively,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 and any broker or dealer that participates in a distribution of such New Notes may be deemed to be an “underwriter” within the meaning of the Securities Act, and any profit on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 No broker-dealer participating in a distribution (within the meaning of the Securities Act) of the New Notes may use this prospectus.</w:t>
      </w:r>
    </w:p>
    <w:p>
      <w:pPr>
        <w:spacing w:after="0" w:line="17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For a period ending on the earlier of (i) 90 days from the date on which the registration statement is declared effective and (ii) the date on which no participating broker-dealer is required to deliver a prospectus in connection with resales of New Notes issued in exchange for the Old Notes it acquired for its own account as a result of market-making or other trading activities, we will promptly send additional copies of this prospectus and any amendment or supplement to this prospectus to any broker-dealer that requests such documents in the letter of transmittal. We have agreed to pay all expenses incident to the exchange offer (other than the expenses of counsel for the holders of the Old Notes), other than brokerage commissions and applicable transfer taxes, and will indemnify certain holders of the New Notes (including any broker-dealers) against certain liabilities, including liabilities under the Securities Act.</w:t>
      </w:r>
    </w:p>
    <w:p>
      <w:pPr>
        <w:spacing w:after="0" w:line="19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Based on interpretations by the staff of the SEC as set forth in no-action letters issued to third parties (including Exxon Capital Holdings Corporation (available May 13, 1988), Morgan Stanley &amp; Co. Incorporated (available June 5, 1991), K-III Communications Corporation (available May 14, 1993) and Shearman &amp; Sterling (available July 2, 1993)), we believe that the New Notes issued pursuant to the exchange offer may be offered for resale, resold and otherwise transferred by any holder of such New Notes, other than any such holder that is a broker-dealer or an affiliate of ours, without compliance with the registration and prospectus delivery provisions of the Securities Act, provided that:</w:t>
      </w:r>
    </w:p>
    <w:p>
      <w:pPr>
        <w:spacing w:after="0" w:line="82"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New Notes are acquired in the ordinary course of business of such 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holder has no arrangement or understanding with any person to participate in a distribution of the New Notes;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holder is not engaged in and does not intend to engage in a distribution of the New Notes.</w:t>
      </w:r>
    </w:p>
    <w:p>
      <w:pPr>
        <w:spacing w:after="0" w:line="22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have not sought and do not intend to seek a no-action letter from the SEC with respect to the effects of the exchange offer, and there can be no assurance that the staff would make a similar determination with respect to the New Notes as it has in such no-action letters.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following is a summary of certain U.S. federal income tax considerations of the exchange offer to holders of Old Notes and the ownership and disposition of the New Notes acquired in the exchange offer, but it does not purport to be a complete analysis of all the potential tax considerations relating to the exchange offer. This summary is based upon the provisions of the Internal Revenue Code of 1986, as amended (the “Code”), applicable U.S. Treasury Regulations promulgated thereunder, administrative rulings and judicial decisions, all as of the date of this prospectus. These authorities may be changed or subject to differing interpretations, possibly with retroactive effect, which may result in tax consequences different from those discussed below. We have not obtained, nor do we intend to obtain, a ruling from the IRS with respect to the statements made in this summary, and there can be no assurance that the IRS will agree with such statements or that a court would not sustain a challenge by the IRS.</w:t>
      </w:r>
    </w:p>
    <w:p>
      <w:pPr>
        <w:spacing w:after="0" w:line="16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This discussion assumes that the Old Notes and New Notes are held as “capital assets” within the meaning of Section 1221 of the Code (generally, property held for investment). This summary does not represent a detailed description of the U.S. federal income tax consequences to a holder of Old Notes or New Notes in light of such holder’s particular circumstances and does not address the alternative minimum tax, Medicare tax on net investment income, U.S. federal estate or gift tax or the effects of any state, local or non-U.S. tax laws. It is not intended to be, and should not be construed to be, legal or tax advice to any particular holder of Old Notes or acquirer of New Notes in the exchange offer.</w:t>
      </w:r>
    </w:p>
    <w:p>
      <w:pPr>
        <w:spacing w:after="0" w:line="17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This summary does not address all tax considerations that may be relevant to a holder of Old Notes or New Notes that is subject to special tax treatment under the U.S. federal income tax laws, including, without limitation:</w:t>
      </w:r>
    </w:p>
    <w:p>
      <w:pPr>
        <w:spacing w:after="0" w:line="76"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brokers and dealers in securities or commodities;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traders in securities that have elected the mark-to-market method of accounting for their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holders (as defined in this section)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persons holding Old Notes or New Notes as part of a hedge, straddle, conversion or other “synthetic security” or integrated transaction;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former U.S. citizens or long-term residents of the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“controlled foreign corporations” within the meaning of the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“passive foreign investment companies” within the meaning of the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individual retirement accounts or other tax-deferred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entities that are tax-exempt for U.S. federal income tax purposes;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partnerships, other pass-through entities and holders of interests therein.</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If an entity or arrangement treated as a partnership or other pass-through entity for U.S. federal income tax purposes holds Old Notes or New Notes, the U.S. federal income tax treatment of a partner or other beneficial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owner in such partnership or other pass-through entity generally will depend upon the status of the partner or other beneficial owner and the activities of the partnership or other pass-through entity. If you are a partnership or other pass-through entity holding Old Notes or New Notes or a partner or other beneficial owner in such a partnership or other pass-through entity, you are urged to consult your own tax advisor about the U.S. federal income tax considerations with respect to the Exchange Offer.</w:t>
      </w:r>
    </w:p>
    <w:p>
      <w:pPr>
        <w:spacing w:after="0" w:line="183" w:lineRule="exact"/>
        <w:rPr>
          <w:sz w:val="20"/>
          <w:szCs w:val="20"/>
          <w:color w:val="auto"/>
        </w:rPr>
      </w:pPr>
    </w:p>
    <w:p>
      <w:pPr>
        <w:ind w:left="120" w:right="580" w:firstLine="440"/>
        <w:spacing w:after="0" w:line="266" w:lineRule="auto"/>
        <w:rPr>
          <w:sz w:val="20"/>
          <w:szCs w:val="20"/>
          <w:color w:val="auto"/>
        </w:rPr>
      </w:pPr>
      <w:r>
        <w:rPr>
          <w:rFonts w:ascii="Arial" w:cs="Arial" w:eastAsia="Arial" w:hAnsi="Arial"/>
          <w:sz w:val="18"/>
          <w:szCs w:val="18"/>
          <w:b w:val="1"/>
          <w:bCs w:val="1"/>
          <w:color w:val="auto"/>
        </w:rPr>
        <w:t>EACH HOLDER SHOULD CONSULT ITS OWN TAX ADVISOR CONCERNING THE TAX CONSEQUENCES OF THE EXCHANGE OFFER AND OF OWNING THE NEW NOTES IN LIGHT OF EACH HOLDER’S PARTICULAR CIRCUMSTANCES UNDER U.S. FEDERAL TAX LAWS AND THE LAWS OF ANY STATE, LOCAL OR FOREIGN JURISDICTION.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Offer</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exchange of Old Notes for New Notes will not constitute a taxable exchange. As a result, (1) a holder of Old Notes should not recognize a taxable gain or loss as a result of exchanging such holder’s Old Notes for New Notes, (2) the holding period of the New Notes received should include the holding period of the Old Notes exchanged therefor, and (3) the adjusted tax basis of the New Notes received should be the same as the adjusted tax basis of the Old Notes exchanged therefor immediately before such exchange. The U.S. federal income tax consequences of holding and disposing of your New Notes generally will be the same as those applicable to your Old Notes.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debt securities offered by this prospectus has been passed upon for us by Foley Hoag LLP, Boston, Massachusetts.</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financial statements and management’s assessment of the effectiveness of our internal control over financial reporting (which is included in Management’s Annual Report on Internal Control over Financial Reporting)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 AND INCORPORATION BY REFERENCE</w:t>
      </w:r>
    </w:p>
    <w:p>
      <w:pPr>
        <w:spacing w:after="0" w:line="22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from the SEC’s web site at http://www.sec.gov.</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SEC’s rules allow us to “incorporate by reference” the information we have filed with the SEC, which means that we can disclose important information by referring you to those documents. The information incorporated by reference is a part of this prospectus, and information that we file later with the SEC will automatically update and supersede the information included and/or incorporated by reference in this prospectus. We incorporate by reference into this prospectus the documents listed below and any future filings made by us with the SEC under Sections 13(a), 13(c), 14 and 15(d) of the Exchange Act (excluding those portions of any Form 8-K that are deemed furnished and not filed in accordance with SEC rules), on or after the commencement of the exchange offer but before the expiration date:</w:t>
      </w:r>
    </w:p>
    <w:p>
      <w:pPr>
        <w:spacing w:after="0" w:line="83"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February 3,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6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2022, filed with the SEC on May 3, 2022;</w:t>
      </w:r>
    </w:p>
    <w:p>
      <w:pPr>
        <w:spacing w:after="0" w:line="130" w:lineRule="exact"/>
        <w:rPr>
          <w:rFonts w:ascii="Arial" w:cs="Arial" w:eastAsia="Arial" w:hAnsi="Arial"/>
          <w:sz w:val="18"/>
          <w:szCs w:val="18"/>
          <w:color w:val="auto"/>
        </w:rPr>
      </w:pPr>
    </w:p>
    <w:p>
      <w:pPr>
        <w:ind w:left="1080" w:right="40" w:hanging="424"/>
        <w:spacing w:after="0" w:line="308"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the portions of our </w:t>
      </w:r>
      <w:hyperlink r:id="rId66">
        <w:r>
          <w:rPr>
            <w:rFonts w:ascii="Arial" w:cs="Arial" w:eastAsia="Arial" w:hAnsi="Arial"/>
            <w:sz w:val="17"/>
            <w:szCs w:val="17"/>
            <w:u w:val="single" w:color="auto"/>
            <w:color w:val="0000EE"/>
          </w:rPr>
          <w:t>Definitive Proxy Statement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dated as of April 29, 2022, filed with the SEC on April 29, 2022, that were incorporated by reference into our Annual Report on </w:t>
      </w:r>
      <w:hyperlink r:id="rId64">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2021, filed with the SEC on February 3, 2022;</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67">
        <w:r>
          <w:rPr>
            <w:rFonts w:ascii="Arial" w:cs="Arial" w:eastAsia="Arial" w:hAnsi="Arial"/>
            <w:sz w:val="18"/>
            <w:szCs w:val="18"/>
            <w:u w:val="single" w:color="auto"/>
            <w:color w:val="0000EE"/>
          </w:rPr>
          <w:t>Form 8-K</w:t>
        </w:r>
      </w:hyperlink>
      <w:r>
        <w:rPr>
          <w:rFonts w:ascii="Arial" w:cs="Arial" w:eastAsia="Arial" w:hAnsi="Arial"/>
          <w:sz w:val="18"/>
          <w:szCs w:val="18"/>
          <w:color w:val="auto"/>
        </w:rPr>
        <w:t>, filed with the SEC on January 31, 2022;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Item 5.02 and Exhibit 10.1 of our Current Report on Form 8-K, filed with the SEC on </w:t>
      </w:r>
      <w:hyperlink r:id="rId68">
        <w:r>
          <w:rPr>
            <w:rFonts w:ascii="Arial" w:cs="Arial" w:eastAsia="Arial" w:hAnsi="Arial"/>
            <w:sz w:val="18"/>
            <w:szCs w:val="18"/>
            <w:u w:val="single" w:color="auto"/>
            <w:color w:val="0000EE"/>
          </w:rPr>
          <w:t>May 3,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You may obtain documents incorporated by reference into this prospectus at no cost by requesting them in writing or telephoning us at the following address:</w:t>
      </w:r>
    </w:p>
    <w:p>
      <w:pPr>
        <w:spacing w:after="0" w:line="17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Biogen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225 Binney Street</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Cambridge, Massachusetts 02142</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464-2442</w:t>
      </w:r>
    </w:p>
    <w:p>
      <w:pPr>
        <w:spacing w:after="0" w:line="1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Copies of these filings are also available, without charge, on our website at http://www.biogen.com. The contents of our website have not been, and shall not be deemed to be, incorporated by reference into, and do not form a part of, this prospectus.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by reference herein will be deemed to be modified or superseded for purposes of this prospectus to the extent that a statement contained herein or therein, or in any other subsequently filed document that also is incorporated herein or therein by reference, modifies or supersedes such statement. Any such statement so modified or superseded will not be deemed to constitute a part of this prospectus except as so modified or superseded.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648970</wp:posOffset>
            </wp:positionV>
            <wp:extent cx="1937385" cy="5918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1937385" cy="5918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Biogen Inc.</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Offer to Exchange</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up to $700,731,000 3.250% Senior Notes due 2051</w:t>
      </w:r>
    </w:p>
    <w:p>
      <w:pPr>
        <w:spacing w:after="0" w:line="72" w:lineRule="exact"/>
        <w:rPr>
          <w:sz w:val="20"/>
          <w:szCs w:val="20"/>
          <w:color w:val="auto"/>
        </w:rPr>
      </w:pPr>
    </w:p>
    <w:p>
      <w:pPr>
        <w:ind w:left="3720"/>
        <w:spacing w:after="0"/>
        <w:rPr>
          <w:sz w:val="20"/>
          <w:szCs w:val="20"/>
          <w:color w:val="auto"/>
        </w:rPr>
      </w:pPr>
      <w:r>
        <w:rPr>
          <w:rFonts w:ascii="Arial" w:cs="Arial" w:eastAsia="Arial" w:hAnsi="Arial"/>
          <w:sz w:val="25"/>
          <w:szCs w:val="25"/>
          <w:b w:val="1"/>
          <w:bCs w:val="1"/>
          <w:color w:val="auto"/>
        </w:rPr>
        <w:t>that have been registered under the</w:t>
      </w:r>
    </w:p>
    <w:p>
      <w:pPr>
        <w:spacing w:after="0" w:line="10" w:lineRule="exact"/>
        <w:rPr>
          <w:sz w:val="20"/>
          <w:szCs w:val="20"/>
          <w:color w:val="auto"/>
        </w:rPr>
      </w:pPr>
    </w:p>
    <w:p>
      <w:pPr>
        <w:ind w:left="3740"/>
        <w:spacing w:after="0"/>
        <w:rPr>
          <w:sz w:val="20"/>
          <w:szCs w:val="20"/>
          <w:color w:val="auto"/>
        </w:rPr>
      </w:pPr>
      <w:r>
        <w:rPr>
          <w:rFonts w:ascii="Arial" w:cs="Arial" w:eastAsia="Arial" w:hAnsi="Arial"/>
          <w:sz w:val="25"/>
          <w:szCs w:val="25"/>
          <w:b w:val="1"/>
          <w:bCs w:val="1"/>
          <w:color w:val="auto"/>
        </w:rPr>
        <w:t>Securities Act of 1933, as amended,</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3"/>
          <w:szCs w:val="23"/>
          <w:b w:val="1"/>
          <w:bCs w:val="1"/>
          <w:color w:val="auto"/>
        </w:rPr>
        <w:t>for any and all of our outstanding unregistered</w:t>
      </w:r>
    </w:p>
    <w:p>
      <w:pPr>
        <w:spacing w:after="0" w:line="33"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3.250% Senior Notes due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1657350</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May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lvl w:ilvl="1">
      <w:lvlJc w:val="left"/>
      <w:lvlText w:val="(%2)"/>
      <w:numFmt w:val="lowerLetter"/>
      <w:start w:val="1"/>
    </w:lvl>
  </w:abstractNum>
  <w:abstractNum w:abstractNumId="13">
    <w:nsid w:val="1E7FF521"/>
    <w:multiLevelType w:val="hybridMultilevel"/>
    <w:lvl w:ilvl="0">
      <w:lvlJc w:val="left"/>
      <w:lvlText w:val="(%1)"/>
      <w:numFmt w:val="decimal"/>
      <w:start w:val="2"/>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lvl w:ilvl="1">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jpe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64" Type="http://schemas.openxmlformats.org/officeDocument/2006/relationships/hyperlink" Target="http://www.sec.gov/ix?doc=/Archives/edgar/data/875045/000087504522000007/biib-20211231.htm" TargetMode="External"/><Relationship Id="rId65" Type="http://schemas.openxmlformats.org/officeDocument/2006/relationships/hyperlink" Target="http://www.sec.gov/ix?doc=/Archives/edgar/data/875045/000087504522000016/biib-20220331.htm" TargetMode="External"/><Relationship Id="rId66" Type="http://schemas.openxmlformats.org/officeDocument/2006/relationships/hyperlink" Target="http://www.sec.gov/Archives/edgar/data/875045/000119312522130205/d295794ddef14a.htm" TargetMode="External"/><Relationship Id="rId67" Type="http://schemas.openxmlformats.org/officeDocument/2006/relationships/hyperlink" Target="http://www.sec.gov/ix?doc=/Archives/edgar/data/875045/000119312522022381/d295583d8k.htm" TargetMode="External"/><Relationship Id="rId68" Type="http://schemas.openxmlformats.org/officeDocument/2006/relationships/hyperlink" Target="http://www.sec.gov/ix?doc=/Archives/edgar/data/875045/000087504522000013/biib-202205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2022-05-26T16:18:57Z</dcterms:created>
  <dcterms:modified xsi:type="dcterms:W3CDTF">2022-05-26T16:18:57Z</dcterms:modified>
</cp:coreProperties>
</file>